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jc w:val="center"/>
        <w:widowControl w:val="o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Определение начальной (максимальной) цены контракта</w:t>
      </w:r>
      <w:r>
        <w:rPr>
          <w:b/>
          <w:color w:val="000000"/>
          <w:sz w:val="24"/>
          <w:szCs w:val="24"/>
        </w:rPr>
      </w:r>
    </w:p>
    <w:p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/>
      <w:bookmarkStart w:id="0" w:name="_Hlk90279052"/>
      <w:r/>
      <w:bookmarkStart w:id="1" w:name="_Hlk90279415"/>
      <w:r/>
      <w:bookmarkStart w:id="2" w:name="_Hlk90279088"/>
      <w:r/>
      <w:bookmarkStart w:id="3" w:name="_Hlk90277344"/>
      <w:r/>
      <w:bookmarkEnd w:id="0"/>
      <w:r/>
      <w:bookmarkEnd w:id="1"/>
      <w:r/>
      <w:bookmarkEnd w:id="2"/>
      <w:r/>
      <w:bookmarkEnd w:id="3"/>
      <w:r>
        <w:rPr>
          <w:sz w:val="22"/>
          <w:szCs w:val="22"/>
        </w:rPr>
        <w:t xml:space="preserve">Информация о </w:t>
      </w:r>
      <w:r>
        <w:rPr>
          <w:rFonts w:eastAsiaTheme="minorHAnsi"/>
          <w:sz w:val="22"/>
          <w:szCs w:val="22"/>
          <w:lang w:eastAsia="en-US"/>
        </w:rPr>
        <w:t xml:space="preserve">валюте, используемой для формирования цены контракта и расчетов с поставщиком (подрядчиком, исполнителем): Российский рубль.</w:t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 xml:space="preserve">Для определения начальной (максимальной) цены государственного контракта на </w:t>
      </w:r>
      <w:r>
        <w:rPr>
          <w:sz w:val="22"/>
          <w:szCs w:val="22"/>
        </w:rPr>
        <w:t xml:space="preserve">приобретение смартфонов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был прове</w:t>
      </w:r>
      <w:r>
        <w:rPr>
          <w:sz w:val="22"/>
          <w:szCs w:val="22"/>
        </w:rPr>
        <w:t xml:space="preserve">ден анализ текущих цен на </w:t>
      </w:r>
      <w:r>
        <w:rPr>
          <w:sz w:val="22"/>
          <w:szCs w:val="22"/>
        </w:rPr>
        <w:t xml:space="preserve">данные товары</w:t>
      </w:r>
      <w:r>
        <w:rPr>
          <w:sz w:val="22"/>
          <w:szCs w:val="22"/>
        </w:rPr>
        <w:t xml:space="preserve"> в соответствии с подпунктом «в» пункта 7 Постановления Правительства от 23.12.2024 № 1875 </w:t>
      </w:r>
      <w:r>
        <w:rPr>
          <w:rFonts w:eastAsiaTheme="minorHAnsi"/>
          <w:sz w:val="22"/>
          <w:szCs w:val="22"/>
          <w:lang w:eastAsia="en-US"/>
        </w:rPr>
        <w:t xml:space="preserve">"О мерах по предоставлению национального режима при </w:t>
      </w:r>
      <w:r>
        <w:rPr>
          <w:rFonts w:eastAsiaTheme="minorHAnsi"/>
          <w:sz w:val="22"/>
          <w:szCs w:val="22"/>
          <w:lang w:eastAsia="en-US"/>
        </w:rPr>
        <w:t xml:space="preserve">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лиц".</w:t>
      </w:r>
      <w:r>
        <w:rPr>
          <w:rFonts w:eastAsiaTheme="minorHAnsi"/>
          <w:sz w:val="22"/>
          <w:szCs w:val="22"/>
          <w:lang w:eastAsia="en-US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связи с тем, что в реестре ГИСП (https://gisp.gov.ru/) находится только один производитель смартфонов</w:t>
      </w:r>
      <w:r>
        <w:rPr>
          <w:sz w:val="22"/>
          <w:szCs w:val="22"/>
        </w:rPr>
        <w:t xml:space="preserve"> с заданными характеристиками, был направлен запрос в адрес данного производителя</w:t>
      </w:r>
      <w:r>
        <w:rPr>
          <w:sz w:val="22"/>
          <w:szCs w:val="22"/>
        </w:rPr>
        <w:t xml:space="preserve"> (исх. от </w:t>
      </w:r>
      <w:r>
        <w:rPr>
          <w:sz w:val="22"/>
          <w:szCs w:val="22"/>
        </w:rPr>
        <w:t xml:space="preserve">30.06.2026_63-00-14/05-6991-2026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а также </w:t>
      </w:r>
      <w:r>
        <w:rPr>
          <w:sz w:val="22"/>
          <w:szCs w:val="22"/>
        </w:rPr>
        <w:t xml:space="preserve">Заказчиком были на</w:t>
      </w:r>
      <w:r>
        <w:rPr>
          <w:sz w:val="22"/>
          <w:szCs w:val="22"/>
        </w:rPr>
        <w:t xml:space="preserve">правлены запросы цен </w:t>
      </w:r>
      <w:r>
        <w:rPr>
          <w:sz w:val="22"/>
          <w:szCs w:val="22"/>
        </w:rPr>
        <w:t xml:space="preserve">дистрибьютерам (</w:t>
      </w:r>
      <w:r>
        <w:rPr>
          <w:sz w:val="22"/>
          <w:szCs w:val="22"/>
        </w:rPr>
        <w:t xml:space="preserve">поставщикам из реестра контрактов (https://zakupki.gov.ru/)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, которые поставляют идентичные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однородные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товары.</w:t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highlight w:val="none"/>
          <w:lang w:bidi="en-US"/>
        </w:rPr>
      </w:pPr>
      <w:r>
        <w:rPr>
          <w:sz w:val="22"/>
          <w:szCs w:val="22"/>
          <w:lang w:bidi="en-US"/>
        </w:rPr>
        <w:t xml:space="preserve">Невозможность соблюдения особенностей определения НМЦК по причине: в ГИСП указана информация менее чем о трех субъектах деятельности в сфере промышленности, осуществляющих производство включенного в объект закупки товара</w:t>
      </w:r>
      <w:r>
        <w:rPr>
          <w:sz w:val="22"/>
          <w:szCs w:val="22"/>
          <w:lang w:bidi="en-US"/>
        </w:rPr>
        <w:t xml:space="preserve">, то Заказчик использует иную предусмотренную частью 5 статьи 22 Закона № 44-ФЗ информацию о ценах. Так Заказчиком были использованы </w:t>
      </w:r>
      <w:bookmarkStart w:id="4" w:name="_GoBack"/>
      <w:r/>
      <w:bookmarkEnd w:id="4"/>
      <w:r>
        <w:rPr>
          <w:sz w:val="22"/>
          <w:szCs w:val="22"/>
          <w:lang w:bidi="en-US"/>
        </w:rPr>
        <w:t xml:space="preserve">ценовые информации, предоставленные потенциальными поставщиками Товара.</w:t>
      </w:r>
      <w:r>
        <w:rPr>
          <w:sz w:val="22"/>
          <w:szCs w:val="22"/>
          <w:highlight w:val="none"/>
          <w:lang w:bidi="en-US"/>
        </w:rPr>
      </w:r>
    </w:p>
    <w:p>
      <w:pPr>
        <w:ind w:left="0" w:right="0" w:firstLine="709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Коммерческое предложение №1 (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</w:rPr>
      </w:r>
      <w:r>
        <w:rPr>
          <w:sz w:val="24"/>
          <w:szCs w:val="24"/>
        </w:rPr>
        <w:t xml:space="preserve">30.07.2026 №63-14350-2026</w:t>
      </w:r>
      <w:r>
        <w:rPr>
          <w:sz w:val="24"/>
          <w:szCs w:val="24"/>
        </w:rPr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Коммерческое предложение №2 (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08.07.2026 №63-12849-2026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Коммерческое предложение №3 (</w:t>
      </w:r>
      <w:r>
        <w:rPr>
          <w:sz w:val="24"/>
          <w:szCs w:val="24"/>
        </w:rPr>
        <w:t xml:space="preserve">от 0</w:t>
      </w:r>
      <w:r>
        <w:rPr>
          <w:sz w:val="24"/>
          <w:szCs w:val="24"/>
        </w:rPr>
        <w:t xml:space="preserve">8.07.2026 №</w:t>
      </w:r>
      <w:r>
        <w:rPr>
          <w:sz w:val="24"/>
          <w:szCs w:val="24"/>
        </w:rPr>
        <w:t xml:space="preserve">86-2026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1140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left" w:pos="114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положениями Федерального закона от 05.04.2013 N44-ФЗ "О контрактной системе в сфере закупок товаров, работ, услуг для обеспечения государственных и му</w:t>
      </w:r>
      <w:r>
        <w:rPr>
          <w:sz w:val="22"/>
          <w:szCs w:val="22"/>
        </w:rPr>
        <w:t xml:space="preserve">ниципальных нужд",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НМЦК определена методом сопоставимых рыночных цен (анализа рынка).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after="0" w:line="240" w:lineRule="auto"/>
        <w:rPr>
          <w:sz w:val="24"/>
          <w:szCs w:val="24"/>
        </w:rPr>
      </w:pPr>
      <w:r>
        <w:rPr>
          <w:rFonts w:ascii="PT Astra Serif" w:hAnsi="PT Astra Serif"/>
          <w:b/>
          <w:iCs/>
          <w:sz w:val="24"/>
          <w:szCs w:val="24"/>
        </w:rPr>
        <w:t xml:space="preserve">Расчет начальной (максимальной) цены контракта: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4334" w:type="dxa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669"/>
        <w:gridCol w:w="4516"/>
        <w:gridCol w:w="936"/>
        <w:gridCol w:w="1390"/>
        <w:gridCol w:w="1720"/>
        <w:gridCol w:w="1560"/>
        <w:gridCol w:w="1559"/>
        <w:gridCol w:w="19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6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1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Наименование товара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Единица измерения (по ОКЕИ)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9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8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Цена </w:t>
            </w:r>
            <w:r>
              <w:rPr>
                <w:iCs/>
                <w:sz w:val="24"/>
                <w:szCs w:val="24"/>
              </w:rPr>
              <w:t xml:space="preserve">единицы товара, </w:t>
            </w:r>
            <w:r>
              <w:rPr>
                <w:iCs/>
                <w:sz w:val="24"/>
                <w:szCs w:val="24"/>
              </w:rPr>
              <w:t xml:space="preserve">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Средняя ц</w:t>
            </w:r>
            <w:r>
              <w:rPr>
                <w:iCs/>
                <w:sz w:val="24"/>
                <w:szCs w:val="24"/>
              </w:rPr>
              <w:t xml:space="preserve">ена за 1 шт.,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69" w:type="dxa"/>
            <w:vMerge w:val="continue"/>
            <w:textDirection w:val="lrTb"/>
            <w:noWrap w:val="false"/>
          </w:tcPr>
          <w:p>
            <w:pPr>
              <w:pStyle w:val="1_6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16" w:type="dxa"/>
            <w:vMerge w:val="continue"/>
            <w:textDirection w:val="lrTb"/>
            <w:noWrap w:val="false"/>
          </w:tcPr>
          <w:p>
            <w:pPr>
              <w:pStyle w:val="1_6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6" w:type="dxa"/>
            <w:vMerge w:val="continue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90" w:type="dxa"/>
            <w:vMerge w:val="continue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Цена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Цена 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Цена 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1_6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69" w:type="dxa"/>
            <w:textDirection w:val="lrTb"/>
            <w:noWrap w:val="false"/>
          </w:tcPr>
          <w:p>
            <w:pPr>
              <w:pStyle w:val="1_6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516" w:type="dxa"/>
            <w:textDirection w:val="lrTb"/>
            <w:noWrap w:val="false"/>
          </w:tcPr>
          <w:p>
            <w:pPr>
              <w:contextualSpacing/>
              <w:jc w:val="center"/>
              <w:spacing w:after="16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Мобильный телефон (смартфон) 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26.30.22.110/ 26.30.22.000-00000002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36" w:type="dxa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20" w:type="dxa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13 250,00</w:t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17 000,00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9 680,00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13 310,00</w:t>
            </w:r>
            <w:r>
              <w:rPr>
                <w:sz w:val="24"/>
                <w:szCs w:val="24"/>
                <w14:ligatures w14:val="none"/>
              </w:rPr>
            </w:r>
          </w:p>
        </w:tc>
      </w:tr>
    </w:tbl>
    <w:p>
      <w:pPr>
        <w:contextualSpacing/>
        <w:ind w:firstLine="709"/>
        <w:jc w:val="both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</w:rPr>
        <w:t xml:space="preserve">В соответствии со </w:t>
      </w:r>
      <w:hyperlink r:id="rId9" w:tooltip="consultantplus://offline/ref=D7DB44AE2EE1CB0C4FC98B997CC4F56E6E950191533AECA9EC764916B7B653FC71BE8D4C1CBBF67CA8F362C65FE0CB652DD63E3B34221E23m2u6G" w:history="1">
        <w:r>
          <w:rPr>
            <w:color w:val="000000"/>
            <w:sz w:val="24"/>
            <w:szCs w:val="24"/>
          </w:rPr>
          <w:t xml:space="preserve">ст. 34</w:t>
        </w:r>
      </w:hyperlink>
      <w:r>
        <w:rPr>
          <w:color w:val="000000"/>
          <w:sz w:val="24"/>
          <w:szCs w:val="24"/>
        </w:rPr>
        <w:t xml:space="preserve"> Бюджетного кодекса РФ в целях эффективности использования бюджетных средств Заказчиком принято решение использовать наименьшую цену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tbl>
      <w:tblPr>
        <w:tblW w:w="12273" w:type="dxa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669"/>
        <w:gridCol w:w="4516"/>
        <w:gridCol w:w="1276"/>
        <w:gridCol w:w="1390"/>
        <w:gridCol w:w="2295"/>
        <w:gridCol w:w="212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6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Наименование товара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Единица измерения (по ОКЕИ)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9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Цена </w:t>
            </w:r>
            <w:r>
              <w:rPr>
                <w:iCs/>
                <w:sz w:val="24"/>
                <w:szCs w:val="24"/>
              </w:rPr>
              <w:t xml:space="preserve">единицы товара</w:t>
            </w:r>
            <w:r>
              <w:rPr>
                <w:iCs/>
                <w:sz w:val="24"/>
                <w:szCs w:val="24"/>
              </w:rPr>
              <w:t xml:space="preserve">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Стоимость</w:t>
            </w:r>
            <w:r>
              <w:rPr>
                <w:iCs/>
                <w:sz w:val="24"/>
                <w:szCs w:val="24"/>
              </w:rPr>
              <w:t xml:space="preserve">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1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69" w:type="dxa"/>
            <w:textDirection w:val="lrTb"/>
            <w:noWrap w:val="false"/>
          </w:tcPr>
          <w:p>
            <w:pPr>
              <w:pStyle w:val="1_6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516" w:type="dxa"/>
            <w:textDirection w:val="lrTb"/>
            <w:noWrap w:val="false"/>
          </w:tcPr>
          <w:p>
            <w:pPr>
              <w:contextualSpacing/>
              <w:jc w:val="center"/>
              <w:spacing w:after="16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Roboto" w:hAnsi="Roboto"/>
                <w:color w:val="334059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Мобильный телефон (смартфон) 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26.30.22.110/ 26.30.22.000-00000002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0" w:type="dxa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95" w:type="dxa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9 680,00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pStyle w:val="1_681"/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48 400,00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</w:tbl>
    <w:p>
      <w:pPr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  <w:outlineLvl w:val="0"/>
      </w:pPr>
      <w:r>
        <w:rPr>
          <w:rFonts w:ascii="PT Astra Serif" w:hAnsi="PT Astra Serif"/>
          <w:b/>
          <w:iCs/>
          <w:sz w:val="24"/>
          <w:szCs w:val="24"/>
        </w:rPr>
        <w:t xml:space="preserve">Начальная (максимальная) цена контракта составляет:</w:t>
      </w:r>
      <w:r>
        <w:rPr>
          <w:rFonts w:ascii="PT Astra Serif" w:hAnsi="PT Astra Serif"/>
          <w:b/>
          <w:iCs/>
          <w:sz w:val="24"/>
          <w:szCs w:val="24"/>
        </w:rPr>
        <w:t xml:space="preserve"> </w:t>
      </w:r>
      <w:r>
        <w:rPr>
          <w:rFonts w:ascii="PT Astra Serif" w:hAnsi="PT Astra Serif"/>
          <w:b/>
          <w:iCs/>
          <w:sz w:val="24"/>
          <w:szCs w:val="24"/>
        </w:rPr>
        <w:t xml:space="preserve">48 400,00</w:t>
      </w:r>
      <w:r>
        <w:rPr>
          <w:sz w:val="24"/>
          <w:szCs w:val="24"/>
        </w:rPr>
        <w:t xml:space="preserve"> </w:t>
      </w:r>
      <w:r>
        <w:rPr>
          <w:rFonts w:ascii="PT Astra Serif" w:hAnsi="PT Astra Serif"/>
          <w:b/>
          <w:iCs/>
          <w:sz w:val="24"/>
          <w:szCs w:val="24"/>
        </w:rPr>
        <w:t xml:space="preserve">руб. </w:t>
      </w:r>
      <w:r>
        <w:rPr>
          <w:b/>
          <w:iCs/>
          <w:sz w:val="24"/>
          <w:szCs w:val="24"/>
        </w:rPr>
        <w:t xml:space="preserve">(сорок восемь тысяч четыреста</w:t>
      </w:r>
      <w:r>
        <w:rPr>
          <w:b/>
          <w:iCs/>
          <w:sz w:val="24"/>
          <w:szCs w:val="24"/>
        </w:rPr>
        <w:t xml:space="preserve">)</w:t>
      </w:r>
      <w:r>
        <w:rPr>
          <w:b/>
          <w:iCs/>
          <w:sz w:val="24"/>
          <w:szCs w:val="24"/>
        </w:rPr>
        <w:t xml:space="preserve"> руб. 00 коп.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  <w:highlight w:val="none"/>
          <w:lang w:bidi="en-US"/>
        </w:rPr>
      </w:r>
      <w:r>
        <w:rPr>
          <w:sz w:val="22"/>
          <w:szCs w:val="22"/>
          <w:highlight w:val="none"/>
          <w:lang w:bidi="en-US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6838" w:h="11906" w:orient="landscape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4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4"/>
    <w:link w:val="42"/>
    <w:uiPriority w:val="99"/>
  </w:style>
  <w:style w:type="paragraph" w:styleId="44">
    <w:name w:val="Footer"/>
    <w:basedOn w:val="65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4"/>
    <w:link w:val="44"/>
    <w:uiPriority w:val="99"/>
  </w:style>
  <w:style w:type="paragraph" w:styleId="46">
    <w:name w:val="Caption"/>
    <w:basedOn w:val="653"/>
    <w:next w:val="65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59"/>
    <w:uiPriority w:val="99"/>
    <w:rPr>
      <w:sz w:val="18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>
    <w:name w:val="Balloon Text"/>
    <w:basedOn w:val="653"/>
    <w:link w:val="658"/>
    <w:uiPriority w:val="99"/>
    <w:semiHidden/>
    <w:unhideWhenUsed/>
    <w:rPr>
      <w:rFonts w:ascii="Tahoma" w:hAnsi="Tahoma" w:cs="Tahoma"/>
      <w:sz w:val="16"/>
      <w:szCs w:val="16"/>
    </w:rPr>
  </w:style>
  <w:style w:type="character" w:styleId="658" w:customStyle="1">
    <w:name w:val="Текст выноски Знак"/>
    <w:basedOn w:val="654"/>
    <w:link w:val="657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59">
    <w:name w:val="footnote text"/>
    <w:basedOn w:val="653"/>
    <w:link w:val="660"/>
    <w:uiPriority w:val="99"/>
    <w:semiHidden/>
    <w:unhideWhenUsed/>
    <w:rPr>
      <w:rFonts w:ascii="Calibri" w:hAnsi="Calibri" w:eastAsia="Calibri"/>
      <w:lang w:eastAsia="en-US"/>
    </w:rPr>
  </w:style>
  <w:style w:type="character" w:styleId="660" w:customStyle="1">
    <w:name w:val="Текст сноски Знак"/>
    <w:basedOn w:val="654"/>
    <w:link w:val="659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661">
    <w:name w:val="footnote reference"/>
    <w:uiPriority w:val="99"/>
    <w:semiHidden/>
    <w:unhideWhenUsed/>
    <w:rPr>
      <w:vertAlign w:val="superscript"/>
    </w:rPr>
  </w:style>
  <w:style w:type="character" w:styleId="662">
    <w:name w:val="Hyperlink"/>
    <w:basedOn w:val="654"/>
    <w:uiPriority w:val="99"/>
    <w:unhideWhenUsed/>
    <w:rPr>
      <w:color w:val="0000ff" w:themeColor="hyperlink"/>
      <w:u w:val="single"/>
    </w:rPr>
  </w:style>
  <w:style w:type="paragraph" w:styleId="663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_681" w:customStyle="1">
    <w:name w:val="Содержимое таблицы"/>
    <w:basedOn w:val="84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consultantplus://offline/ref=D7DB44AE2EE1CB0C4FC98B997CC4F56E6E950191533AECA9EC764916B7B653FC71BE8D4C1CBBF67CA8F362C65FE0CB652DD63E3B34221E23m2u6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589B9-7FCE-4BB6-90AB-C9144CC6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aplan1</cp:lastModifiedBy>
  <cp:revision>115</cp:revision>
  <dcterms:created xsi:type="dcterms:W3CDTF">2020-07-24T13:20:00Z</dcterms:created>
  <dcterms:modified xsi:type="dcterms:W3CDTF">2026-07-30T10:45:01Z</dcterms:modified>
</cp:coreProperties>
</file>