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10030EF3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B96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15F4" w:rsidRPr="00FA15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изделий из дерева для детского центра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2762E5C7" w:rsidR="008A1C60" w:rsidRPr="00074B41" w:rsidRDefault="008A1C60" w:rsidP="00DB517C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DB517C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>издели</w:t>
      </w:r>
      <w:r w:rsidR="00DB517C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DB517C" w:rsidRP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дерева для детского центра</w:t>
      </w:r>
      <w:r w:rsidR="00D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B517C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3677E4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659BB99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3677E4">
        <w:rPr>
          <w:rFonts w:ascii="Times New Roman" w:hAnsi="Times New Roman" w:cs="Times New Roman"/>
          <w:sz w:val="24"/>
          <w:szCs w:val="24"/>
        </w:rPr>
        <w:t>средства федерального бюджета (</w:t>
      </w:r>
      <w:r w:rsidR="003677E4" w:rsidRPr="003677E4">
        <w:rPr>
          <w:rFonts w:ascii="Times New Roman" w:hAnsi="Times New Roman" w:cs="Times New Roman"/>
          <w:sz w:val="24"/>
          <w:szCs w:val="24"/>
        </w:rPr>
        <w:t>субсидии на иные цели</w:t>
      </w:r>
      <w:r w:rsidR="0063394E" w:rsidRPr="003677E4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6FD519F1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bCs/>
          <w:sz w:val="24"/>
          <w:szCs w:val="24"/>
        </w:rPr>
        <w:t>2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BAB9D" w14:textId="028ED7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7E5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r w:rsidR="00FA15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 31 августа 2026г.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55812FF7" w:rsidR="007042EA" w:rsidRPr="007E51D3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E51D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Товара.</w:t>
      </w:r>
      <w:r w:rsidRPr="007E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1" w:name="P1489"/>
      <w:bookmarkEnd w:id="1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2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2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sub_3423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424"/>
      <w:bookmarkEnd w:id="5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6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7A36D448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E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495DA2ED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</w:t>
      </w:r>
      <w:r w:rsidR="00FA15F4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9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.2026</w:t>
      </w:r>
      <w:r w:rsid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г</w:t>
      </w:r>
      <w:r w:rsidRPr="007E5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7E51D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ABBA094" w14:textId="3F3BD49F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 442280, Пензенская область, Белинский район, с. Лермонтово, 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2BBC3015" w14:textId="555D2653" w:rsidR="00E87094" w:rsidRPr="00074B41" w:rsidRDefault="00FF78D1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 xml:space="preserve">Казначейский счет № 03214643000000013238 Банковский счет, открытый в ОКЦ № 1 Волго-Вятского ГУ Банка России//УФК по Нижегородской области, г. Нижний Новгород 40102810745370000024, БИК: </w:t>
            </w:r>
            <w:proofErr w:type="gramStart"/>
            <w:r w:rsidRPr="00FF78D1">
              <w:rPr>
                <w:rFonts w:ascii="Times New Roman" w:hAnsi="Times New Roman" w:cs="Times New Roman"/>
                <w:sz w:val="24"/>
                <w:szCs w:val="24"/>
                <w:shd w:val="clear" w:color="auto" w:fill="F1F3F6"/>
              </w:rPr>
              <w:t>012202102.</w:t>
            </w:r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="00E87094" w:rsidRPr="00FF7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л/с 2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87094"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1DADB77E" w:rsidR="007042EA" w:rsidRPr="00074B41" w:rsidRDefault="00E87094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C84ACE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C84ACE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C84ACE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"/>
        <w:gridCol w:w="4962"/>
        <w:gridCol w:w="708"/>
        <w:gridCol w:w="1276"/>
        <w:gridCol w:w="1418"/>
        <w:gridCol w:w="1559"/>
        <w:gridCol w:w="1843"/>
      </w:tblGrid>
      <w:tr w:rsidR="00C84ACE" w:rsidRPr="00A20E68" w14:paraId="2C962830" w14:textId="77777777" w:rsidTr="006D5BB5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C84ACE" w:rsidRPr="00A20E68" w:rsidRDefault="00C84A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  <w:hideMark/>
          </w:tcPr>
          <w:p w14:paraId="20443F72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542B075" w14:textId="700CD65B" w:rsidR="00C84ACE" w:rsidRPr="00A20E68" w:rsidRDefault="006D5BB5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708" w:type="dxa"/>
            <w:vAlign w:val="center"/>
            <w:hideMark/>
          </w:tcPr>
          <w:p w14:paraId="19F8124C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5CE2B34B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  <w:hideMark/>
          </w:tcPr>
          <w:p w14:paraId="00051B3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единицы</w:t>
            </w:r>
          </w:p>
        </w:tc>
        <w:tc>
          <w:tcPr>
            <w:tcW w:w="1559" w:type="dxa"/>
            <w:vAlign w:val="center"/>
            <w:hideMark/>
          </w:tcPr>
          <w:p w14:paraId="5EF2C894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vAlign w:val="center"/>
            <w:hideMark/>
          </w:tcPr>
          <w:p w14:paraId="2305B24E" w14:textId="77777777" w:rsidR="00C84ACE" w:rsidRPr="00A20E68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</w:tr>
      <w:tr w:rsidR="00C84ACE" w:rsidRPr="00A20E68" w14:paraId="5F65C74F" w14:textId="77777777" w:rsidTr="006D5BB5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EB4" w14:textId="5BC52C7D" w:rsidR="00C84ACE" w:rsidRPr="00A20E68" w:rsidRDefault="008C4DB0" w:rsidP="009638D9">
            <w:pPr>
              <w:pStyle w:val="a4"/>
              <w:spacing w:before="239" w:line="230" w:lineRule="auto"/>
              <w:ind w:right="57" w:firstLine="283"/>
              <w:jc w:val="both"/>
              <w:rPr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Стеллаж 1100х1150х300</w:t>
            </w:r>
          </w:p>
        </w:tc>
        <w:tc>
          <w:tcPr>
            <w:tcW w:w="5245" w:type="dxa"/>
            <w:gridSpan w:val="2"/>
            <w:vAlign w:val="center"/>
          </w:tcPr>
          <w:p w14:paraId="4C820C1A" w14:textId="77777777" w:rsidR="00C84ACE" w:rsidRDefault="00B963BE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массив 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 w:rsidR="008C4DB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1B44480A" w14:textId="2868363D" w:rsidR="008C4DB0" w:rsidRPr="00A20E68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Размеры 1100х1150х300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4784274B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7FED89C9" w:rsidR="00C84ACE" w:rsidRPr="00A20E68" w:rsidRDefault="00B963BE" w:rsidP="006D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C84ACE" w:rsidRPr="00A20E68" w:rsidRDefault="00C84ACE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C84ACE" w:rsidRPr="00A20E68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BFBA96" w14:textId="3FFA6FD5" w:rsidR="00C84ACE" w:rsidRPr="00A20E68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DB0" w:rsidRPr="00A20E68" w14:paraId="41D5E54B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2FC2072F" w14:textId="1C34355A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486" w14:textId="709E20EC" w:rsidR="008C4DB0" w:rsidRPr="00A20E68" w:rsidRDefault="008C4DB0" w:rsidP="008C4DB0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Стеллаж 1400х1150х300</w:t>
            </w:r>
          </w:p>
        </w:tc>
        <w:tc>
          <w:tcPr>
            <w:tcW w:w="5245" w:type="dxa"/>
            <w:gridSpan w:val="2"/>
            <w:vAlign w:val="center"/>
          </w:tcPr>
          <w:p w14:paraId="13DB966E" w14:textId="77777777" w:rsidR="008C4DB0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массив </w:t>
            </w: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дуб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5B0F4956" w14:textId="40F589A4" w:rsidR="008C4DB0" w:rsidRPr="00A20E68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Размеры 1400х1150х300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4E37" w14:textId="3A7662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9C5B" w14:textId="3F4D0CBF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A6" w14:textId="77777777" w:rsidR="008C4DB0" w:rsidRPr="00A20E68" w:rsidRDefault="008C4DB0" w:rsidP="008C4D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AEDD" w14:textId="777777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15FE9F" w14:textId="77777777" w:rsidR="008C4DB0" w:rsidRPr="00A20E68" w:rsidRDefault="008C4DB0" w:rsidP="008C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DB0" w:rsidRPr="00A20E68" w14:paraId="08BFBAFA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49049410" w14:textId="705933BD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F6FD" w14:textId="1D50D034" w:rsidR="008C4DB0" w:rsidRPr="00A20E68" w:rsidRDefault="008C4DB0" w:rsidP="008C4DB0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Сундук малый </w:t>
            </w:r>
          </w:p>
        </w:tc>
        <w:tc>
          <w:tcPr>
            <w:tcW w:w="5245" w:type="dxa"/>
            <w:gridSpan w:val="2"/>
            <w:vAlign w:val="center"/>
          </w:tcPr>
          <w:p w14:paraId="4D9089E2" w14:textId="138FBEAB" w:rsidR="008C4DB0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массив сосны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53002532" w14:textId="26AE3D5C" w:rsidR="008C4DB0" w:rsidRPr="00A20E68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Размеры 910х440х535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CE79" w14:textId="7FCF0012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D398" w14:textId="42386128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DAD" w14:textId="77777777" w:rsidR="008C4DB0" w:rsidRPr="00A20E68" w:rsidRDefault="008C4DB0" w:rsidP="008C4D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CF6C" w14:textId="777777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243988" w14:textId="77777777" w:rsidR="008C4DB0" w:rsidRPr="00A20E68" w:rsidRDefault="008C4DB0" w:rsidP="008C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4DB0" w:rsidRPr="00A20E68" w14:paraId="3A9BE043" w14:textId="77777777" w:rsidTr="006D5BB5">
        <w:trPr>
          <w:trHeight w:val="603"/>
        </w:trPr>
        <w:tc>
          <w:tcPr>
            <w:tcW w:w="568" w:type="dxa"/>
            <w:vAlign w:val="center"/>
          </w:tcPr>
          <w:p w14:paraId="58DBF978" w14:textId="08F72BD5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6AF" w14:textId="6F39F3F4" w:rsidR="008C4DB0" w:rsidRPr="00A20E68" w:rsidRDefault="008C4DB0" w:rsidP="008C4DB0">
            <w:pPr>
              <w:pStyle w:val="a4"/>
              <w:spacing w:before="239" w:line="230" w:lineRule="auto"/>
              <w:ind w:right="57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Сундук большой </w:t>
            </w:r>
          </w:p>
        </w:tc>
        <w:tc>
          <w:tcPr>
            <w:tcW w:w="5245" w:type="dxa"/>
            <w:gridSpan w:val="2"/>
            <w:vAlign w:val="center"/>
          </w:tcPr>
          <w:p w14:paraId="5466E095" w14:textId="23397B3F" w:rsidR="008C4DB0" w:rsidRDefault="008C4DB0" w:rsidP="008C4DB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Материал 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массив сосны</w:t>
            </w:r>
            <w:proofErr w:type="gramEnd"/>
            <w:r w:rsidRPr="00A20E6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покрытый маслом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  <w:p w14:paraId="7FB6053D" w14:textId="0574B1AA" w:rsidR="008C4DB0" w:rsidRPr="00A20E68" w:rsidRDefault="008C4DB0" w:rsidP="008C4DB0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Размеры 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1300-1400х440-460х535-550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E1CF" w14:textId="5CF0966D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845D" w14:textId="14C7B48F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E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62C" w14:textId="77777777" w:rsidR="008C4DB0" w:rsidRPr="00A20E68" w:rsidRDefault="008C4DB0" w:rsidP="008C4D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BD47" w14:textId="77777777" w:rsidR="008C4DB0" w:rsidRPr="00A20E68" w:rsidRDefault="008C4DB0" w:rsidP="008C4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F517B9" w14:textId="77777777" w:rsidR="008C4DB0" w:rsidRPr="00A20E68" w:rsidRDefault="008C4DB0" w:rsidP="008C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2D5" w:rsidRPr="00A20E68" w14:paraId="4DC26F51" w14:textId="77777777" w:rsidTr="006D5BB5">
        <w:trPr>
          <w:gridAfter w:val="6"/>
          <w:wAfter w:w="11766" w:type="dxa"/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A022D5" w:rsidRPr="00A20E68" w:rsidRDefault="00A022D5" w:rsidP="00A0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354254" w14:textId="5F3C0158" w:rsidR="00B433E3" w:rsidRPr="00A20E68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 w:rsidR="00452195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составляет</w:t>
      </w:r>
      <w:r w:rsidR="001E1BFD" w:rsidRPr="00A20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руб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</w:t>
      </w:r>
      <w:r w:rsidR="001E1BF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копеек,</w:t>
      </w:r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</w:t>
      </w:r>
      <w:proofErr w:type="spellStart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т.ч</w:t>
      </w:r>
      <w:proofErr w:type="spellEnd"/>
      <w:r w:rsidR="00AE666D" w:rsidRPr="00A20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НДС 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5954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EB154A" w:rsidRPr="00074B41" w14:paraId="6B43AA5E" w14:textId="77777777" w:rsidTr="00C84AC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668F" w14:textId="77777777" w:rsidR="00C84ACE" w:rsidRDefault="00E8709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</w:p>
          <w:p w14:paraId="07085575" w14:textId="60EC6D6A" w:rsidR="00EB154A" w:rsidRPr="00074B41" w:rsidRDefault="00B16E43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276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C84ACE">
      <w:pgSz w:w="16838" w:h="11906" w:orient="landscape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124A4"/>
    <w:multiLevelType w:val="multilevel"/>
    <w:tmpl w:val="CD5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10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5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677E4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5BB5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51D3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4DB0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38D9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2D5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0E68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E43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26DC"/>
    <w:rsid w:val="00B75939"/>
    <w:rsid w:val="00B77F40"/>
    <w:rsid w:val="00B82696"/>
    <w:rsid w:val="00B82A0C"/>
    <w:rsid w:val="00B83F31"/>
    <w:rsid w:val="00B86771"/>
    <w:rsid w:val="00B8682D"/>
    <w:rsid w:val="00B87753"/>
    <w:rsid w:val="00B91073"/>
    <w:rsid w:val="00B9224A"/>
    <w:rsid w:val="00B95487"/>
    <w:rsid w:val="00B963BE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84ACE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6DA7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517C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37EB3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15F4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B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93F1-0F9C-4C2B-ADCD-4E898038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ZGA</cp:lastModifiedBy>
  <cp:revision>40</cp:revision>
  <cp:lastPrinted>2025-06-09T04:55:00Z</cp:lastPrinted>
  <dcterms:created xsi:type="dcterms:W3CDTF">2026-01-22T08:48:00Z</dcterms:created>
  <dcterms:modified xsi:type="dcterms:W3CDTF">2026-05-28T06:55:00Z</dcterms:modified>
</cp:coreProperties>
</file>