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 xml:space="preserve">ТЕХНИЧЕСКОЕ ЗАДАНИЕ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на оказание</w:t>
      </w:r>
      <w:r>
        <w:rPr>
          <w:sz w:val="22"/>
          <w:szCs w:val="22"/>
          <w:lang w:val="ru-RU"/>
        </w:rPr>
        <w:t xml:space="preserve"> </w:t>
      </w:r>
      <w:r>
        <w:rPr>
          <w:b/>
          <w:color w:val="000000"/>
          <w:sz w:val="22"/>
          <w:szCs w:val="22"/>
          <w:lang w:val="ru-RU"/>
        </w:rPr>
        <w:t xml:space="preserve">услуг </w:t>
      </w:r>
      <w:r>
        <w:rPr>
          <w:rFonts w:eastAsia="Calibri"/>
          <w:b/>
          <w:sz w:val="22"/>
          <w:szCs w:val="22"/>
          <w:lang w:val="ru-RU"/>
        </w:rPr>
        <w:t xml:space="preserve">по технической экспертизе и оценке имущества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846"/>
        <w:numPr>
          <w:ilvl w:val="0"/>
          <w:numId w:val="4"/>
        </w:numPr>
        <w:jc w:val="both"/>
        <w:widowControl w:val="off"/>
        <w:rPr>
          <w:sz w:val="22"/>
          <w:szCs w:val="22"/>
        </w:rPr>
      </w:pPr>
      <w:r>
        <w:rPr>
          <w:b/>
          <w:bCs/>
          <w:sz w:val="22"/>
          <w:szCs w:val="22"/>
          <w:lang w:val="ru-RU" w:eastAsia="ar-SA"/>
        </w:rPr>
        <w:t xml:space="preserve">Наименование оказываемых услуг:</w:t>
      </w:r>
      <w:r>
        <w:rPr>
          <w:sz w:val="22"/>
          <w:szCs w:val="22"/>
          <w:lang w:val="ru-RU" w:eastAsia="ar-SA"/>
        </w:rPr>
        <w:t xml:space="preserve"> </w:t>
      </w:r>
      <w:r>
        <w:rPr>
          <w:sz w:val="22"/>
          <w:szCs w:val="22"/>
          <w:lang w:val="ru-RU" w:eastAsia="ar-SA"/>
        </w:rPr>
        <w:t xml:space="preserve">услуги </w:t>
      </w:r>
      <w:r>
        <w:rPr>
          <w:sz w:val="22"/>
          <w:szCs w:val="22"/>
          <w:lang w:val="ru-RU" w:eastAsia="ar-SA"/>
        </w:rPr>
        <w:t xml:space="preserve">по независимой технической </w:t>
      </w:r>
      <w:r>
        <w:rPr>
          <w:sz w:val="22"/>
          <w:szCs w:val="22"/>
          <w:lang w:val="ru-RU" w:eastAsia="ar-SA"/>
        </w:rPr>
        <w:t xml:space="preserve">экспертизе транспортных средств.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6"/>
        <w:ind w:left="851" w:hanging="709"/>
        <w:jc w:val="both"/>
        <w:widowControl w:val="o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ru-RU" w:eastAsia="ar-SA"/>
        </w:rPr>
        <w:t xml:space="preserve">ОКПД: 71.20.19.190 - Услуги по техническим испытаниям и анализу прочие, не включенные в другие группировки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43"/>
        <w:ind w:left="-142" w:firstLine="284"/>
        <w:jc w:val="both"/>
        <w:spacing w:before="0" w:beforeAutospacing="0" w:after="0" w:afterAutospacing="0"/>
        <w:shd w:val="clear" w:color="auto" w:fill="ffffff"/>
        <w:rPr>
          <w:bCs/>
          <w:color w:val="333333"/>
          <w:sz w:val="22"/>
          <w:szCs w:val="22"/>
        </w:rPr>
      </w:pPr>
      <w:r>
        <w:rPr>
          <w:b/>
          <w:bCs/>
          <w:sz w:val="22"/>
          <w:szCs w:val="22"/>
          <w:lang w:eastAsia="ar-SA"/>
        </w:rPr>
        <w:t xml:space="preserve">2. Место оказания услуг: г. Петрозаводск</w:t>
      </w:r>
      <w:r>
        <w:rPr>
          <w:sz w:val="22"/>
          <w:szCs w:val="22"/>
          <w:lang w:eastAsia="ar-SA"/>
        </w:rPr>
        <w:t xml:space="preserve">.</w:t>
      </w:r>
      <w:r>
        <w:rPr>
          <w:bCs/>
          <w:color w:val="333333"/>
          <w:sz w:val="22"/>
          <w:szCs w:val="22"/>
        </w:rPr>
      </w:r>
      <w:r>
        <w:rPr>
          <w:bCs/>
          <w:color w:val="333333"/>
          <w:sz w:val="22"/>
          <w:szCs w:val="22"/>
        </w:rPr>
      </w:r>
    </w:p>
    <w:p>
      <w:pPr>
        <w:ind w:left="851" w:hanging="709"/>
        <w:jc w:val="both"/>
        <w:widowControl w:val="off"/>
        <w:tabs>
          <w:tab w:val="left" w:pos="2880" w:leader="none"/>
        </w:tabs>
        <w:rPr>
          <w:sz w:val="22"/>
          <w:szCs w:val="22"/>
        </w:rPr>
      </w:pPr>
      <w:r>
        <w:rPr>
          <w:b/>
          <w:sz w:val="22"/>
          <w:szCs w:val="22"/>
          <w:lang w:val="ru-RU" w:eastAsia="ar-SA"/>
        </w:rPr>
        <w:t xml:space="preserve">3. Сроки оказания услуг:</w:t>
      </w:r>
      <w:r>
        <w:rPr>
          <w:sz w:val="22"/>
          <w:szCs w:val="22"/>
          <w:lang w:val="ru-RU" w:eastAsia="ar-SA"/>
        </w:rPr>
        <w:t xml:space="preserve"> </w:t>
      </w:r>
      <w:r>
        <w:rPr>
          <w:sz w:val="22"/>
          <w:szCs w:val="22"/>
          <w:lang w:val="ru-RU"/>
        </w:rPr>
        <w:t xml:space="preserve">в течение 1</w:t>
      </w:r>
      <w:r>
        <w:rPr>
          <w:sz w:val="22"/>
          <w:szCs w:val="22"/>
          <w:lang w:val="ru-RU"/>
        </w:rPr>
        <w:t xml:space="preserve">5</w:t>
      </w:r>
      <w:r>
        <w:rPr>
          <w:sz w:val="22"/>
          <w:szCs w:val="22"/>
          <w:lang w:val="ru-RU"/>
        </w:rPr>
        <w:t xml:space="preserve"> (</w:t>
      </w:r>
      <w:r>
        <w:rPr>
          <w:sz w:val="22"/>
          <w:szCs w:val="22"/>
          <w:lang w:val="ru-RU"/>
        </w:rPr>
        <w:t xml:space="preserve">пятнадцати</w:t>
      </w:r>
      <w:r>
        <w:rPr>
          <w:sz w:val="22"/>
          <w:szCs w:val="22"/>
          <w:lang w:val="ru-RU"/>
        </w:rPr>
        <w:t xml:space="preserve">) календарных дней с даты заключения контракта</w:t>
      </w:r>
      <w:r>
        <w:rPr>
          <w:sz w:val="22"/>
          <w:szCs w:val="22"/>
          <w:lang w:val="ru-RU" w:eastAsia="ar-SA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851" w:hanging="709"/>
        <w:widowControl w:val="off"/>
        <w:tabs>
          <w:tab w:val="left" w:pos="2880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ru-RU" w:eastAsia="ar-SA"/>
        </w:rPr>
        <w:t xml:space="preserve">4</w:t>
      </w:r>
      <w:r>
        <w:rPr>
          <w:b/>
          <w:bCs/>
          <w:sz w:val="22"/>
          <w:szCs w:val="22"/>
          <w:lang w:val="ru-RU" w:eastAsia="ar-SA"/>
        </w:rPr>
        <w:t xml:space="preserve">. Тре</w:t>
      </w:r>
      <w:r>
        <w:rPr>
          <w:b/>
          <w:bCs/>
          <w:sz w:val="22"/>
          <w:szCs w:val="22"/>
          <w:lang w:val="ru-RU" w:eastAsia="ar-SA"/>
        </w:rPr>
        <w:t xml:space="preserve">бования к оказываемым услугам: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Независимая техническая экспертиза транспортных средств З</w:t>
      </w:r>
      <w:r>
        <w:rPr>
          <w:rFonts w:eastAsia="Calibri"/>
          <w:bCs/>
          <w:sz w:val="22"/>
          <w:szCs w:val="22"/>
          <w:lang w:val="ru-RU" w:eastAsia="ru-RU"/>
        </w:rPr>
        <w:t xml:space="preserve">аказчика должна производиться в </w:t>
      </w:r>
      <w:r>
        <w:rPr>
          <w:rFonts w:eastAsia="Calibri"/>
          <w:bCs/>
          <w:sz w:val="22"/>
          <w:szCs w:val="22"/>
          <w:lang w:val="ru-RU" w:eastAsia="ru-RU"/>
        </w:rPr>
        <w:t xml:space="preserve">соответствии с требованиями: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- Федерального закона от 29.07.1998 N 135-ФЗ "Об оценочной деятельности в Российской Федерации";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- Постановлени</w:t>
      </w:r>
      <w:r>
        <w:rPr>
          <w:rFonts w:eastAsia="Calibri"/>
          <w:bCs/>
          <w:sz w:val="22"/>
          <w:szCs w:val="22"/>
          <w:lang w:val="ru-RU" w:eastAsia="ru-RU"/>
        </w:rPr>
        <w:t xml:space="preserve">я</w:t>
      </w:r>
      <w:r>
        <w:rPr>
          <w:rFonts w:eastAsia="Calibri"/>
          <w:bCs/>
          <w:sz w:val="22"/>
          <w:szCs w:val="22"/>
          <w:lang w:val="ru-RU" w:eastAsia="ru-RU"/>
        </w:rPr>
        <w:t xml:space="preserve"> Правительства</w:t>
      </w:r>
      <w:r>
        <w:rPr>
          <w:rFonts w:eastAsia="Calibri"/>
          <w:bCs/>
          <w:sz w:val="22"/>
          <w:szCs w:val="22"/>
          <w:lang w:val="ru-RU" w:eastAsia="ru-RU"/>
        </w:rPr>
        <w:t xml:space="preserve"> РФ</w:t>
      </w:r>
      <w:r>
        <w:rPr>
          <w:rFonts w:eastAsia="Calibri"/>
          <w:bCs/>
          <w:sz w:val="22"/>
          <w:szCs w:val="22"/>
          <w:lang w:val="ru-RU" w:eastAsia="ru-RU"/>
        </w:rPr>
        <w:t xml:space="preserve"> от 01.01.2002 N 1 "О Классификации основных средств, включаемых в амортизационные группы".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ascii="Liberation Serif" w:hAnsi="Liberation Serif"/>
          <w:color w:val="000000"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- </w:t>
      </w:r>
      <w:r>
        <w:rPr>
          <w:rFonts w:ascii="Liberation Serif" w:hAnsi="Liberation Serif"/>
          <w:color w:val="000000"/>
          <w:sz w:val="22"/>
          <w:szCs w:val="22"/>
          <w:lang w:val="ru-RU"/>
        </w:rPr>
        <w:t xml:space="preserve">Постановлением Правительства РФ от 14.10.2010 № 834 «Об особенностях списания федерального имущества» и иными нормативными документами</w:t>
      </w:r>
      <w:r>
        <w:rPr>
          <w:rFonts w:ascii="Liberation Serif" w:hAnsi="Liberation Serif"/>
          <w:color w:val="000000"/>
          <w:sz w:val="22"/>
          <w:szCs w:val="22"/>
        </w:rPr>
      </w:r>
      <w:r>
        <w:rPr>
          <w:rFonts w:ascii="Liberation Serif" w:hAnsi="Liberation Serif"/>
          <w:color w:val="000000"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 - Федерального стандарта оценки «Общие понятия оценки, подходы и требования к проведению оценки (ФСО № 1)», утвержденного приказом Минэкономразвития от 20.05.2015 № 297;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Независимая техническая экспертиза транспортных средств Заказчика должна производиться экспертом-техником, включенным в государственный реестр экспертов-техников.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По результатам экспертизы Исполнитель обязан составить Техническое заключение по каждому объекту экспертизы, указанному в </w:t>
      </w:r>
      <w:r>
        <w:rPr>
          <w:rFonts w:eastAsia="Calibri"/>
          <w:bCs/>
          <w:sz w:val="22"/>
          <w:szCs w:val="22"/>
          <w:lang w:val="ru-RU" w:eastAsia="ru-RU"/>
        </w:rPr>
        <w:t xml:space="preserve">Таблице №1.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Изготовленные Исполнителем по окончании оказания услуг в соответствии с настоящим контрактом </w:t>
      </w:r>
      <w:r>
        <w:rPr>
          <w:rFonts w:eastAsia="Calibri"/>
          <w:bCs/>
          <w:sz w:val="22"/>
          <w:szCs w:val="22"/>
          <w:lang w:val="ru-RU" w:eastAsia="ru-RU"/>
        </w:rPr>
        <w:t xml:space="preserve">заключения независимой технической экспертизы </w:t>
      </w:r>
      <w:r>
        <w:rPr>
          <w:rFonts w:eastAsia="Calibri"/>
          <w:bCs/>
          <w:sz w:val="22"/>
          <w:szCs w:val="22"/>
          <w:lang w:val="ru-RU" w:eastAsia="ru-RU"/>
        </w:rPr>
        <w:t xml:space="preserve">о техническом состоянии принадлежащих Заказчику </w:t>
      </w:r>
      <w:r>
        <w:rPr>
          <w:rFonts w:eastAsia="Calibri"/>
          <w:bCs/>
          <w:sz w:val="22"/>
          <w:szCs w:val="22"/>
          <w:lang w:val="ru-RU" w:eastAsia="ru-RU"/>
        </w:rPr>
        <w:t xml:space="preserve">транспортных средств</w:t>
      </w:r>
      <w:r>
        <w:rPr>
          <w:rFonts w:eastAsia="Calibri"/>
          <w:bCs/>
          <w:sz w:val="22"/>
          <w:szCs w:val="22"/>
          <w:lang w:val="ru-RU" w:eastAsia="ru-RU"/>
        </w:rPr>
        <w:t xml:space="preserve"> не должны допускать неоднозначного толкования или вводить в заблуждение. 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В </w:t>
      </w:r>
      <w:r>
        <w:rPr>
          <w:rFonts w:eastAsia="Calibri"/>
          <w:bCs/>
          <w:sz w:val="22"/>
          <w:szCs w:val="22"/>
          <w:lang w:val="ru-RU" w:eastAsia="ru-RU"/>
        </w:rPr>
        <w:t xml:space="preserve">заключении независимой технической экспертизы </w:t>
      </w:r>
      <w:r>
        <w:rPr>
          <w:rFonts w:eastAsia="Calibri"/>
          <w:bCs/>
          <w:sz w:val="22"/>
          <w:szCs w:val="22"/>
          <w:lang w:val="ru-RU" w:eastAsia="ru-RU"/>
        </w:rPr>
        <w:t xml:space="preserve">в обязательном порядке указываются дата проведения экспертизы объекта, используемые стандарты (методики), цели и задачи проведения экспертизы объекта. 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Заключение независимой технической экспертизы </w:t>
      </w:r>
      <w:r>
        <w:rPr>
          <w:rFonts w:eastAsia="Calibri"/>
          <w:bCs/>
          <w:sz w:val="22"/>
          <w:szCs w:val="22"/>
          <w:lang w:val="ru-RU" w:eastAsia="ru-RU"/>
        </w:rPr>
        <w:t xml:space="preserve">подписывается собственноручно экспертом-техником, непосредственно выполнявшим экспертизу, утверждается руководителем Исполнителя и удостоверяется его печатью. 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В </w:t>
      </w:r>
      <w:r>
        <w:rPr>
          <w:rFonts w:eastAsia="Calibri"/>
          <w:bCs/>
          <w:sz w:val="22"/>
          <w:szCs w:val="22"/>
          <w:lang w:val="ru-RU" w:eastAsia="ru-RU"/>
        </w:rPr>
        <w:t xml:space="preserve">заключении независимой технической экспертизы</w:t>
      </w:r>
      <w:r>
        <w:rPr>
          <w:rFonts w:eastAsia="Calibri"/>
          <w:bCs/>
          <w:sz w:val="22"/>
          <w:szCs w:val="22"/>
          <w:lang w:val="ru-RU" w:eastAsia="ru-RU"/>
        </w:rPr>
        <w:t xml:space="preserve"> обязательно должно быть отражено общее состояние транспортного средства, техническое состояние его узлов и агрегатов, возможность дальнейшей эксплуатации.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Услуга и её результаты должны соответствовать требованиям действующего законодательства Российской Федерации, применяемым к таким услугам и позволять произвести списание объектов </w:t>
      </w:r>
      <w:r>
        <w:rPr>
          <w:rFonts w:eastAsia="Calibri"/>
          <w:sz w:val="22"/>
          <w:szCs w:val="22"/>
          <w:lang w:val="ru-RU" w:eastAsia="ru-RU"/>
        </w:rPr>
        <w:t xml:space="preserve">собственности Заказчика с последующей утилизацией</w:t>
      </w:r>
      <w:r>
        <w:rPr>
          <w:rFonts w:eastAsia="Calibri"/>
          <w:bCs/>
          <w:sz w:val="22"/>
          <w:szCs w:val="22"/>
          <w:lang w:val="ru-RU" w:eastAsia="ru-RU"/>
        </w:rPr>
        <w:t xml:space="preserve">, либо определить целесообразность их ремонта и дальнейшей эксплуатации на основании предоставленных Исполнителем результатов оказания услуг, </w:t>
      </w:r>
      <w:r>
        <w:rPr>
          <w:rFonts w:eastAsia="Calibri"/>
          <w:sz w:val="22"/>
          <w:szCs w:val="22"/>
          <w:lang w:val="ru-RU" w:eastAsia="ru-RU"/>
        </w:rPr>
        <w:t xml:space="preserve">а также определение годных остатков узлов и агрегатов транспортных средств.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Услуга должна включать выезд представителей Исполнителя (экспертов) на место нахождения транспортных средств, установленных данным </w:t>
      </w:r>
      <w:r>
        <w:rPr>
          <w:rFonts w:eastAsia="Calibri"/>
          <w:bCs/>
          <w:sz w:val="22"/>
          <w:szCs w:val="22"/>
          <w:lang w:val="ru-RU" w:eastAsia="ru-RU"/>
        </w:rPr>
        <w:t xml:space="preserve">техническим заданием,</w:t>
      </w:r>
      <w:r>
        <w:rPr>
          <w:rFonts w:eastAsia="Calibri"/>
          <w:bCs/>
          <w:sz w:val="22"/>
          <w:szCs w:val="22"/>
          <w:lang w:val="ru-RU" w:eastAsia="ru-RU"/>
        </w:rPr>
        <w:t xml:space="preserve"> составление актов осмотра транспортных средств, фотографий, любых иных документов, требуемых действующим законодательством Российской Федерации для списания объектов </w:t>
      </w:r>
      <w:r>
        <w:rPr>
          <w:rFonts w:eastAsia="Calibri"/>
          <w:sz w:val="22"/>
          <w:szCs w:val="22"/>
          <w:lang w:val="ru-RU" w:eastAsia="ru-RU"/>
        </w:rPr>
        <w:t xml:space="preserve">собственности Заказчика</w:t>
      </w:r>
      <w:r>
        <w:rPr>
          <w:rFonts w:eastAsia="Calibri"/>
          <w:bCs/>
          <w:sz w:val="22"/>
          <w:szCs w:val="22"/>
          <w:lang w:val="ru-RU" w:eastAsia="ru-RU"/>
        </w:rPr>
        <w:t xml:space="preserve"> с баланса Учреждения (либо определить целесообразность их ремонта и дальнейшей эксплуатации), а также любые иные расходы Исполнителя, связанных с оказанием такой услуги.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Результаты оказания услуг оформляются в виде письменных </w:t>
      </w:r>
      <w:r>
        <w:rPr>
          <w:rFonts w:eastAsia="Calibri"/>
          <w:sz w:val="22"/>
          <w:szCs w:val="22"/>
          <w:lang w:val="ru-RU" w:eastAsia="ru-RU"/>
        </w:rPr>
        <w:t xml:space="preserve">заключений 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, составленных в соответствии с требованиями действующего законодательства Российской Федерации </w:t>
      </w:r>
      <w:r>
        <w:rPr>
          <w:rFonts w:eastAsia="Calibri"/>
          <w:sz w:val="22"/>
          <w:szCs w:val="22"/>
          <w:lang w:val="ru-RU" w:eastAsia="ru-RU"/>
        </w:rPr>
        <w:t xml:space="preserve">с заключением</w:t>
      </w:r>
      <w:r>
        <w:rPr>
          <w:rFonts w:eastAsia="Calibri"/>
          <w:sz w:val="22"/>
          <w:szCs w:val="22"/>
          <w:lang w:val="ru-RU" w:eastAsia="ru-RU"/>
        </w:rPr>
        <w:t xml:space="preserve"> о пригодности к дальнейшей эксплуатации по каждому объекту экспертизы</w:t>
      </w:r>
      <w:r>
        <w:rPr>
          <w:rFonts w:eastAsia="Calibri"/>
          <w:sz w:val="22"/>
          <w:szCs w:val="22"/>
          <w:lang w:val="ru-RU" w:eastAsia="ru-RU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В </w:t>
      </w:r>
      <w:r>
        <w:rPr>
          <w:rFonts w:eastAsia="Calibri"/>
          <w:sz w:val="22"/>
          <w:szCs w:val="22"/>
          <w:lang w:val="ru-RU" w:eastAsia="ru-RU"/>
        </w:rPr>
        <w:t xml:space="preserve">з</w:t>
      </w:r>
      <w:r>
        <w:rPr>
          <w:rFonts w:eastAsia="Calibri"/>
          <w:sz w:val="22"/>
          <w:szCs w:val="22"/>
          <w:lang w:val="ru-RU" w:eastAsia="ru-RU"/>
        </w:rPr>
        <w:t xml:space="preserve">аключении</w:t>
      </w:r>
      <w:r>
        <w:rPr>
          <w:rFonts w:eastAsia="Calibri"/>
          <w:sz w:val="22"/>
          <w:szCs w:val="22"/>
          <w:lang w:val="ru-RU" w:eastAsia="ru-RU"/>
        </w:rPr>
        <w:t xml:space="preserve"> 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 должны быть указаны: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1) дата составления и порядковый номер </w:t>
      </w:r>
      <w:r>
        <w:rPr>
          <w:rFonts w:eastAsia="Calibri"/>
          <w:sz w:val="22"/>
          <w:szCs w:val="22"/>
          <w:lang w:val="ru-RU" w:eastAsia="ru-RU"/>
        </w:rPr>
        <w:t xml:space="preserve">заключения 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2) дата, время и место осмотра транспортного средства;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3</w:t>
      </w:r>
      <w:r>
        <w:rPr>
          <w:rFonts w:eastAsia="Calibri"/>
          <w:sz w:val="22"/>
          <w:szCs w:val="22"/>
          <w:lang w:val="ru-RU" w:eastAsia="ru-RU"/>
        </w:rPr>
        <w:t xml:space="preserve">) основание для проведения </w:t>
      </w:r>
      <w:r>
        <w:rPr>
          <w:rFonts w:eastAsia="Calibri"/>
          <w:bCs/>
          <w:sz w:val="22"/>
          <w:szCs w:val="22"/>
          <w:lang w:val="ru-RU" w:eastAsia="ru-RU"/>
        </w:rPr>
        <w:t xml:space="preserve">независимой технической экспертизы объекта</w:t>
      </w:r>
      <w:r>
        <w:rPr>
          <w:rFonts w:eastAsia="Calibri"/>
          <w:sz w:val="22"/>
          <w:szCs w:val="22"/>
          <w:lang w:val="ru-RU" w:eastAsia="ru-RU"/>
        </w:rPr>
        <w:t xml:space="preserve">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4</w:t>
      </w:r>
      <w:r>
        <w:rPr>
          <w:rFonts w:eastAsia="Calibri"/>
          <w:sz w:val="22"/>
          <w:szCs w:val="22"/>
          <w:lang w:val="ru-RU" w:eastAsia="ru-RU"/>
        </w:rPr>
        <w:t xml:space="preserve">) сведения об оценщике или оценщиках, проводивших оценку, в том числе фамилия, имя и </w:t>
      </w:r>
      <w:r>
        <w:rPr>
          <w:rFonts w:eastAsia="Calibri"/>
          <w:sz w:val="22"/>
          <w:szCs w:val="22"/>
          <w:lang w:val="ru-RU" w:eastAsia="ru-RU"/>
        </w:rPr>
        <w:t xml:space="preserve">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5)</w:t>
      </w:r>
      <w:r>
        <w:rPr>
          <w:rFonts w:eastAsia="Calibri"/>
          <w:sz w:val="22"/>
          <w:szCs w:val="22"/>
          <w:lang w:val="ru-RU" w:eastAsia="ru-RU"/>
        </w:rPr>
        <w:t xml:space="preserve"> сведения о независимости юридического лица, с которым оценщик заключил трудовой договор, и оценщика в соответствии с требованиями статьи 16 Федерального закона от 29.07.1998 № 135-ФЗ (ред. от 31.07.2020) «Об оценочной деятельности в Российской Федерации»;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  <w:outlineLvl w:val="0"/>
      </w:pPr>
      <w:r>
        <w:rPr>
          <w:rFonts w:eastAsia="Calibri"/>
          <w:sz w:val="22"/>
          <w:szCs w:val="22"/>
          <w:lang w:val="ru-RU" w:eastAsia="ru-RU"/>
        </w:rPr>
        <w:t xml:space="preserve">6) точное описание объекта экспертизы, техническое состояние и характер неисправностей, а именно: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  <w:outlineLvl w:val="0"/>
      </w:pPr>
      <w:r>
        <w:rPr>
          <w:rFonts w:eastAsia="Calibri"/>
          <w:sz w:val="22"/>
          <w:szCs w:val="22"/>
          <w:lang w:val="ru-RU" w:eastAsia="ru-RU"/>
        </w:rPr>
        <w:t xml:space="preserve">- наименование, тип, марка, модель ТС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год выпуска ТС;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номер паспорта ТС, кем и когда выдан;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регистрационны</w:t>
      </w:r>
      <w:r>
        <w:rPr>
          <w:rFonts w:eastAsia="Calibri"/>
          <w:sz w:val="22"/>
          <w:szCs w:val="22"/>
          <w:lang w:val="ru-RU" w:eastAsia="ru-RU"/>
        </w:rPr>
        <w:t xml:space="preserve">й</w:t>
      </w:r>
      <w:r>
        <w:rPr>
          <w:rFonts w:eastAsia="Calibri"/>
          <w:sz w:val="22"/>
          <w:szCs w:val="22"/>
          <w:lang w:val="ru-RU" w:eastAsia="ru-RU"/>
        </w:rPr>
        <w:t xml:space="preserve"> номер ТС;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дата ввода в эксплуатацию ТС;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инвентарный номер ТС;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заводской номер ТС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цели и условия </w:t>
      </w:r>
      <w:r>
        <w:rPr>
          <w:rFonts w:eastAsia="Calibri"/>
          <w:sz w:val="22"/>
          <w:szCs w:val="22"/>
          <w:lang w:val="ru-RU" w:eastAsia="ru-RU"/>
        </w:rPr>
        <w:t xml:space="preserve">эксплуатации</w:t>
      </w:r>
      <w:r>
        <w:rPr>
          <w:rFonts w:eastAsia="Calibri"/>
          <w:sz w:val="22"/>
          <w:szCs w:val="22"/>
          <w:lang w:val="ru-RU" w:eastAsia="ru-RU"/>
        </w:rPr>
        <w:t xml:space="preserve"> ТС;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общий пробег (км) ТС;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подробное описание основных дефектов,</w:t>
      </w:r>
      <w:r>
        <w:rPr>
          <w:rFonts w:eastAsia="Calibri"/>
          <w:sz w:val="22"/>
          <w:szCs w:val="22"/>
          <w:lang w:val="ru-RU" w:eastAsia="ru-RU"/>
        </w:rPr>
        <w:t xml:space="preserve"> причины их возникновения,</w:t>
      </w:r>
      <w:r>
        <w:rPr>
          <w:rFonts w:eastAsia="Calibri"/>
          <w:sz w:val="22"/>
          <w:szCs w:val="22"/>
          <w:lang w:val="ru-RU" w:eastAsia="ru-RU"/>
        </w:rPr>
        <w:t xml:space="preserve"> техническое состояние основных узлов, частей, деталей </w:t>
      </w:r>
      <w:r>
        <w:rPr>
          <w:rFonts w:eastAsia="Calibri"/>
          <w:sz w:val="22"/>
          <w:szCs w:val="22"/>
          <w:lang w:val="ru-RU" w:eastAsia="ru-RU"/>
        </w:rPr>
        <w:t xml:space="preserve">и конструктивных элементов </w:t>
      </w:r>
      <w:r>
        <w:rPr>
          <w:rFonts w:eastAsia="Calibri"/>
          <w:sz w:val="22"/>
          <w:szCs w:val="22"/>
          <w:lang w:val="ru-RU" w:eastAsia="ru-RU"/>
        </w:rPr>
        <w:t xml:space="preserve">ТС;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</w:t>
      </w:r>
      <w:r>
        <w:rPr>
          <w:rFonts w:eastAsia="Calibri"/>
          <w:sz w:val="22"/>
          <w:szCs w:val="22"/>
          <w:lang w:val="ru-RU" w:eastAsia="ru-RU"/>
        </w:rPr>
        <w:t xml:space="preserve">фототаблиц</w:t>
      </w:r>
      <w:r>
        <w:rPr>
          <w:rFonts w:eastAsia="Calibri"/>
          <w:sz w:val="22"/>
          <w:szCs w:val="22"/>
          <w:lang w:val="ru-RU" w:eastAsia="ru-RU"/>
        </w:rPr>
        <w:t xml:space="preserve">а</w:t>
      </w:r>
      <w:r>
        <w:rPr>
          <w:rFonts w:eastAsia="Calibri"/>
          <w:sz w:val="22"/>
          <w:szCs w:val="22"/>
          <w:lang w:val="ru-RU" w:eastAsia="ru-RU"/>
        </w:rPr>
        <w:t xml:space="preserve"> и акт осмотра ТС;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расчет эффективности восстановительного ремонта с обоснованием экономической целесообразности ремонта;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реквизиты юридического лица и балансовая стоимость данного объекта экспертизы;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перечень документов, используемых экспертом и устанавливающих количественные и качественные характеристики объекта экспертизы;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</w:rPr>
        <w:outlineLvl w:val="0"/>
      </w:pPr>
      <w:r>
        <w:rPr>
          <w:rFonts w:eastAsia="Calibri"/>
          <w:bCs/>
          <w:sz w:val="22"/>
          <w:szCs w:val="22"/>
          <w:lang w:val="ru-RU" w:eastAsia="ru-RU"/>
        </w:rPr>
        <w:t xml:space="preserve">- заключение (рекомендации).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Заключение о техническом состоянии должно содержать вывод о целесообразности восстановительного ремонта и о возможности дальнейшей эксплуатации автотранспортного средства.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bCs/>
          <w:sz w:val="22"/>
          <w:szCs w:val="22"/>
        </w:rPr>
        <w:outlineLvl w:val="0"/>
      </w:pPr>
      <w:r>
        <w:rPr>
          <w:rFonts w:eastAsia="Calibri"/>
          <w:color w:val="000000"/>
          <w:sz w:val="22"/>
          <w:szCs w:val="22"/>
          <w:lang w:val="ru-RU" w:eastAsia="ru-RU"/>
        </w:rPr>
        <w:t xml:space="preserve">Также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к 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з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аключению</w:t>
      </w:r>
      <w:r>
        <w:rPr>
          <w:sz w:val="22"/>
          <w:szCs w:val="22"/>
          <w:lang w:val="ru-RU"/>
        </w:rPr>
        <w:t xml:space="preserve"> 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независимой технической экспертизы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должны быть приложены фотографии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транспортного средства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с указанием дат и времени осмотра автотранспортных средств, скрепленные печатью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технического эксперта (при наличии) или заверенные иным, предусмотренном законодательством РФ способом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Заключение независимой технической экспертизы </w:t>
      </w:r>
      <w:r>
        <w:rPr>
          <w:rFonts w:eastAsia="Calibri"/>
          <w:sz w:val="22"/>
          <w:szCs w:val="22"/>
          <w:lang w:val="ru-RU" w:eastAsia="ru-RU"/>
        </w:rPr>
        <w:t xml:space="preserve">может также содержать иные сведения, являющиеся, по мнению Исполнителя, существенно важными для полноты отражения примененного им метода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Заключение должно быть пронумеровано постранично, прошито, подписано экспертом или экспертами, которые провели экспертизу, а также скреплено личной печатью эксперта и/или печатью юридического лица, с которым эксперт или эксперты заключили трудовой договор.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В результате оказанных услуг Исполнитель передает Заказчику заключение о технико-экономическом обосновании для списания </w:t>
      </w:r>
      <w:r>
        <w:rPr>
          <w:rFonts w:eastAsia="Calibri"/>
          <w:sz w:val="22"/>
          <w:szCs w:val="22"/>
          <w:lang w:val="ru-RU" w:eastAsia="ru-RU"/>
        </w:rPr>
        <w:t xml:space="preserve">на каждый объект экспертизы индивидуально в 2  экземплярах </w:t>
      </w:r>
      <w:r>
        <w:rPr>
          <w:rFonts w:eastAsia="Calibri"/>
          <w:sz w:val="22"/>
          <w:szCs w:val="22"/>
          <w:lang w:val="ru-RU" w:eastAsia="ru-RU"/>
        </w:rPr>
        <w:t xml:space="preserve">на бумажном носителе, составленный в соответствии с требованиями действующего законо</w:t>
      </w:r>
      <w:r>
        <w:rPr>
          <w:rFonts w:eastAsia="Calibri"/>
          <w:sz w:val="22"/>
          <w:szCs w:val="22"/>
          <w:lang w:val="ru-RU" w:eastAsia="ru-RU"/>
        </w:rPr>
        <w:t xml:space="preserve">дательства Российской Федерации</w:t>
      </w:r>
      <w:r>
        <w:rPr>
          <w:rFonts w:eastAsia="Calibri"/>
          <w:sz w:val="22"/>
          <w:szCs w:val="22"/>
          <w:lang w:val="ru-RU" w:eastAsia="ru-RU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Заключение</w:t>
      </w:r>
      <w:r>
        <w:rPr>
          <w:sz w:val="22"/>
          <w:szCs w:val="22"/>
          <w:lang w:val="ru-RU"/>
        </w:rPr>
        <w:t xml:space="preserve"> </w:t>
      </w:r>
      <w:r>
        <w:rPr>
          <w:rFonts w:eastAsia="Calibri"/>
          <w:sz w:val="22"/>
          <w:szCs w:val="22"/>
          <w:lang w:val="ru-RU" w:eastAsia="ru-RU"/>
        </w:rPr>
        <w:t xml:space="preserve">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 должно быть пронумеровано, прошито, составлено в письменной форме на русском языке с приложением фотоматериалов. Каждое заключение</w:t>
      </w:r>
      <w:r>
        <w:rPr>
          <w:rFonts w:eastAsia="Calibri"/>
          <w:sz w:val="22"/>
          <w:szCs w:val="22"/>
          <w:lang w:val="ru-RU" w:eastAsia="ru-RU"/>
        </w:rPr>
        <w:t xml:space="preserve"> независимой технической экспертизы </w:t>
      </w:r>
      <w:r>
        <w:rPr>
          <w:rFonts w:eastAsia="Calibri"/>
          <w:sz w:val="22"/>
          <w:szCs w:val="22"/>
          <w:lang w:val="ru-RU" w:eastAsia="ru-RU"/>
        </w:rPr>
        <w:t xml:space="preserve">должно быть подписано экспертом и скреплено печатью. К </w:t>
      </w:r>
      <w:r>
        <w:rPr>
          <w:rFonts w:eastAsia="Calibri"/>
          <w:sz w:val="22"/>
          <w:szCs w:val="22"/>
          <w:lang w:val="ru-RU" w:eastAsia="ru-RU"/>
        </w:rPr>
        <w:t xml:space="preserve">заключению 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 прикладываются документы эксперта.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center"/>
        <w:widowControl w:val="off"/>
        <w:rPr>
          <w:b/>
          <w:sz w:val="22"/>
          <w:szCs w:val="22"/>
        </w:rPr>
      </w:pPr>
      <w:r>
        <w:rPr>
          <w:b/>
          <w:sz w:val="22"/>
          <w:szCs w:val="22"/>
          <w:lang w:val="ru-RU" w:eastAsia="ar-SA"/>
        </w:rPr>
        <w:t xml:space="preserve">Перечень</w:t>
      </w:r>
      <w:r>
        <w:rPr>
          <w:b/>
          <w:sz w:val="22"/>
          <w:szCs w:val="22"/>
          <w:lang w:val="ru-RU" w:eastAsia="ar-SA"/>
        </w:rPr>
        <w:t xml:space="preserve"> транспортных средств, подлежащих  независимой технической экспертизе в целях принятия решения о списании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/>
        </w:rPr>
        <w:t xml:space="preserve">Таблица № 1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tbl>
      <w:tblPr>
        <w:tblW w:w="10488" w:type="dxa"/>
        <w:tblLayout w:type="fixed"/>
        <w:tblLook w:val="04A0" w:firstRow="1" w:lastRow="0" w:firstColumn="1" w:lastColumn="0" w:noHBand="0" w:noVBand="1"/>
      </w:tblPr>
      <w:tblGrid>
        <w:gridCol w:w="884"/>
        <w:gridCol w:w="6376"/>
        <w:gridCol w:w="3228"/>
      </w:tblGrid>
      <w:tr>
        <w:tblPrEx/>
        <w:trPr>
          <w:trHeight w:val="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4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№ п/п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6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Наименование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28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Место нахождения авто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4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6" w:type="dxa"/>
            <w:vAlign w:val="bottom"/>
            <w:textDirection w:val="lrTb"/>
            <w:noWrap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2"/>
                <w:szCs w:val="22"/>
                <w:highlight w:val="white"/>
                <w:lang w:val="ru-RU" w:eastAsia="ru-RU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pacing w:val="-2"/>
                <w:sz w:val="23"/>
                <w:highlight w:val="white"/>
              </w:rPr>
              <w:t xml:space="preserve">ТаГаз KJ Tager, гос. номер В 830 ХТ 98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2"/>
                <w:szCs w:val="22"/>
                <w:highlight w:val="white"/>
                <w:lang w:val="ru-RU" w:eastAsia="ru-RU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28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г. Ярославль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ind w:firstLine="709"/>
        <w:jc w:val="right"/>
        <w:rPr>
          <w:rFonts w:eastAsia="Calibri"/>
          <w:bCs/>
          <w:sz w:val="22"/>
          <w:szCs w:val="22"/>
          <w:lang w:val="ru-RU"/>
        </w:rPr>
      </w:pPr>
      <w:r>
        <w:rPr>
          <w:rFonts w:eastAsia="Calibri"/>
          <w:bCs/>
          <w:sz w:val="22"/>
          <w:szCs w:val="22"/>
          <w:lang w:val="ru-RU"/>
        </w:rPr>
      </w:r>
      <w:r>
        <w:rPr>
          <w:rFonts w:eastAsia="Calibri"/>
          <w:bCs/>
          <w:sz w:val="22"/>
          <w:szCs w:val="22"/>
          <w:lang w:val="ru-RU"/>
        </w:rPr>
      </w:r>
      <w:r>
        <w:rPr>
          <w:rFonts w:eastAsia="Calibri"/>
          <w:bCs/>
          <w:sz w:val="22"/>
          <w:szCs w:val="22"/>
          <w:lang w:val="ru-RU"/>
        </w:rPr>
      </w:r>
    </w:p>
    <w:sectPr>
      <w:footnotePr/>
      <w:endnotePr/>
      <w:type w:val="nextPage"/>
      <w:pgSz w:w="11906" w:h="16838" w:orient="portrait"/>
      <w:pgMar w:top="709" w:right="708" w:bottom="1134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Tahoma">
    <w:panose1 w:val="020B0606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5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5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9"/>
    <w:next w:val="839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0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9"/>
    <w:next w:val="839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0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9"/>
    <w:next w:val="839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0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9"/>
    <w:next w:val="839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0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0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0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0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0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0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40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40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rmal (Web)"/>
    <w:basedOn w:val="839"/>
    <w:uiPriority w:val="99"/>
    <w:unhideWhenUsed/>
    <w:pPr>
      <w:spacing w:before="100" w:beforeAutospacing="1" w:after="100" w:afterAutospacing="1"/>
    </w:pPr>
    <w:rPr>
      <w:lang w:val="ru-RU" w:eastAsia="ru-RU"/>
    </w:rPr>
  </w:style>
  <w:style w:type="paragraph" w:styleId="844">
    <w:name w:val="Balloon Text"/>
    <w:basedOn w:val="839"/>
    <w:link w:val="845"/>
    <w:uiPriority w:val="99"/>
    <w:semiHidden/>
    <w:unhideWhenUsed/>
    <w:rPr>
      <w:rFonts w:ascii="Tahoma" w:hAnsi="Tahoma" w:cs="Tahoma"/>
      <w:sz w:val="16"/>
      <w:szCs w:val="16"/>
    </w:rPr>
  </w:style>
  <w:style w:type="character" w:styleId="845" w:customStyle="1">
    <w:name w:val="Текст выноски Знак"/>
    <w:basedOn w:val="840"/>
    <w:link w:val="844"/>
    <w:uiPriority w:val="99"/>
    <w:semiHidden/>
    <w:rPr>
      <w:rFonts w:ascii="Tahoma" w:hAnsi="Tahoma" w:eastAsia="Times New Roman" w:cs="Tahoma"/>
      <w:sz w:val="16"/>
      <w:szCs w:val="16"/>
      <w:lang w:val="en-US"/>
    </w:rPr>
  </w:style>
  <w:style w:type="paragraph" w:styleId="846">
    <w:name w:val="List Paragraph"/>
    <w:basedOn w:val="83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B876E-3CAF-431C-806B-1B18507B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Россельхознадзор-НН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А. Горячев</dc:creator>
  <cp:keywords/>
  <dc:description/>
  <cp:lastModifiedBy>anastasia</cp:lastModifiedBy>
  <cp:revision>10</cp:revision>
  <dcterms:created xsi:type="dcterms:W3CDTF">2025-06-19T12:46:00Z</dcterms:created>
  <dcterms:modified xsi:type="dcterms:W3CDTF">2026-09-02T06:59:44Z</dcterms:modified>
</cp:coreProperties>
</file>