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4A" w:rsidRPr="005A4CDE" w:rsidRDefault="001D734A" w:rsidP="007874D9">
      <w:pPr>
        <w:jc w:val="center"/>
        <w:rPr>
          <w:rFonts w:ascii="PT Astra Serif" w:hAnsi="PT Astra Serif"/>
          <w:b/>
          <w:sz w:val="22"/>
          <w:szCs w:val="22"/>
        </w:rPr>
      </w:pPr>
      <w:r w:rsidRPr="005A4CDE">
        <w:rPr>
          <w:rFonts w:ascii="PT Astra Serif" w:hAnsi="PT Astra Serif"/>
          <w:b/>
          <w:sz w:val="22"/>
          <w:szCs w:val="22"/>
        </w:rPr>
        <w:t>Расчет обоснования начальной (максимальной) цены</w:t>
      </w:r>
    </w:p>
    <w:p w:rsidR="00E96C59" w:rsidRPr="005A4CDE" w:rsidRDefault="001D734A" w:rsidP="007874D9">
      <w:pPr>
        <w:jc w:val="center"/>
        <w:rPr>
          <w:rFonts w:ascii="PT Astra Serif" w:hAnsi="PT Astra Serif"/>
          <w:b/>
          <w:sz w:val="22"/>
          <w:szCs w:val="22"/>
        </w:rPr>
      </w:pPr>
      <w:r w:rsidRPr="005A4CDE">
        <w:rPr>
          <w:rFonts w:ascii="PT Astra Serif" w:hAnsi="PT Astra Serif"/>
          <w:b/>
          <w:sz w:val="22"/>
          <w:szCs w:val="22"/>
        </w:rPr>
        <w:t>контракта, цены контракта, заключаемого с единственным поставщиком</w:t>
      </w:r>
    </w:p>
    <w:p w:rsidR="00E96C59" w:rsidRPr="005A4CDE" w:rsidRDefault="00E96C59" w:rsidP="007874D9">
      <w:pPr>
        <w:jc w:val="center"/>
        <w:rPr>
          <w:rFonts w:ascii="PT Astra Serif" w:hAnsi="PT Astra Serif"/>
          <w:sz w:val="22"/>
          <w:szCs w:val="22"/>
        </w:rPr>
      </w:pPr>
    </w:p>
    <w:p w:rsidR="00FD2243" w:rsidRPr="005A4CDE" w:rsidRDefault="00FD2243" w:rsidP="0011596A">
      <w:pPr>
        <w:pStyle w:val="a3"/>
        <w:ind w:firstLine="709"/>
        <w:jc w:val="both"/>
        <w:rPr>
          <w:rFonts w:ascii="PT Astra Serif" w:hAnsi="PT Astra Serif"/>
          <w:sz w:val="22"/>
          <w:szCs w:val="22"/>
        </w:rPr>
      </w:pPr>
      <w:r w:rsidRPr="005A4CDE">
        <w:rPr>
          <w:rFonts w:ascii="PT Astra Serif" w:hAnsi="PT Astra Serif"/>
          <w:sz w:val="22"/>
          <w:szCs w:val="22"/>
        </w:rPr>
        <w:t xml:space="preserve">Используемый метод определения НМЦК с обоснованием: </w:t>
      </w:r>
    </w:p>
    <w:p w:rsidR="00FD2243" w:rsidRPr="005A4CDE" w:rsidRDefault="00FD2243" w:rsidP="0011596A">
      <w:pPr>
        <w:pStyle w:val="a3"/>
        <w:ind w:firstLine="709"/>
        <w:jc w:val="both"/>
        <w:rPr>
          <w:rFonts w:ascii="PT Astra Serif" w:hAnsi="PT Astra Serif"/>
          <w:sz w:val="22"/>
          <w:szCs w:val="22"/>
        </w:rPr>
      </w:pPr>
      <w:r w:rsidRPr="005A4CDE">
        <w:rPr>
          <w:rFonts w:ascii="PT Astra Serif" w:hAnsi="PT Astra Serif"/>
          <w:sz w:val="22"/>
          <w:szCs w:val="22"/>
        </w:rPr>
        <w:t>Метод сопоставимых рыночных цен (анализа рынка), т.к. для данного товара существует функционирующий рынок и неограниченное количество поставщиков.</w:t>
      </w:r>
    </w:p>
    <w:p w:rsidR="00FD2243" w:rsidRPr="005A4CDE" w:rsidRDefault="00FD2243" w:rsidP="0011596A">
      <w:pPr>
        <w:pStyle w:val="a3"/>
        <w:ind w:firstLine="709"/>
        <w:jc w:val="both"/>
        <w:rPr>
          <w:rFonts w:ascii="PT Astra Serif" w:hAnsi="PT Astra Serif"/>
          <w:sz w:val="22"/>
          <w:szCs w:val="22"/>
        </w:rPr>
      </w:pPr>
      <w:r w:rsidRPr="005A4CDE">
        <w:rPr>
          <w:rFonts w:ascii="PT Astra Serif" w:hAnsi="PT Astra Serif"/>
          <w:sz w:val="22"/>
          <w:szCs w:val="22"/>
        </w:rPr>
        <w:t>Применение конкурентных методов закупки из-за небольшого объема закупаемого товара представляется нецелесообразной, так как велика вероятность отсутствия заявок участников, учитывая условия контракта – доставка транспортом поставщика за его счет, отсутствие предоплаты, а также необходимость обеспечения поставщиком исполнения контракта, заключенного по итогам конкурентных процедур. При этом закупка товаров, работ, услуг у единственного поставщика на сумму до 600 тыс. рублей допускается п.4 ч.1 ст.93 Федерального закона от 05.04.2013 № 44-ФЗ.</w:t>
      </w:r>
    </w:p>
    <w:p w:rsidR="00E96C59" w:rsidRPr="005A4CDE" w:rsidRDefault="00E96C59" w:rsidP="0011596A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p w:rsidR="00E96C59" w:rsidRPr="005A4CDE" w:rsidRDefault="00E96C59" w:rsidP="00845522">
      <w:pPr>
        <w:pStyle w:val="a3"/>
        <w:rPr>
          <w:rFonts w:ascii="PT Astra Serif" w:hAnsi="PT Astra Serif"/>
          <w:sz w:val="22"/>
          <w:szCs w:val="22"/>
          <w:u w:val="single"/>
        </w:rPr>
      </w:pPr>
      <w:r w:rsidRPr="005A4CDE">
        <w:rPr>
          <w:rFonts w:ascii="PT Astra Serif" w:hAnsi="PT Astra Serif"/>
          <w:sz w:val="22"/>
          <w:szCs w:val="22"/>
          <w:u w:val="single"/>
        </w:rPr>
        <w:t>Расчет начальной (максимальной) цены контракта:</w:t>
      </w:r>
    </w:p>
    <w:p w:rsidR="00E96C59" w:rsidRPr="005A4CDE" w:rsidRDefault="00E96C59" w:rsidP="0011596A">
      <w:pPr>
        <w:pStyle w:val="a3"/>
        <w:ind w:firstLine="709"/>
        <w:jc w:val="both"/>
        <w:rPr>
          <w:rFonts w:ascii="PT Astra Serif" w:hAnsi="PT Astra Serif"/>
          <w:sz w:val="22"/>
          <w:szCs w:val="22"/>
        </w:rPr>
      </w:pPr>
      <w:r w:rsidRPr="005A4CDE">
        <w:rPr>
          <w:rFonts w:ascii="PT Astra Serif" w:hAnsi="PT Astra Serif"/>
          <w:sz w:val="22"/>
          <w:szCs w:val="22"/>
        </w:rPr>
        <w:t>Для расчета НМЦК использовались ценовые предложения поставщиков, полученные по запросу заказчика:</w:t>
      </w:r>
    </w:p>
    <w:p w:rsidR="00FD6A28" w:rsidRPr="00794BB2" w:rsidRDefault="009355B3" w:rsidP="0011596A">
      <w:pPr>
        <w:pStyle w:val="2"/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794BB2">
        <w:rPr>
          <w:rFonts w:ascii="PT Astra Serif" w:hAnsi="PT Astra Serif"/>
          <w:sz w:val="22"/>
          <w:szCs w:val="22"/>
        </w:rPr>
        <w:t>1.</w:t>
      </w:r>
      <w:r w:rsidR="008E69E3" w:rsidRPr="00794BB2">
        <w:rPr>
          <w:rFonts w:ascii="PT Astra Serif" w:hAnsi="PT Astra Serif"/>
          <w:sz w:val="22"/>
          <w:szCs w:val="22"/>
        </w:rPr>
        <w:t> </w:t>
      </w:r>
      <w:r w:rsidR="001D734A" w:rsidRPr="00794BB2">
        <w:rPr>
          <w:rFonts w:ascii="PT Astra Serif" w:hAnsi="PT Astra Serif"/>
          <w:sz w:val="22"/>
          <w:szCs w:val="22"/>
        </w:rPr>
        <w:t>Коммерческое предложение</w:t>
      </w:r>
      <w:r w:rsidR="00FF5C41" w:rsidRPr="00794BB2">
        <w:rPr>
          <w:rFonts w:ascii="PT Astra Serif" w:hAnsi="PT Astra Serif"/>
          <w:sz w:val="22"/>
          <w:szCs w:val="22"/>
        </w:rPr>
        <w:t xml:space="preserve"> вх. № </w:t>
      </w:r>
      <w:r w:rsidR="00EB05C3">
        <w:rPr>
          <w:rFonts w:ascii="PT Astra Serif" w:hAnsi="PT Astra Serif"/>
          <w:sz w:val="22"/>
          <w:szCs w:val="22"/>
        </w:rPr>
        <w:t>986</w:t>
      </w:r>
    </w:p>
    <w:p w:rsidR="00E96C59" w:rsidRPr="00794BB2" w:rsidRDefault="00E96C59" w:rsidP="0011596A">
      <w:pPr>
        <w:pStyle w:val="2"/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794BB2">
        <w:rPr>
          <w:rFonts w:ascii="PT Astra Serif" w:hAnsi="PT Astra Serif"/>
          <w:sz w:val="22"/>
          <w:szCs w:val="22"/>
        </w:rPr>
        <w:t>2.</w:t>
      </w:r>
      <w:r w:rsidR="008E69E3" w:rsidRPr="00794BB2">
        <w:rPr>
          <w:rFonts w:ascii="PT Astra Serif" w:hAnsi="PT Astra Serif"/>
          <w:sz w:val="22"/>
          <w:szCs w:val="22"/>
        </w:rPr>
        <w:t> </w:t>
      </w:r>
      <w:r w:rsidR="00556339" w:rsidRPr="00794BB2">
        <w:rPr>
          <w:rFonts w:ascii="PT Astra Serif" w:hAnsi="PT Astra Serif"/>
          <w:sz w:val="22"/>
          <w:szCs w:val="22"/>
        </w:rPr>
        <w:t xml:space="preserve">Коммерческое предложение </w:t>
      </w:r>
      <w:r w:rsidR="00FF5C41" w:rsidRPr="00794BB2">
        <w:rPr>
          <w:rFonts w:ascii="PT Astra Serif" w:hAnsi="PT Astra Serif"/>
          <w:sz w:val="22"/>
          <w:szCs w:val="22"/>
        </w:rPr>
        <w:t xml:space="preserve">вх. № </w:t>
      </w:r>
      <w:r w:rsidR="00EB05C3">
        <w:rPr>
          <w:rFonts w:ascii="PT Astra Serif" w:hAnsi="PT Astra Serif"/>
          <w:sz w:val="22"/>
          <w:szCs w:val="22"/>
        </w:rPr>
        <w:t>988</w:t>
      </w:r>
    </w:p>
    <w:p w:rsidR="00FD6A28" w:rsidRPr="00794BB2" w:rsidRDefault="00FD6A28" w:rsidP="0011596A">
      <w:pPr>
        <w:pStyle w:val="2"/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794BB2">
        <w:rPr>
          <w:rFonts w:ascii="PT Astra Serif" w:hAnsi="PT Astra Serif"/>
          <w:sz w:val="22"/>
          <w:szCs w:val="22"/>
        </w:rPr>
        <w:t>3.</w:t>
      </w:r>
      <w:r w:rsidR="008E69E3" w:rsidRPr="00794BB2">
        <w:rPr>
          <w:rFonts w:ascii="PT Astra Serif" w:hAnsi="PT Astra Serif"/>
          <w:sz w:val="22"/>
          <w:szCs w:val="22"/>
        </w:rPr>
        <w:t> </w:t>
      </w:r>
      <w:r w:rsidR="00556339" w:rsidRPr="00794BB2">
        <w:rPr>
          <w:rFonts w:ascii="PT Astra Serif" w:hAnsi="PT Astra Serif"/>
          <w:sz w:val="22"/>
          <w:szCs w:val="22"/>
        </w:rPr>
        <w:t xml:space="preserve">Коммерческое предложение </w:t>
      </w:r>
      <w:r w:rsidR="00845522" w:rsidRPr="00794BB2">
        <w:rPr>
          <w:rFonts w:ascii="PT Astra Serif" w:hAnsi="PT Astra Serif"/>
          <w:sz w:val="22"/>
          <w:szCs w:val="22"/>
        </w:rPr>
        <w:t xml:space="preserve">вх. № </w:t>
      </w:r>
      <w:r w:rsidR="00EB05C3">
        <w:rPr>
          <w:rFonts w:ascii="PT Astra Serif" w:hAnsi="PT Astra Serif"/>
          <w:sz w:val="22"/>
          <w:szCs w:val="22"/>
        </w:rPr>
        <w:t>987</w:t>
      </w:r>
    </w:p>
    <w:p w:rsidR="00BA7AFB" w:rsidRDefault="0011596A" w:rsidP="007874D9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noProof/>
          <w:sz w:val="2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5052060</wp:posOffset>
            </wp:positionH>
            <wp:positionV relativeFrom="paragraph">
              <wp:posOffset>57150</wp:posOffset>
            </wp:positionV>
            <wp:extent cx="1946910" cy="1097280"/>
            <wp:effectExtent l="19050" t="0" r="0" b="0"/>
            <wp:wrapNone/>
            <wp:docPr id="2" name="TextBox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7556500" y="3309620"/>
                      <a:ext cx="3223895" cy="1737360"/>
                      <a:chOff x="7556500" y="3309620"/>
                      <a:chExt cx="3223895" cy="1737360"/>
                    </a:xfrm>
                  </a:grpSpPr>
                  <a:sp>
                    <a:nvSpPr>
                      <a:cNvPr id="4" name="TextBox 3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="" xmlns:a14="http://schemas.microsoft.com/office/drawing/2010/main" xmlns:mc="http://schemas.openxmlformats.org/markup-compatibility/2006" xmlns:xdr="http://schemas.openxmlformats.org/drawingml/2006/spreadsheetDrawing" id="{83BD8224-69C9-6141-96AB-27DD541F3620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7531100" y="3340100"/>
                        <a:ext cx="3200400" cy="173736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vertOverflow="clip" horzOverflow="clip" wrap="none" lIns="0" tIns="0" rIns="0" bIns="0" rtlCol="0" anchor="t">
                          <a:noAutofit/>
                        </a:bodyPr>
                        <a:lstStyle>
                          <a:lvl1pPr marL="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ru-RU" sz="1300" b="0" i="0"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Коэффициент вариации</a:t>
                          </a:r>
                          <a:r>
                            <a:rPr lang="en-US" sz="1300" b="0" i="0"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:</a:t>
                          </a:r>
                        </a:p>
                        <a:p>
                          <a:pPr algn="l"/>
                          <a:endParaRPr lang="ru-RU" sz="1000" i="0">
                            <a:latin typeface="Times New Roman" panose="02020603050405020304" pitchFamily="18" charset="0"/>
                            <a:ea typeface="Cambria Math" panose="020405030504060302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n-US" sz="1200" b="0" i="0">
                              <a:latin typeface="Cambria Math" panose="02040503050406030204" pitchFamily="18" charset="0"/>
                            </a:rPr>
                            <a:t>𝑉=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𝜎/⟨</a:t>
                          </a:r>
                          <a:r>
                            <a:rPr lang="ru-RU" sz="1200" b="0" i="0">
                              <a:latin typeface="Cambria Math" panose="02040503050406030204" pitchFamily="18" charset="0"/>
                            </a:rPr>
                            <a:t>ц⟩ 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</a:rPr>
                            <a:t>  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× 100</a:t>
                          </a:r>
                          <a:endParaRPr lang="ru-RU" sz="1200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lang="ru-RU" sz="500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n-US" sz="11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⟨</a:t>
                          </a:r>
                          <a:r>
                            <a:rPr lang="ru-RU" sz="11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ц⟩" </a:t>
                          </a:r>
                          <a:r>
                            <a:rPr lang="ru-RU" sz="110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–</a:t>
                          </a:r>
                          <a:r>
                            <a:rPr lang="x-none" sz="1100" i="0">
                              <a:effectLst/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b="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среднее арифметическое всех цен</a:t>
                          </a:r>
                          <a:r>
                            <a:rPr lang="ru-RU" sz="110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;</a:t>
                          </a:r>
                          <a:r>
                            <a:rPr lang="en-GB" sz="1100" i="0">
                              <a:effectLst/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"</a:t>
                          </a:r>
                          <a:endParaRPr lang="ru-RU" sz="1100" i="0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n-US" sz="11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𝜎</a:t>
                          </a:r>
                          <a:r>
                            <a:rPr lang="ru-RU" sz="11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" </a:t>
                          </a:r>
                          <a:r>
                            <a:rPr lang="ru-RU" sz="110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–</a:t>
                          </a:r>
                          <a:r>
                            <a:rPr lang="x-none" sz="1100" i="0">
                              <a:effectLst/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en-GB" sz="1100" b="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c</a:t>
                          </a:r>
                          <a:r>
                            <a:rPr lang="ru-RU" sz="1100" b="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реднее квадратичное отклонение</a:t>
                          </a:r>
                          <a:r>
                            <a:rPr lang="en-GB" sz="1100" b="0" i="0">
                              <a:effectLst/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"</a:t>
                          </a:r>
                          <a:endParaRPr lang="ru-RU" sz="1100" i="0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rFonts w:ascii="PT Astra Serif" w:hAnsi="PT Astra Serif"/>
          <w:noProof/>
          <w:sz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3810</wp:posOffset>
            </wp:positionV>
            <wp:extent cx="2122170" cy="1150620"/>
            <wp:effectExtent l="19050" t="0" r="0" b="0"/>
            <wp:wrapNone/>
            <wp:docPr id="5" name="TextBox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3966210" y="3309620"/>
                      <a:ext cx="3215640" cy="1737360"/>
                      <a:chOff x="3966210" y="3309620"/>
                      <a:chExt cx="3215640" cy="1737360"/>
                    </a:xfrm>
                  </a:grpSpPr>
                  <a:sp>
                    <a:nvSpPr>
                      <a:cNvPr id="2" name="TextBox 1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="" xmlns:a14="http://schemas.microsoft.com/office/drawing/2010/main" xmlns:mc="http://schemas.openxmlformats.org/markup-compatibility/2006" xmlns:xdr="http://schemas.openxmlformats.org/drawingml/2006/spreadsheetDrawing" id="{8AB3A012-7C61-C543-97BA-7D3D36847688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3956050" y="3340100"/>
                        <a:ext cx="3200400" cy="173736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vertOverflow="clip" horzOverflow="clip" wrap="none" lIns="0" tIns="0" rIns="0" bIns="0" rtlCol="0" anchor="t">
                          <a:noAutofit/>
                        </a:bodyPr>
                        <a:lstStyle>
                          <a:lvl1pPr marL="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300" i="0">
                              <a:latin typeface="Times New Roman" panose="02020603050405020304" pitchFamily="18" charset="0"/>
                              <a:ea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Среднее квадратичное отклонение</a:t>
                          </a:r>
                          <a:r>
                            <a:rPr lang="en-US" sz="1300" i="0">
                              <a:latin typeface="Times New Roman" panose="02020603050405020304" pitchFamily="18" charset="0"/>
                              <a:ea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:</a:t>
                          </a:r>
                          <a:endParaRPr lang="ru-RU" sz="1300" i="0">
                            <a:latin typeface="Times New Roman" panose="02020603050405020304" pitchFamily="18" charset="0"/>
                            <a:ea typeface="Cambria Math" panose="020405030504060302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endParaRPr lang="ru-RU" sz="1000" i="0">
                            <a:latin typeface="Times New Roman" panose="02020603050405020304" pitchFamily="18" charset="0"/>
                            <a:ea typeface="Cambria Math" panose="020405030504060302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r>
                            <a:rPr lang="en-GB" sz="120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𝜎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= √(( ∑2_(𝑖=1)^𝑛▒〖〖(</a:t>
                          </a:r>
                          <a:r>
                            <a:rPr lang="ru-RU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ц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_𝑖  − ⟨</a:t>
                          </a:r>
                          <a:r>
                            <a:rPr lang="ru-RU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ц⟩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)〗^2  〗)/(𝑛−1))</a:t>
                          </a:r>
                          <a:endParaRPr lang="en-US" sz="1200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endParaRPr lang="ru-RU" sz="500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n-US" sz="11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⟨</a:t>
                          </a:r>
                          <a:r>
                            <a:rPr lang="ru-RU" sz="11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ц⟩" </a:t>
                          </a:r>
                          <a:r>
                            <a:rPr lang="ru-RU" sz="110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–</a:t>
                          </a:r>
                          <a:r>
                            <a:rPr lang="x-none" sz="1100" i="0">
                              <a:effectLst/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b="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среднее арифметическое всех цен</a:t>
                          </a:r>
                          <a:r>
                            <a:rPr lang="ru-RU" sz="110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;</a:t>
                          </a:r>
                          <a:r>
                            <a:rPr lang="en-GB" sz="1100" i="0">
                              <a:effectLst/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"</a:t>
                          </a:r>
                          <a:endParaRPr lang="ru-RU" sz="1100" i="0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n-US" sz="1100" b="0" i="0">
                              <a:latin typeface="Cambria Math" panose="02040503050406030204" pitchFamily="18" charset="0"/>
                            </a:rPr>
                            <a:t>𝑛</a:t>
                          </a:r>
                          <a:r>
                            <a:rPr lang="ru-RU" sz="1100" b="0" i="0"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b="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"</a:t>
                          </a:r>
                          <a:r>
                            <a:rPr lang="ru-RU" sz="110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–</a:t>
                          </a:r>
                          <a:r>
                            <a:rPr lang="x-none" sz="1100" i="0">
                              <a:effectLst/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количество значений, используемых в расчете;</a:t>
                          </a:r>
                          <a:r>
                            <a:rPr lang="en-GB" sz="1100" i="0">
                              <a:effectLst/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"</a:t>
                          </a:r>
                          <a:endParaRPr lang="en-US" sz="1100" i="0">
                            <a:effectLst/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n-US" sz="1100" b="0" i="0">
                              <a:latin typeface="Cambria Math" panose="02040503050406030204" pitchFamily="18" charset="0"/>
                            </a:rPr>
                            <a:t>𝑖</a:t>
                          </a:r>
                          <a:r>
                            <a:rPr lang="ru-RU" sz="1100" b="0" i="0"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b="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"</a:t>
                          </a:r>
                          <a:r>
                            <a:rPr lang="ru-RU" sz="110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–</a:t>
                          </a:r>
                          <a:r>
                            <a:rPr lang="x-none" sz="1100" i="0">
                              <a:effectLst/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номер источника ценовой информации;</a:t>
                          </a:r>
                          <a:r>
                            <a:rPr lang="en-GB" sz="1100" i="0">
                              <a:effectLst/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"</a:t>
                          </a:r>
                          <a:endParaRPr lang="en-US" sz="1100" i="0">
                            <a:effectLst/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ru-RU" sz="11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ц_</a:t>
                          </a:r>
                          <a:r>
                            <a:rPr lang="en-US" sz="11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𝑖</a:t>
                          </a:r>
                          <a:r>
                            <a:rPr lang="en-US" sz="1100" i="0"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 </a:t>
                          </a:r>
                          <a:r>
                            <a:rPr lang="ru-RU" sz="110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"–</a:t>
                          </a:r>
                          <a:r>
                            <a:rPr lang="x-none" sz="1100" i="0">
                              <a:effectLst/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цена единицы товара</a:t>
                          </a:r>
                          <a:r>
                            <a:rPr lang="en-GB" sz="1100" i="0">
                              <a:effectLst/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"</a:t>
                          </a:r>
                          <a:endParaRPr lang="en-US" sz="1100" i="0">
                            <a:effectLst/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rFonts w:ascii="PT Astra Serif" w:hAnsi="PT Astra Serif"/>
          <w:noProof/>
          <w:sz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3810</wp:posOffset>
            </wp:positionV>
            <wp:extent cx="2465070" cy="1150620"/>
            <wp:effectExtent l="19050" t="0" r="0" b="0"/>
            <wp:wrapNone/>
            <wp:docPr id="1" name="TextBox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88900" y="3309620"/>
                      <a:ext cx="3223260" cy="1737360"/>
                      <a:chOff x="88900" y="3309620"/>
                      <a:chExt cx="3223260" cy="1737360"/>
                    </a:xfrm>
                  </a:grpSpPr>
                  <a:sp>
                    <a:nvSpPr>
                      <a:cNvPr id="3" name="TextBox 2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="" xmlns:a14="http://schemas.microsoft.com/office/drawing/2010/main" xmlns:mc="http://schemas.openxmlformats.org/markup-compatibility/2006" xmlns:xdr="http://schemas.openxmlformats.org/drawingml/2006/spreadsheetDrawing" id="{E7F07E60-1350-BB4C-8829-5D9340484218}"/>
                          </a:ext>
                        </a:extLst>
                      </a:cNvPr>
                      <a:cNvSpPr txBox="1">
                        <a:spLocks/>
                      </a:cNvSpPr>
                    </a:nvSpPr>
                    <a:spPr>
                      <a:xfrm>
                        <a:off x="88900" y="3340100"/>
                        <a:ext cx="3213100" cy="173736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vertOverflow="clip" horzOverflow="clip" wrap="none" lIns="0" tIns="0" rIns="0" bIns="0" rtlCol="0" anchor="t">
                          <a:noAutofit/>
                        </a:bodyPr>
                        <a:lstStyle>
                          <a:lvl1pPr marL="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ru-RU" sz="1300" i="0">
                              <a:latin typeface="Times New Roman" panose="02020603050405020304" pitchFamily="18" charset="0"/>
                              <a:ea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Расчет НМЦК (рын) произведен по формуле:</a:t>
                          </a:r>
                        </a:p>
                        <a:p>
                          <a:pPr algn="l"/>
                          <a:endParaRPr lang="ru-RU" sz="1000" i="1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algn="l"/>
                          <a:r>
                            <a:rPr lang="en-GB" sz="1200" i="0">
                              <a:latin typeface="Cambria Math" panose="02040503050406030204" pitchFamily="18" charset="0"/>
                            </a:rPr>
                            <a:t>〖</a:t>
                          </a:r>
                          <a:r>
                            <a:rPr lang="ru-RU" sz="1200" b="0" i="0">
                              <a:latin typeface="Cambria Math" panose="02040503050406030204" pitchFamily="18" charset="0"/>
                            </a:rPr>
                            <a:t>НМЦК</a:t>
                          </a:r>
                          <a:r>
                            <a:rPr lang="en-GB" sz="1200" b="0" i="0">
                              <a:latin typeface="Cambria Math" panose="02040503050406030204" pitchFamily="18" charset="0"/>
                            </a:rPr>
                            <a:t>〗^</a:t>
                          </a:r>
                          <a:r>
                            <a:rPr lang="ru-RU" sz="1200" b="0" i="0">
                              <a:latin typeface="Cambria Math" panose="02040503050406030204" pitchFamily="18" charset="0"/>
                            </a:rPr>
                            <a:t>рын=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</a:rPr>
                            <a:t>𝑣</a:t>
                          </a:r>
                          <a:r>
                            <a:rPr lang="ru-RU" sz="1200" b="0" i="0">
                              <a:latin typeface="Cambria Math" panose="02040503050406030204" pitchFamily="18" charset="0"/>
                            </a:rPr>
                            <a:t>/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</a:rPr>
                            <a:t>𝑛</a:t>
                          </a:r>
                          <a:r>
                            <a:rPr lang="ru-RU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×∑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_</a:t>
                          </a:r>
                          <a:r>
                            <a:rPr lang="ru-RU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(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𝑖=1</a:t>
                          </a:r>
                          <a:r>
                            <a:rPr lang="ru-RU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)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^𝑛▒</a:t>
                          </a:r>
                          <a:r>
                            <a:rPr lang="ru-RU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ц_</a:t>
                          </a:r>
                          <a:r>
                            <a:rPr lang="en-US" sz="12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𝑖 </a:t>
                          </a:r>
                          <a:endParaRPr lang="en-GB" sz="1200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algn="l"/>
                          <a:endParaRPr lang="en-GB" sz="500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algn="l"/>
                          <a:r>
                            <a:rPr lang="en-US" sz="1100" b="0" i="0">
                              <a:latin typeface="Cambria Math" panose="02040503050406030204" pitchFamily="18" charset="0"/>
                            </a:rPr>
                            <a:t>𝑣</a:t>
                          </a:r>
                          <a:r>
                            <a:rPr lang="ru-RU" sz="1100" b="0" i="0"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b="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"</a:t>
                          </a:r>
                          <a:r>
                            <a:rPr lang="ru-RU" sz="110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–</a:t>
                          </a:r>
                          <a:r>
                            <a:rPr lang="x-none" sz="1100" i="0">
                              <a:effectLst/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количество (объем) закупаемого товара;</a:t>
                          </a:r>
                          <a:r>
                            <a:rPr lang="en-GB" sz="1100" i="0">
                              <a:effectLst/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"</a:t>
                          </a:r>
                          <a:endParaRPr lang="ru-RU" sz="1100" i="0"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n-US" sz="1100" b="0" i="0">
                              <a:latin typeface="Cambria Math" panose="02040503050406030204" pitchFamily="18" charset="0"/>
                            </a:rPr>
                            <a:t>𝑛</a:t>
                          </a:r>
                          <a:r>
                            <a:rPr lang="ru-RU" sz="1100" b="0" i="0"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b="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"</a:t>
                          </a:r>
                          <a:r>
                            <a:rPr lang="ru-RU" sz="110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–</a:t>
                          </a:r>
                          <a:r>
                            <a:rPr lang="x-none" sz="1100" i="0">
                              <a:effectLst/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количество значений, используемых в расчете;</a:t>
                          </a:r>
                          <a:r>
                            <a:rPr lang="en-GB" sz="1100" i="0">
                              <a:effectLst/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"</a:t>
                          </a:r>
                          <a:endParaRPr lang="en-US" sz="1100" i="0">
                            <a:effectLst/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n-US" sz="1100" b="0" i="0">
                              <a:latin typeface="Cambria Math" panose="02040503050406030204" pitchFamily="18" charset="0"/>
                            </a:rPr>
                            <a:t>𝑖</a:t>
                          </a:r>
                          <a:r>
                            <a:rPr lang="ru-RU" sz="1100" b="0" i="0"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b="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"</a:t>
                          </a:r>
                          <a:r>
                            <a:rPr lang="ru-RU" sz="110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–</a:t>
                          </a:r>
                          <a:r>
                            <a:rPr lang="x-none" sz="1100" i="0">
                              <a:effectLst/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номер источника ценовой информации;</a:t>
                          </a:r>
                          <a:r>
                            <a:rPr lang="en-GB" sz="1100" i="0">
                              <a:effectLst/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"</a:t>
                          </a:r>
                          <a:endParaRPr lang="en-US" sz="1100" i="0">
                            <a:effectLst/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marL="0" marR="0" lvl="0" indent="0" algn="l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ru-RU" sz="11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ц_</a:t>
                          </a:r>
                          <a:r>
                            <a:rPr lang="en-US" sz="1100" b="0" i="0">
                              <a:latin typeface="Cambria Math" panose="02040503050406030204" pitchFamily="18" charset="0"/>
                              <a:ea typeface="Cambria Math" panose="02040503050406030204" pitchFamily="18" charset="0"/>
                            </a:rPr>
                            <a:t>𝑖</a:t>
                          </a:r>
                          <a:r>
                            <a:rPr lang="en-US" sz="1100" i="0"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 </a:t>
                          </a:r>
                          <a:r>
                            <a:rPr lang="ru-RU" sz="1100" i="0">
                              <a:solidFill>
                                <a:schemeClr val="tx1"/>
                              </a:solidFill>
                              <a:effectLst/>
                              <a:latin typeface="Cambria Math" panose="02040503050406030204" pitchFamily="18" charset="0"/>
                              <a:ea typeface="+mn-ea"/>
                              <a:cs typeface="+mn-cs"/>
                            </a:rPr>
                            <a:t>"–</a:t>
                          </a:r>
                          <a:r>
                            <a:rPr lang="x-none" sz="1100" i="0">
                              <a:effectLst/>
                              <a:latin typeface="Cambria Math" panose="02040503050406030204" pitchFamily="18" charset="0"/>
                            </a:rPr>
                            <a:t> </a:t>
                          </a:r>
                          <a:r>
                            <a:rPr lang="ru-RU" sz="1100" i="0">
                              <a:effectLst/>
                              <a:latin typeface="Cambria Math" panose="02040503050406030204" pitchFamily="18" charset="0"/>
                              <a:cs typeface="Times New Roman" panose="02020603050405020304" pitchFamily="18" charset="0"/>
                            </a:rPr>
                            <a:t>цена единицы товара</a:t>
                          </a:r>
                          <a:r>
                            <a:rPr lang="en-GB" sz="1100" i="0">
                              <a:effectLst/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"</a:t>
                          </a:r>
                          <a:endParaRPr lang="en-US" sz="1100" i="0">
                            <a:effectLst/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a:style>
                  </a:sp>
                </lc:lockedCanvas>
              </a:graphicData>
            </a:graphic>
          </wp:anchor>
        </w:drawing>
      </w:r>
    </w:p>
    <w:p w:rsidR="00BA7AFB" w:rsidRDefault="00BA7AFB" w:rsidP="007874D9">
      <w:pPr>
        <w:pStyle w:val="a3"/>
        <w:rPr>
          <w:rFonts w:ascii="PT Astra Serif" w:hAnsi="PT Astra Serif"/>
          <w:sz w:val="24"/>
        </w:rPr>
      </w:pPr>
    </w:p>
    <w:p w:rsidR="00BA7AFB" w:rsidRDefault="00BA7AFB" w:rsidP="007874D9">
      <w:pPr>
        <w:pStyle w:val="a3"/>
        <w:rPr>
          <w:rFonts w:ascii="PT Astra Serif" w:hAnsi="PT Astra Serif"/>
          <w:sz w:val="24"/>
        </w:rPr>
      </w:pPr>
    </w:p>
    <w:p w:rsidR="00BA7AFB" w:rsidRDefault="00BA7AFB" w:rsidP="007874D9">
      <w:pPr>
        <w:pStyle w:val="a3"/>
        <w:rPr>
          <w:rFonts w:ascii="PT Astra Serif" w:hAnsi="PT Astra Serif"/>
          <w:sz w:val="24"/>
        </w:rPr>
      </w:pPr>
    </w:p>
    <w:p w:rsidR="00BA7AFB" w:rsidRDefault="00BA7AFB" w:rsidP="007874D9">
      <w:pPr>
        <w:pStyle w:val="a3"/>
        <w:rPr>
          <w:rFonts w:ascii="PT Astra Serif" w:hAnsi="PT Astra Serif"/>
          <w:sz w:val="24"/>
        </w:rPr>
      </w:pPr>
    </w:p>
    <w:p w:rsidR="00FD2243" w:rsidRDefault="00FD2243" w:rsidP="007874D9">
      <w:pPr>
        <w:pStyle w:val="a3"/>
        <w:rPr>
          <w:rFonts w:ascii="PT Astra Serif" w:hAnsi="PT Astra Serif"/>
          <w:sz w:val="24"/>
        </w:rPr>
      </w:pPr>
    </w:p>
    <w:tbl>
      <w:tblPr>
        <w:tblW w:w="1531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2194"/>
        <w:gridCol w:w="1206"/>
        <w:gridCol w:w="1084"/>
        <w:gridCol w:w="1117"/>
        <w:gridCol w:w="1741"/>
        <w:gridCol w:w="1275"/>
        <w:gridCol w:w="1129"/>
        <w:gridCol w:w="1276"/>
        <w:gridCol w:w="1281"/>
        <w:gridCol w:w="1276"/>
        <w:gridCol w:w="1275"/>
      </w:tblGrid>
      <w:tr w:rsidR="000D3F31" w:rsidRPr="003C70C0" w:rsidTr="00794BB2">
        <w:trPr>
          <w:trHeight w:val="402"/>
        </w:trPr>
        <w:tc>
          <w:tcPr>
            <w:tcW w:w="460" w:type="dxa"/>
            <w:vMerge w:val="restart"/>
            <w:shd w:val="clear" w:color="auto" w:fill="auto"/>
            <w:noWrap/>
            <w:hideMark/>
          </w:tcPr>
          <w:p w:rsidR="000D3F31" w:rsidRPr="003C70C0" w:rsidRDefault="000D3F31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3C70C0">
              <w:rPr>
                <w:rFonts w:ascii="PT Astra Serif" w:hAnsi="PT Astra Serif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94" w:type="dxa"/>
            <w:vMerge w:val="restart"/>
            <w:shd w:val="clear" w:color="auto" w:fill="auto"/>
            <w:hideMark/>
          </w:tcPr>
          <w:p w:rsidR="000D3F31" w:rsidRPr="003C70C0" w:rsidRDefault="000D3F31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3C70C0">
              <w:rPr>
                <w:rFonts w:ascii="PT Astra Serif" w:hAnsi="PT Astra Serif"/>
                <w:color w:val="000000"/>
                <w:sz w:val="18"/>
                <w:szCs w:val="18"/>
              </w:rPr>
              <w:t>Наименование товара, услуги (работы)</w:t>
            </w:r>
          </w:p>
        </w:tc>
        <w:tc>
          <w:tcPr>
            <w:tcW w:w="1206" w:type="dxa"/>
            <w:vMerge w:val="restart"/>
            <w:shd w:val="clear" w:color="auto" w:fill="auto"/>
            <w:noWrap/>
            <w:hideMark/>
          </w:tcPr>
          <w:p w:rsidR="000D3F31" w:rsidRPr="00794BB2" w:rsidRDefault="000D3F31" w:rsidP="00C2675D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794BB2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ОКПД 2</w:t>
            </w:r>
          </w:p>
        </w:tc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0D3F31" w:rsidRPr="003C70C0" w:rsidRDefault="000D3F31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3C70C0">
              <w:rPr>
                <w:rFonts w:ascii="PT Astra Serif" w:hAnsi="PT Astra Serif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117" w:type="dxa"/>
            <w:vMerge w:val="restart"/>
            <w:shd w:val="clear" w:color="auto" w:fill="auto"/>
            <w:noWrap/>
            <w:hideMark/>
          </w:tcPr>
          <w:p w:rsidR="000D3F31" w:rsidRPr="003C70C0" w:rsidRDefault="000D3F31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3C70C0">
              <w:rPr>
                <w:rFonts w:ascii="PT Astra Serif" w:hAnsi="PT Astra Serif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4145" w:type="dxa"/>
            <w:gridSpan w:val="3"/>
          </w:tcPr>
          <w:p w:rsidR="000D3F31" w:rsidRPr="003C70C0" w:rsidRDefault="000D3F31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3C70C0">
              <w:rPr>
                <w:rFonts w:ascii="PT Astra Serif" w:hAnsi="PT Astra Serif"/>
                <w:color w:val="000000"/>
                <w:sz w:val="18"/>
                <w:szCs w:val="18"/>
              </w:rPr>
              <w:t>Источники цены (руб.)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D3F31" w:rsidRPr="003C70C0" w:rsidRDefault="000D3F31" w:rsidP="00EA5B2D">
            <w:pPr>
              <w:ind w:firstLineChars="16" w:firstLine="29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3C70C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Среднее квадратичное отклонение, </w:t>
            </w:r>
            <w:r w:rsidRPr="003C70C0">
              <w:rPr>
                <w:color w:val="000000"/>
                <w:sz w:val="18"/>
                <w:szCs w:val="18"/>
              </w:rPr>
              <w:t>σ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0D3F31" w:rsidRPr="003C70C0" w:rsidRDefault="000D3F31" w:rsidP="00EA5B2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3C70C0">
              <w:rPr>
                <w:rFonts w:ascii="PT Astra Serif" w:hAnsi="PT Astra Serif"/>
                <w:color w:val="000000"/>
                <w:sz w:val="18"/>
                <w:szCs w:val="18"/>
              </w:rPr>
              <w:t>Коэффициент вариации, V (%)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D3F31" w:rsidRPr="003C70C0" w:rsidRDefault="000D3F31" w:rsidP="00EA5B2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3C70C0">
              <w:rPr>
                <w:rFonts w:ascii="PT Astra Serif" w:hAnsi="PT Astra Serif"/>
                <w:color w:val="000000"/>
                <w:sz w:val="18"/>
                <w:szCs w:val="18"/>
              </w:rPr>
              <w:t>Средняя цена (руб.)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0D3F31" w:rsidRPr="003C70C0" w:rsidRDefault="000D3F31" w:rsidP="00EA5B2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3C70C0">
              <w:rPr>
                <w:rFonts w:ascii="PT Astra Serif" w:hAnsi="PT Astra Serif"/>
                <w:color w:val="000000"/>
                <w:sz w:val="18"/>
                <w:szCs w:val="18"/>
              </w:rPr>
              <w:t>НМЦК (руб.)</w:t>
            </w:r>
          </w:p>
        </w:tc>
      </w:tr>
      <w:tr w:rsidR="00794BB2" w:rsidRPr="003C70C0" w:rsidTr="00794BB2">
        <w:trPr>
          <w:trHeight w:val="930"/>
        </w:trPr>
        <w:tc>
          <w:tcPr>
            <w:tcW w:w="460" w:type="dxa"/>
            <w:vMerge/>
            <w:vAlign w:val="center"/>
            <w:hideMark/>
          </w:tcPr>
          <w:p w:rsidR="00794BB2" w:rsidRPr="003C70C0" w:rsidRDefault="00794BB2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Merge/>
            <w:vAlign w:val="center"/>
            <w:hideMark/>
          </w:tcPr>
          <w:p w:rsidR="00794BB2" w:rsidRPr="003C70C0" w:rsidRDefault="00794BB2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794BB2" w:rsidRPr="00794BB2" w:rsidRDefault="00794BB2" w:rsidP="00C2675D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94BB2" w:rsidRPr="003C70C0" w:rsidRDefault="00794BB2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  <w:hideMark/>
          </w:tcPr>
          <w:p w:rsidR="00794BB2" w:rsidRPr="003C70C0" w:rsidRDefault="00794BB2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</w:tcPr>
          <w:p w:rsidR="00794BB2" w:rsidRDefault="00794BB2" w:rsidP="00A07924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r w:rsidR="00A07924">
              <w:rPr>
                <w:rFonts w:ascii="PT Astra Serif" w:hAnsi="PT Astra Serif"/>
                <w:color w:val="000000"/>
                <w:sz w:val="18"/>
                <w:szCs w:val="18"/>
              </w:rPr>
              <w:t>МД-сервис»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94BB2" w:rsidRPr="003C70C0" w:rsidRDefault="00A07924" w:rsidP="000D3F31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«Лаки Кар АВТО»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794BB2" w:rsidRPr="003C70C0" w:rsidRDefault="00A07924" w:rsidP="000D3F31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ИП Спасский Ю.Т.</w:t>
            </w:r>
          </w:p>
        </w:tc>
        <w:tc>
          <w:tcPr>
            <w:tcW w:w="1276" w:type="dxa"/>
            <w:vMerge/>
            <w:vAlign w:val="center"/>
            <w:hideMark/>
          </w:tcPr>
          <w:p w:rsidR="00794BB2" w:rsidRPr="003C70C0" w:rsidRDefault="00794BB2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794BB2" w:rsidRPr="003C70C0" w:rsidRDefault="00794BB2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94BB2" w:rsidRPr="003C70C0" w:rsidRDefault="00794BB2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794BB2" w:rsidRPr="003C70C0" w:rsidRDefault="00794BB2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794BB2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794BB2" w:rsidRPr="003C70C0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4" w:type="dxa"/>
            <w:shd w:val="clear" w:color="auto" w:fill="auto"/>
            <w:hideMark/>
          </w:tcPr>
          <w:p w:rsidR="00794BB2" w:rsidRPr="003C70C0" w:rsidRDefault="00C16CBF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/>
                <w:sz w:val="18"/>
                <w:szCs w:val="18"/>
              </w:rPr>
              <w:t>Комплект сцепления ВАЗ 2123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794BB2" w:rsidRPr="00794BB2" w:rsidRDefault="00794BB2" w:rsidP="00457525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noWrap/>
            <w:hideMark/>
          </w:tcPr>
          <w:p w:rsidR="00794BB2" w:rsidRPr="003C70C0" w:rsidRDefault="00C16CBF" w:rsidP="00C16CBF">
            <w:pPr>
              <w:ind w:firstLineChars="3" w:firstLine="5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794BB2" w:rsidRPr="003C70C0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</w:tcPr>
          <w:p w:rsidR="00794BB2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5682,00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94BB2" w:rsidRPr="003C70C0" w:rsidRDefault="00A07924" w:rsidP="000D3F31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6100,00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794BB2" w:rsidRPr="003C70C0" w:rsidRDefault="00A07924" w:rsidP="00794BB2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5980,00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4BB2" w:rsidRPr="003C70C0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215,2239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794BB2" w:rsidRPr="003C70C0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4BB2" w:rsidRPr="003C70C0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5920,67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94BB2" w:rsidRPr="003C70C0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5920,67</w:t>
            </w:r>
          </w:p>
        </w:tc>
      </w:tr>
      <w:tr w:rsidR="00794BB2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794BB2" w:rsidRPr="003C70C0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4" w:type="dxa"/>
            <w:shd w:val="clear" w:color="auto" w:fill="auto"/>
            <w:hideMark/>
          </w:tcPr>
          <w:p w:rsidR="00794BB2" w:rsidRDefault="00C16CBF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/>
                <w:sz w:val="18"/>
                <w:szCs w:val="18"/>
              </w:rPr>
              <w:t>Шаровая опора ВАЗ 219060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794BB2" w:rsidRPr="00794BB2" w:rsidRDefault="00794BB2" w:rsidP="00457525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noWrap/>
            <w:hideMark/>
          </w:tcPr>
          <w:p w:rsidR="00794BB2" w:rsidRPr="003C70C0" w:rsidRDefault="00C16CBF" w:rsidP="00C16CBF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794BB2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1" w:type="dxa"/>
          </w:tcPr>
          <w:p w:rsidR="00794BB2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94BB2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595,00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794BB2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605,00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4BB2" w:rsidRDefault="00DC5053" w:rsidP="00EA5B2D">
            <w:pPr>
              <w:ind w:firstLineChars="100" w:firstLine="18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56,8008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794BB2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4BB2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567,33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94BB2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1134,67</w:t>
            </w:r>
          </w:p>
        </w:tc>
      </w:tr>
      <w:tr w:rsidR="00794BB2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794BB2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4" w:type="dxa"/>
            <w:shd w:val="clear" w:color="auto" w:fill="auto"/>
            <w:hideMark/>
          </w:tcPr>
          <w:p w:rsidR="00794BB2" w:rsidRPr="00794BB2" w:rsidRDefault="00C16CBF" w:rsidP="00C2675D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 подшипников КПП ВАЗ НИВА 2123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794BB2" w:rsidRPr="00794BB2" w:rsidRDefault="00794BB2" w:rsidP="00457525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noWrap/>
            <w:hideMark/>
          </w:tcPr>
          <w:p w:rsidR="00794BB2" w:rsidRDefault="00A07924" w:rsidP="00A07924">
            <w:pPr>
              <w:ind w:firstLineChars="3" w:firstLine="5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794BB2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</w:tcPr>
          <w:p w:rsidR="00794BB2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4263,00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94BB2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4760,00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794BB2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5005,00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4BB2" w:rsidRDefault="00DC5053" w:rsidP="00EA5B2D">
            <w:pPr>
              <w:ind w:firstLineChars="100" w:firstLine="18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378,0648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794BB2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4BB2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4676,00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94BB2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4676,00</w:t>
            </w:r>
          </w:p>
        </w:tc>
      </w:tr>
      <w:tr w:rsidR="00C16CBF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C16CBF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4" w:type="dxa"/>
            <w:shd w:val="clear" w:color="auto" w:fill="auto"/>
            <w:hideMark/>
          </w:tcPr>
          <w:p w:rsidR="00C16CBF" w:rsidRDefault="00C16CBF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/>
                <w:sz w:val="18"/>
                <w:szCs w:val="18"/>
              </w:rPr>
              <w:t>Шины автомобильные 175/70 R-13 летние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C16CBF" w:rsidRDefault="00C16CBF" w:rsidP="00457525"/>
        </w:tc>
        <w:tc>
          <w:tcPr>
            <w:tcW w:w="1084" w:type="dxa"/>
            <w:shd w:val="clear" w:color="auto" w:fill="auto"/>
            <w:noWrap/>
            <w:hideMark/>
          </w:tcPr>
          <w:p w:rsidR="00C16CBF" w:rsidRDefault="00A07924" w:rsidP="00C16CBF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1" w:type="dxa"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3695,00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3795,00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3850,00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78,5812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3780,00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7560,00</w:t>
            </w:r>
          </w:p>
        </w:tc>
      </w:tr>
      <w:tr w:rsidR="00C16CBF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C16CBF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4" w:type="dxa"/>
            <w:shd w:val="clear" w:color="auto" w:fill="auto"/>
            <w:hideMark/>
          </w:tcPr>
          <w:p w:rsidR="00C16CBF" w:rsidRDefault="00C16CBF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/>
                <w:sz w:val="18"/>
                <w:szCs w:val="18"/>
              </w:rPr>
              <w:t>Фильтр масляный ВАЗ 219060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C16CBF" w:rsidRDefault="00C16CBF" w:rsidP="00457525"/>
        </w:tc>
        <w:tc>
          <w:tcPr>
            <w:tcW w:w="1084" w:type="dxa"/>
            <w:shd w:val="clear" w:color="auto" w:fill="auto"/>
            <w:noWrap/>
            <w:hideMark/>
          </w:tcPr>
          <w:p w:rsidR="00C16CBF" w:rsidRDefault="00A07924" w:rsidP="00C16CBF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1" w:type="dxa"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6,0277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304,33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3043,33</w:t>
            </w:r>
          </w:p>
        </w:tc>
      </w:tr>
      <w:tr w:rsidR="00C16CBF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C16CBF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94" w:type="dxa"/>
            <w:shd w:val="clear" w:color="auto" w:fill="auto"/>
            <w:hideMark/>
          </w:tcPr>
          <w:p w:rsidR="00C16CBF" w:rsidRDefault="00C16CBF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/>
                <w:sz w:val="18"/>
                <w:szCs w:val="18"/>
              </w:rPr>
              <w:t>Фильтр воздушный для ВАЗ 219060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C16CBF" w:rsidRDefault="00C16CBF" w:rsidP="00457525"/>
        </w:tc>
        <w:tc>
          <w:tcPr>
            <w:tcW w:w="1084" w:type="dxa"/>
            <w:shd w:val="clear" w:color="auto" w:fill="auto"/>
            <w:noWrap/>
            <w:hideMark/>
          </w:tcPr>
          <w:p w:rsidR="00C16CBF" w:rsidRDefault="00A07924" w:rsidP="00C16CBF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1" w:type="dxa"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5,7735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316,67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3 166,67</w:t>
            </w:r>
          </w:p>
        </w:tc>
      </w:tr>
      <w:tr w:rsidR="00C16CBF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C16CBF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94" w:type="dxa"/>
            <w:shd w:val="clear" w:color="auto" w:fill="auto"/>
            <w:hideMark/>
          </w:tcPr>
          <w:p w:rsidR="00C16CBF" w:rsidRDefault="00C16CBF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/>
                <w:sz w:val="18"/>
                <w:szCs w:val="18"/>
              </w:rPr>
              <w:t>Механизм переключения передачи на ВАЗ 219060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C16CBF" w:rsidRDefault="00C16CBF" w:rsidP="00457525"/>
        </w:tc>
        <w:tc>
          <w:tcPr>
            <w:tcW w:w="1084" w:type="dxa"/>
            <w:shd w:val="clear" w:color="auto" w:fill="auto"/>
            <w:noWrap/>
            <w:hideMark/>
          </w:tcPr>
          <w:p w:rsidR="00C16CBF" w:rsidRDefault="00A07924" w:rsidP="00C16CBF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5495,00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5595,00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6250,00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410,0915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5780,00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5780,00</w:t>
            </w:r>
          </w:p>
        </w:tc>
      </w:tr>
      <w:tr w:rsidR="00C16CBF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C16CBF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94" w:type="dxa"/>
            <w:shd w:val="clear" w:color="auto" w:fill="auto"/>
            <w:hideMark/>
          </w:tcPr>
          <w:p w:rsidR="00C16CBF" w:rsidRDefault="00C16CBF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/>
                <w:sz w:val="18"/>
                <w:szCs w:val="18"/>
              </w:rPr>
              <w:t>Комплект передних тормозных колодок ВАЗ 219060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C16CBF" w:rsidRDefault="00C16CBF" w:rsidP="00457525"/>
        </w:tc>
        <w:tc>
          <w:tcPr>
            <w:tcW w:w="1084" w:type="dxa"/>
            <w:shd w:val="clear" w:color="auto" w:fill="auto"/>
            <w:noWrap/>
            <w:hideMark/>
          </w:tcPr>
          <w:p w:rsidR="00C16CBF" w:rsidRDefault="00A07924" w:rsidP="00A07924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1064,00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1110,00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182,1684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1191,33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1191,33</w:t>
            </w:r>
          </w:p>
        </w:tc>
      </w:tr>
      <w:tr w:rsidR="00C16CBF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C16CBF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94" w:type="dxa"/>
            <w:shd w:val="clear" w:color="auto" w:fill="auto"/>
            <w:hideMark/>
          </w:tcPr>
          <w:p w:rsidR="00C16CBF" w:rsidRDefault="00C16CBF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/>
                <w:sz w:val="18"/>
                <w:szCs w:val="18"/>
              </w:rPr>
              <w:t>Шрус наружный ВАЗ 219060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C16CBF" w:rsidRDefault="00C16CBF" w:rsidP="00457525"/>
        </w:tc>
        <w:tc>
          <w:tcPr>
            <w:tcW w:w="1084" w:type="dxa"/>
            <w:shd w:val="clear" w:color="auto" w:fill="auto"/>
            <w:noWrap/>
            <w:hideMark/>
          </w:tcPr>
          <w:p w:rsidR="00C16CBF" w:rsidRDefault="00A07924" w:rsidP="00C16CBF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1" w:type="dxa"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2490,00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246,3737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6780,00</w:t>
            </w:r>
          </w:p>
        </w:tc>
      </w:tr>
      <w:tr w:rsidR="00C16CBF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C16CBF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94" w:type="dxa"/>
            <w:shd w:val="clear" w:color="auto" w:fill="auto"/>
            <w:hideMark/>
          </w:tcPr>
          <w:p w:rsidR="00C16CBF" w:rsidRDefault="00C16CBF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/>
                <w:sz w:val="18"/>
                <w:szCs w:val="18"/>
              </w:rPr>
              <w:t>Наконечник рулевой тяги правый ВАЗ 219060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C16CBF" w:rsidRDefault="00C16CBF" w:rsidP="00457525"/>
        </w:tc>
        <w:tc>
          <w:tcPr>
            <w:tcW w:w="1084" w:type="dxa"/>
            <w:shd w:val="clear" w:color="auto" w:fill="auto"/>
            <w:noWrap/>
            <w:hideMark/>
          </w:tcPr>
          <w:p w:rsidR="00C16CBF" w:rsidRDefault="00A07924" w:rsidP="00C16CBF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676,00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656,00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25,1661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EB05C3" w:rsidP="00EB05C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652,67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652,67</w:t>
            </w:r>
          </w:p>
        </w:tc>
      </w:tr>
      <w:tr w:rsidR="00C16CBF" w:rsidRPr="003C70C0" w:rsidTr="00794BB2">
        <w:trPr>
          <w:trHeight w:val="381"/>
        </w:trPr>
        <w:tc>
          <w:tcPr>
            <w:tcW w:w="460" w:type="dxa"/>
            <w:shd w:val="clear" w:color="auto" w:fill="auto"/>
            <w:noWrap/>
            <w:hideMark/>
          </w:tcPr>
          <w:p w:rsidR="00C16CBF" w:rsidRDefault="00C16CBF" w:rsidP="00C2675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94" w:type="dxa"/>
            <w:shd w:val="clear" w:color="auto" w:fill="auto"/>
            <w:hideMark/>
          </w:tcPr>
          <w:p w:rsidR="00C16CBF" w:rsidRDefault="00C16CBF" w:rsidP="00C267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16CBF">
              <w:rPr>
                <w:rFonts w:ascii="PT Astra Serif" w:hAnsi="PT Astra Serif"/>
                <w:color w:val="000000"/>
                <w:sz w:val="18"/>
                <w:szCs w:val="18"/>
              </w:rPr>
              <w:t>Наконечник рулевой тяги левый ВАЗ 219060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C16CBF" w:rsidRDefault="00C16CBF" w:rsidP="00457525"/>
        </w:tc>
        <w:tc>
          <w:tcPr>
            <w:tcW w:w="1084" w:type="dxa"/>
            <w:shd w:val="clear" w:color="auto" w:fill="auto"/>
            <w:noWrap/>
            <w:hideMark/>
          </w:tcPr>
          <w:p w:rsidR="00C16CBF" w:rsidRDefault="00A07924" w:rsidP="00C16CBF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16CBF" w:rsidRDefault="00A07924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</w:tcPr>
          <w:p w:rsidR="00C16CBF" w:rsidRDefault="00DC5053" w:rsidP="00DC505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DC5053" w:rsidP="00DC505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676,00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656,00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25,1661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16CBF" w:rsidRDefault="00DC505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652,67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6CBF" w:rsidRDefault="00EB05C3" w:rsidP="00EA5B2D">
            <w:pPr>
              <w:ind w:firstLineChars="100" w:firstLine="18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652,67</w:t>
            </w:r>
          </w:p>
        </w:tc>
      </w:tr>
      <w:tr w:rsidR="000D3F31" w:rsidRPr="003C70C0" w:rsidTr="00794BB2">
        <w:trPr>
          <w:trHeight w:val="200"/>
        </w:trPr>
        <w:tc>
          <w:tcPr>
            <w:tcW w:w="14039" w:type="dxa"/>
            <w:gridSpan w:val="11"/>
          </w:tcPr>
          <w:p w:rsidR="000D3F31" w:rsidRPr="003C70C0" w:rsidRDefault="000D3F31" w:rsidP="003C70C0">
            <w:pPr>
              <w:ind w:firstLineChars="100" w:firstLine="181"/>
              <w:jc w:val="right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3C70C0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D3F31" w:rsidRPr="003C70C0" w:rsidRDefault="00EB05C3" w:rsidP="00531BE1">
            <w:pPr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40 588,01</w:t>
            </w:r>
          </w:p>
        </w:tc>
      </w:tr>
    </w:tbl>
    <w:p w:rsidR="00C2675D" w:rsidRDefault="00C2675D" w:rsidP="007874D9">
      <w:pPr>
        <w:pStyle w:val="a3"/>
        <w:rPr>
          <w:rFonts w:ascii="PT Astra Serif" w:hAnsi="PT Astra Serif"/>
          <w:sz w:val="24"/>
        </w:rPr>
      </w:pPr>
    </w:p>
    <w:p w:rsidR="006719C3" w:rsidRPr="00FD2243" w:rsidRDefault="006719C3" w:rsidP="006719C3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</w:rPr>
      </w:pPr>
      <w:r w:rsidRPr="00FD2243">
        <w:rPr>
          <w:rFonts w:ascii="PT Astra Serif" w:hAnsi="PT Astra Serif"/>
          <w:bCs/>
        </w:rPr>
        <w:t>В связи с доведением до государс</w:t>
      </w:r>
      <w:r w:rsidR="0011596A">
        <w:rPr>
          <w:rFonts w:ascii="PT Astra Serif" w:hAnsi="PT Astra Serif"/>
          <w:bCs/>
        </w:rPr>
        <w:t xml:space="preserve">твенного заказчика максимальных лимитов бюджетных обязательств в размере </w:t>
      </w:r>
      <w:r w:rsidR="00EB05C3">
        <w:rPr>
          <w:rFonts w:ascii="PT Astra Serif" w:hAnsi="PT Astra Serif"/>
          <w:bCs/>
        </w:rPr>
        <w:t>39 200,00</w:t>
      </w:r>
      <w:r w:rsidRPr="00FD2243">
        <w:rPr>
          <w:rFonts w:ascii="PT Astra Serif" w:hAnsi="PT Astra Serif"/>
          <w:bCs/>
        </w:rPr>
        <w:t xml:space="preserve"> руб. за весь объем закупаемых товаров, и с учетом ст. 34 БК РФ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определённого Бюджетом объема средств (результативности).</w:t>
      </w:r>
    </w:p>
    <w:p w:rsidR="000D3F31" w:rsidRDefault="006719C3" w:rsidP="0011596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</w:rPr>
      </w:pPr>
      <w:r w:rsidRPr="00FD2243">
        <w:rPr>
          <w:rFonts w:ascii="PT Astra Serif" w:hAnsi="PT Astra Serif"/>
          <w:bCs/>
        </w:rPr>
        <w:t>На основании выше изложенного, а также на основании п. 2 ст. 72, п. 3 ст. 219 БК РФ, НМЦК устанавливается в пределах доведенных лимитов бюджетных обязательств</w:t>
      </w:r>
      <w:r w:rsidR="000D3F31">
        <w:rPr>
          <w:rFonts w:ascii="PT Astra Serif" w:hAnsi="PT Astra Serif"/>
          <w:bCs/>
        </w:rPr>
        <w:t>, в соответствии с ценами предложенными в наименьшем коммерческом предложении</w:t>
      </w:r>
      <w:r w:rsidRPr="00FD2243">
        <w:rPr>
          <w:rFonts w:ascii="PT Astra Serif" w:hAnsi="PT Astra Serif"/>
          <w:bCs/>
        </w:rPr>
        <w:t xml:space="preserve"> –</w:t>
      </w:r>
      <w:r w:rsidR="00EB05C3">
        <w:rPr>
          <w:rFonts w:ascii="PT Astra Serif" w:hAnsi="PT Astra Serif"/>
        </w:rPr>
        <w:t xml:space="preserve"> 39 200</w:t>
      </w:r>
      <w:r w:rsidRPr="00FD2243">
        <w:rPr>
          <w:rFonts w:ascii="PT Astra Serif" w:hAnsi="PT Astra Serif"/>
        </w:rPr>
        <w:t xml:space="preserve"> </w:t>
      </w:r>
      <w:r w:rsidRPr="00FD2243">
        <w:rPr>
          <w:rFonts w:ascii="PT Astra Serif" w:hAnsi="PT Astra Serif"/>
          <w:bCs/>
        </w:rPr>
        <w:t>(</w:t>
      </w:r>
      <w:r w:rsidR="00EB05C3">
        <w:rPr>
          <w:rFonts w:ascii="PT Astra Serif" w:hAnsi="PT Astra Serif"/>
          <w:bCs/>
        </w:rPr>
        <w:t>тридцать девять тысяч двести</w:t>
      </w:r>
      <w:r w:rsidR="003C70C0">
        <w:rPr>
          <w:rFonts w:ascii="PT Astra Serif" w:hAnsi="PT Astra Serif"/>
          <w:bCs/>
        </w:rPr>
        <w:t xml:space="preserve">) </w:t>
      </w:r>
      <w:r w:rsidRPr="00FD2243">
        <w:rPr>
          <w:rFonts w:ascii="PT Astra Serif" w:hAnsi="PT Astra Serif"/>
          <w:bCs/>
        </w:rPr>
        <w:t>рубл</w:t>
      </w:r>
      <w:r w:rsidR="003C70C0">
        <w:rPr>
          <w:rFonts w:ascii="PT Astra Serif" w:hAnsi="PT Astra Serif"/>
          <w:bCs/>
        </w:rPr>
        <w:t>ей 00</w:t>
      </w:r>
      <w:r w:rsidRPr="00FD2243">
        <w:rPr>
          <w:rFonts w:ascii="PT Astra Serif" w:hAnsi="PT Astra Serif"/>
          <w:bCs/>
        </w:rPr>
        <w:t xml:space="preserve"> копе</w:t>
      </w:r>
      <w:r w:rsidR="003C70C0">
        <w:rPr>
          <w:rFonts w:ascii="PT Astra Serif" w:hAnsi="PT Astra Serif"/>
          <w:bCs/>
        </w:rPr>
        <w:t>ек</w:t>
      </w:r>
      <w:r w:rsidRPr="00FD2243">
        <w:rPr>
          <w:rFonts w:ascii="PT Astra Serif" w:hAnsi="PT Astra Serif"/>
          <w:bCs/>
        </w:rPr>
        <w:t>, в соответствии с наименьшим коммерческим предложением.</w:t>
      </w:r>
      <w:r w:rsidR="00F70161">
        <w:rPr>
          <w:rFonts w:ascii="PT Astra Serif" w:hAnsi="PT Astra Serif"/>
          <w:bCs/>
        </w:rPr>
        <w:t xml:space="preserve"> </w:t>
      </w:r>
    </w:p>
    <w:p w:rsidR="00A739EA" w:rsidRPr="00FD2243" w:rsidRDefault="00F70161" w:rsidP="0011596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color w:val="FF0000"/>
        </w:rPr>
      </w:pPr>
      <w:r w:rsidRPr="005A4CDE">
        <w:rPr>
          <w:rFonts w:ascii="PT Astra Serif" w:hAnsi="PT Astra Serif"/>
          <w:b/>
          <w:bCs/>
          <w:sz w:val="36"/>
        </w:rPr>
        <w:t xml:space="preserve">НМЦК составляет </w:t>
      </w:r>
      <w:r w:rsidR="00EB05C3">
        <w:rPr>
          <w:rFonts w:ascii="PT Astra Serif" w:hAnsi="PT Astra Serif"/>
          <w:b/>
          <w:bCs/>
          <w:sz w:val="36"/>
        </w:rPr>
        <w:t>39 200</w:t>
      </w:r>
      <w:r w:rsidR="00531BE1" w:rsidRPr="005A4CDE">
        <w:rPr>
          <w:rFonts w:ascii="PT Astra Serif" w:hAnsi="PT Astra Serif"/>
          <w:b/>
          <w:bCs/>
          <w:sz w:val="36"/>
        </w:rPr>
        <w:t xml:space="preserve"> руб. </w:t>
      </w:r>
      <w:r w:rsidR="005A4CDE" w:rsidRPr="005A4CDE">
        <w:rPr>
          <w:rFonts w:ascii="PT Astra Serif" w:hAnsi="PT Astra Serif"/>
          <w:b/>
          <w:bCs/>
          <w:sz w:val="36"/>
        </w:rPr>
        <w:t>00</w:t>
      </w:r>
      <w:r w:rsidR="00531BE1" w:rsidRPr="005A4CDE">
        <w:rPr>
          <w:rFonts w:ascii="PT Astra Serif" w:hAnsi="PT Astra Serif"/>
          <w:b/>
          <w:bCs/>
          <w:sz w:val="36"/>
        </w:rPr>
        <w:t xml:space="preserve"> </w:t>
      </w:r>
      <w:r w:rsidRPr="005A4CDE">
        <w:rPr>
          <w:rFonts w:ascii="PT Astra Serif" w:hAnsi="PT Astra Serif"/>
          <w:b/>
          <w:bCs/>
          <w:sz w:val="36"/>
        </w:rPr>
        <w:t>коп.</w:t>
      </w:r>
      <w:r w:rsidRPr="005A4CDE">
        <w:rPr>
          <w:rFonts w:ascii="PT Astra Serif" w:hAnsi="PT Astra Serif"/>
          <w:bCs/>
          <w:sz w:val="36"/>
        </w:rPr>
        <w:t xml:space="preserve"> </w:t>
      </w:r>
    </w:p>
    <w:sectPr w:rsidR="00A739EA" w:rsidRPr="00FD2243" w:rsidSect="0011596A">
      <w:headerReference w:type="even" r:id="rId7"/>
      <w:pgSz w:w="16838" w:h="11906" w:orient="landscape" w:code="9"/>
      <w:pgMar w:top="426" w:right="567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FD" w:rsidRDefault="005013FD">
      <w:r>
        <w:separator/>
      </w:r>
    </w:p>
  </w:endnote>
  <w:endnote w:type="continuationSeparator" w:id="0">
    <w:p w:rsidR="005013FD" w:rsidRDefault="00501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FD" w:rsidRDefault="005013FD">
      <w:r>
        <w:separator/>
      </w:r>
    </w:p>
  </w:footnote>
  <w:footnote w:type="continuationSeparator" w:id="0">
    <w:p w:rsidR="005013FD" w:rsidRDefault="00501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4B" w:rsidRDefault="000C755C" w:rsidP="008B035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A22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224B" w:rsidRDefault="001A22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5005F"/>
    <w:multiLevelType w:val="hybridMultilevel"/>
    <w:tmpl w:val="D92E7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CDD"/>
    <w:rsid w:val="0000606E"/>
    <w:rsid w:val="000070A9"/>
    <w:rsid w:val="000533C5"/>
    <w:rsid w:val="000667E7"/>
    <w:rsid w:val="000761ED"/>
    <w:rsid w:val="000802E0"/>
    <w:rsid w:val="000A27A7"/>
    <w:rsid w:val="000B1D44"/>
    <w:rsid w:val="000C073E"/>
    <w:rsid w:val="000C755C"/>
    <w:rsid w:val="000D123B"/>
    <w:rsid w:val="000D3F31"/>
    <w:rsid w:val="000F4B2C"/>
    <w:rsid w:val="000F4CFC"/>
    <w:rsid w:val="000F6F2B"/>
    <w:rsid w:val="00104BF5"/>
    <w:rsid w:val="00110861"/>
    <w:rsid w:val="001111DF"/>
    <w:rsid w:val="00112771"/>
    <w:rsid w:val="00115033"/>
    <w:rsid w:val="0011596A"/>
    <w:rsid w:val="00126A8C"/>
    <w:rsid w:val="00132271"/>
    <w:rsid w:val="001503D8"/>
    <w:rsid w:val="00152386"/>
    <w:rsid w:val="001616CD"/>
    <w:rsid w:val="00162DC8"/>
    <w:rsid w:val="00195D2B"/>
    <w:rsid w:val="0019763C"/>
    <w:rsid w:val="001A224B"/>
    <w:rsid w:val="001B1E5D"/>
    <w:rsid w:val="001B25F8"/>
    <w:rsid w:val="001B53CB"/>
    <w:rsid w:val="001D734A"/>
    <w:rsid w:val="00211EE4"/>
    <w:rsid w:val="00226400"/>
    <w:rsid w:val="002368D4"/>
    <w:rsid w:val="00246B7E"/>
    <w:rsid w:val="00250617"/>
    <w:rsid w:val="00284C3A"/>
    <w:rsid w:val="002858CB"/>
    <w:rsid w:val="00295CE5"/>
    <w:rsid w:val="002B1D03"/>
    <w:rsid w:val="002E3051"/>
    <w:rsid w:val="002E750A"/>
    <w:rsid w:val="002F285D"/>
    <w:rsid w:val="0031141B"/>
    <w:rsid w:val="00313235"/>
    <w:rsid w:val="00343783"/>
    <w:rsid w:val="00356A85"/>
    <w:rsid w:val="00366DE6"/>
    <w:rsid w:val="00377376"/>
    <w:rsid w:val="00381A46"/>
    <w:rsid w:val="00393FFC"/>
    <w:rsid w:val="003B3CB2"/>
    <w:rsid w:val="003B4082"/>
    <w:rsid w:val="003B5AB0"/>
    <w:rsid w:val="003C70C0"/>
    <w:rsid w:val="003D7308"/>
    <w:rsid w:val="003E1039"/>
    <w:rsid w:val="00404AE1"/>
    <w:rsid w:val="00432CBE"/>
    <w:rsid w:val="0044027D"/>
    <w:rsid w:val="00446320"/>
    <w:rsid w:val="00457525"/>
    <w:rsid w:val="00463279"/>
    <w:rsid w:val="0049165B"/>
    <w:rsid w:val="004B3183"/>
    <w:rsid w:val="004E4860"/>
    <w:rsid w:val="004E5A9C"/>
    <w:rsid w:val="005003F1"/>
    <w:rsid w:val="005013FD"/>
    <w:rsid w:val="00502641"/>
    <w:rsid w:val="0052385E"/>
    <w:rsid w:val="00530578"/>
    <w:rsid w:val="00531BE1"/>
    <w:rsid w:val="00540CF2"/>
    <w:rsid w:val="00553685"/>
    <w:rsid w:val="0055596A"/>
    <w:rsid w:val="00556339"/>
    <w:rsid w:val="0056390E"/>
    <w:rsid w:val="005663A2"/>
    <w:rsid w:val="005670A0"/>
    <w:rsid w:val="0057465B"/>
    <w:rsid w:val="00576CDD"/>
    <w:rsid w:val="00580228"/>
    <w:rsid w:val="00581F82"/>
    <w:rsid w:val="005A4CDE"/>
    <w:rsid w:val="005C45CA"/>
    <w:rsid w:val="005C5E2C"/>
    <w:rsid w:val="005E3D58"/>
    <w:rsid w:val="005F269C"/>
    <w:rsid w:val="00613A3E"/>
    <w:rsid w:val="0063045E"/>
    <w:rsid w:val="00663D5E"/>
    <w:rsid w:val="006719C3"/>
    <w:rsid w:val="00682895"/>
    <w:rsid w:val="00687833"/>
    <w:rsid w:val="006A2C64"/>
    <w:rsid w:val="006D1CF9"/>
    <w:rsid w:val="006E0B4E"/>
    <w:rsid w:val="006E0BD9"/>
    <w:rsid w:val="006E27A3"/>
    <w:rsid w:val="006F5BAA"/>
    <w:rsid w:val="006F7A20"/>
    <w:rsid w:val="00703924"/>
    <w:rsid w:val="00715DA9"/>
    <w:rsid w:val="00716D94"/>
    <w:rsid w:val="007231CF"/>
    <w:rsid w:val="0074418E"/>
    <w:rsid w:val="00757511"/>
    <w:rsid w:val="00770375"/>
    <w:rsid w:val="007801B2"/>
    <w:rsid w:val="0078404E"/>
    <w:rsid w:val="007874D9"/>
    <w:rsid w:val="00790B67"/>
    <w:rsid w:val="00794BB2"/>
    <w:rsid w:val="007B2284"/>
    <w:rsid w:val="007F3A26"/>
    <w:rsid w:val="007F75D2"/>
    <w:rsid w:val="00800F86"/>
    <w:rsid w:val="008027F1"/>
    <w:rsid w:val="00804B46"/>
    <w:rsid w:val="00810E57"/>
    <w:rsid w:val="008166C4"/>
    <w:rsid w:val="00825B7F"/>
    <w:rsid w:val="00845522"/>
    <w:rsid w:val="00847EEB"/>
    <w:rsid w:val="00851025"/>
    <w:rsid w:val="00851E89"/>
    <w:rsid w:val="00865178"/>
    <w:rsid w:val="008807AA"/>
    <w:rsid w:val="008817E1"/>
    <w:rsid w:val="00883DA7"/>
    <w:rsid w:val="0089178C"/>
    <w:rsid w:val="008B0354"/>
    <w:rsid w:val="008B4D59"/>
    <w:rsid w:val="008C388B"/>
    <w:rsid w:val="008C4E21"/>
    <w:rsid w:val="008C7445"/>
    <w:rsid w:val="008E69E3"/>
    <w:rsid w:val="008F6D71"/>
    <w:rsid w:val="009355B3"/>
    <w:rsid w:val="00956A33"/>
    <w:rsid w:val="009623FB"/>
    <w:rsid w:val="009860EC"/>
    <w:rsid w:val="009910ED"/>
    <w:rsid w:val="009A06CD"/>
    <w:rsid w:val="009B58EA"/>
    <w:rsid w:val="009C0028"/>
    <w:rsid w:val="009C09FB"/>
    <w:rsid w:val="009D7D77"/>
    <w:rsid w:val="009E3C48"/>
    <w:rsid w:val="009F7074"/>
    <w:rsid w:val="00A053A1"/>
    <w:rsid w:val="00A07924"/>
    <w:rsid w:val="00A22BAA"/>
    <w:rsid w:val="00A549E2"/>
    <w:rsid w:val="00A601A7"/>
    <w:rsid w:val="00A650B4"/>
    <w:rsid w:val="00A739EA"/>
    <w:rsid w:val="00A846AB"/>
    <w:rsid w:val="00A87135"/>
    <w:rsid w:val="00A95841"/>
    <w:rsid w:val="00A95D5F"/>
    <w:rsid w:val="00AA4F9C"/>
    <w:rsid w:val="00AB79AE"/>
    <w:rsid w:val="00AF0321"/>
    <w:rsid w:val="00B018E7"/>
    <w:rsid w:val="00B05889"/>
    <w:rsid w:val="00B25DF6"/>
    <w:rsid w:val="00B576AF"/>
    <w:rsid w:val="00B60993"/>
    <w:rsid w:val="00B63297"/>
    <w:rsid w:val="00B80BCA"/>
    <w:rsid w:val="00B82923"/>
    <w:rsid w:val="00B82933"/>
    <w:rsid w:val="00B82BE6"/>
    <w:rsid w:val="00B86552"/>
    <w:rsid w:val="00B96C40"/>
    <w:rsid w:val="00B971A2"/>
    <w:rsid w:val="00BA7AFB"/>
    <w:rsid w:val="00BB0EBC"/>
    <w:rsid w:val="00BB3DD2"/>
    <w:rsid w:val="00C00079"/>
    <w:rsid w:val="00C1244B"/>
    <w:rsid w:val="00C16CBF"/>
    <w:rsid w:val="00C2675D"/>
    <w:rsid w:val="00C560B9"/>
    <w:rsid w:val="00C56A04"/>
    <w:rsid w:val="00C60829"/>
    <w:rsid w:val="00C60CFF"/>
    <w:rsid w:val="00C7112F"/>
    <w:rsid w:val="00C90DCC"/>
    <w:rsid w:val="00C911C9"/>
    <w:rsid w:val="00CA247B"/>
    <w:rsid w:val="00CB0C02"/>
    <w:rsid w:val="00CB5C83"/>
    <w:rsid w:val="00CC7DAD"/>
    <w:rsid w:val="00CD113C"/>
    <w:rsid w:val="00CD6D42"/>
    <w:rsid w:val="00CE5D7E"/>
    <w:rsid w:val="00CF49C9"/>
    <w:rsid w:val="00D03169"/>
    <w:rsid w:val="00D0719D"/>
    <w:rsid w:val="00D07F01"/>
    <w:rsid w:val="00D11B75"/>
    <w:rsid w:val="00D12DD7"/>
    <w:rsid w:val="00D21803"/>
    <w:rsid w:val="00D24D0C"/>
    <w:rsid w:val="00D331B0"/>
    <w:rsid w:val="00D421F7"/>
    <w:rsid w:val="00D61279"/>
    <w:rsid w:val="00D65A45"/>
    <w:rsid w:val="00D77C2A"/>
    <w:rsid w:val="00D94537"/>
    <w:rsid w:val="00D95508"/>
    <w:rsid w:val="00D96F40"/>
    <w:rsid w:val="00DA092E"/>
    <w:rsid w:val="00DB304F"/>
    <w:rsid w:val="00DB45FD"/>
    <w:rsid w:val="00DC5053"/>
    <w:rsid w:val="00DF4F4D"/>
    <w:rsid w:val="00E01BEE"/>
    <w:rsid w:val="00E05E84"/>
    <w:rsid w:val="00E20C62"/>
    <w:rsid w:val="00E578EF"/>
    <w:rsid w:val="00E616B3"/>
    <w:rsid w:val="00E74B15"/>
    <w:rsid w:val="00E86FDE"/>
    <w:rsid w:val="00E96C59"/>
    <w:rsid w:val="00EA5B2D"/>
    <w:rsid w:val="00EB05C3"/>
    <w:rsid w:val="00ED5CE6"/>
    <w:rsid w:val="00ED6583"/>
    <w:rsid w:val="00F00752"/>
    <w:rsid w:val="00F048CC"/>
    <w:rsid w:val="00F16594"/>
    <w:rsid w:val="00F17DAD"/>
    <w:rsid w:val="00F27F6A"/>
    <w:rsid w:val="00F30D10"/>
    <w:rsid w:val="00F3588E"/>
    <w:rsid w:val="00F43A5D"/>
    <w:rsid w:val="00F46E0B"/>
    <w:rsid w:val="00F65B8F"/>
    <w:rsid w:val="00F70161"/>
    <w:rsid w:val="00F71352"/>
    <w:rsid w:val="00F913A1"/>
    <w:rsid w:val="00F97F79"/>
    <w:rsid w:val="00FA321D"/>
    <w:rsid w:val="00FB3695"/>
    <w:rsid w:val="00FB393D"/>
    <w:rsid w:val="00FC5787"/>
    <w:rsid w:val="00FD2243"/>
    <w:rsid w:val="00FD5119"/>
    <w:rsid w:val="00FD6A28"/>
    <w:rsid w:val="00FF5C41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45FD"/>
    <w:rPr>
      <w:sz w:val="20"/>
    </w:rPr>
  </w:style>
  <w:style w:type="paragraph" w:customStyle="1" w:styleId="ConsPlusNonformat">
    <w:name w:val="ConsPlusNonformat"/>
    <w:rsid w:val="00DB4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qFormat/>
    <w:rsid w:val="00DB45FD"/>
    <w:pPr>
      <w:ind w:left="720"/>
      <w:contextualSpacing/>
    </w:pPr>
  </w:style>
  <w:style w:type="character" w:customStyle="1" w:styleId="FontStyle73">
    <w:name w:val="Font Style73"/>
    <w:rsid w:val="00DB45FD"/>
    <w:rPr>
      <w:rFonts w:ascii="Times New Roman" w:hAnsi="Times New Roman" w:cs="Times New Roman"/>
      <w:sz w:val="26"/>
      <w:szCs w:val="26"/>
    </w:rPr>
  </w:style>
  <w:style w:type="character" w:styleId="a5">
    <w:name w:val="Hyperlink"/>
    <w:rsid w:val="00DB45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5889"/>
  </w:style>
  <w:style w:type="character" w:styleId="a6">
    <w:name w:val="Strong"/>
    <w:uiPriority w:val="22"/>
    <w:qFormat/>
    <w:rsid w:val="00B05889"/>
    <w:rPr>
      <w:b/>
      <w:bCs/>
    </w:rPr>
  </w:style>
  <w:style w:type="paragraph" w:styleId="2">
    <w:name w:val="Body Text 2"/>
    <w:basedOn w:val="a"/>
    <w:rsid w:val="00F3588E"/>
    <w:pPr>
      <w:spacing w:after="120" w:line="480" w:lineRule="auto"/>
    </w:pPr>
  </w:style>
  <w:style w:type="paragraph" w:styleId="a7">
    <w:name w:val="header"/>
    <w:basedOn w:val="a"/>
    <w:link w:val="a8"/>
    <w:uiPriority w:val="99"/>
    <w:rsid w:val="00800F8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00F86"/>
  </w:style>
  <w:style w:type="paragraph" w:styleId="aa">
    <w:name w:val="footer"/>
    <w:basedOn w:val="a"/>
    <w:link w:val="ab"/>
    <w:rsid w:val="000802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802E0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0802E0"/>
    <w:rPr>
      <w:sz w:val="24"/>
      <w:szCs w:val="24"/>
    </w:rPr>
  </w:style>
  <w:style w:type="paragraph" w:styleId="ac">
    <w:name w:val="Balloon Text"/>
    <w:basedOn w:val="a"/>
    <w:link w:val="ad"/>
    <w:rsid w:val="000802E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80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</vt:lpstr>
    </vt:vector>
  </TitlesOfParts>
  <Company>RePack by SPecialiST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</dc:title>
  <dc:creator>uzel-svyazi</dc:creator>
  <cp:lastModifiedBy>User</cp:lastModifiedBy>
  <cp:revision>2</cp:revision>
  <cp:lastPrinted>2024-05-29T09:54:00Z</cp:lastPrinted>
  <dcterms:created xsi:type="dcterms:W3CDTF">2026-05-25T10:47:00Z</dcterms:created>
  <dcterms:modified xsi:type="dcterms:W3CDTF">2026-05-25T10:47:00Z</dcterms:modified>
</cp:coreProperties>
</file>