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ind w:firstLine="709"/>
        <w:jc w:val="right"/>
        <w:rPr>
          <w:rFonts w:hint="default" w:ascii="PT Astra Serif" w:hAnsi="PT Astra Serif" w:cs="PT Astra Serif"/>
          <w:b/>
          <w:bCs/>
        </w:rPr>
      </w:pPr>
      <w:r>
        <w:rPr>
          <w:rFonts w:hint="default" w:ascii="PT Astra Serif" w:hAnsi="PT Astra Serif" w:cs="PT Astra Serif"/>
          <w:b/>
          <w:bCs/>
        </w:rPr>
        <w:t xml:space="preserve">Приложение №2  </w:t>
      </w:r>
    </w:p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  <w:b/>
          <w:bCs/>
        </w:rPr>
      </w:pPr>
      <w:r>
        <w:rPr>
          <w:rFonts w:hint="default" w:ascii="PT Astra Serif" w:hAnsi="PT Astra Serif" w:cs="PT Astra Serif"/>
          <w:b/>
          <w:bCs/>
        </w:rPr>
        <w:t xml:space="preserve">Порядок приемки </w:t>
      </w:r>
    </w:p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  <w:b/>
          <w:bCs/>
        </w:rPr>
      </w:pPr>
      <w:r>
        <w:rPr>
          <w:rFonts w:hint="default" w:ascii="PT Astra Serif" w:hAnsi="PT Astra Serif" w:cs="PT Astra Serif"/>
          <w:b/>
          <w:bCs/>
        </w:rPr>
        <w:t>(Услуги).</w:t>
      </w:r>
    </w:p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  <w:b/>
          <w:bCs/>
        </w:rPr>
      </w:pPr>
    </w:p>
    <w:p>
      <w:pPr>
        <w:autoSpaceDE w:val="0"/>
        <w:autoSpaceDN w:val="0"/>
        <w:adjustRightInd w:val="0"/>
        <w:ind w:firstLine="709"/>
        <w:jc w:val="both"/>
        <w:rPr>
          <w:rFonts w:hint="default" w:ascii="PT Astra Serif" w:hAnsi="PT Astra Serif" w:cs="PT Astra Serif"/>
          <w:bCs/>
        </w:rPr>
      </w:pPr>
      <w:r>
        <w:rPr>
          <w:rFonts w:hint="default" w:ascii="PT Astra Serif" w:hAnsi="PT Astra Serif" w:cs="PT Astra Serif"/>
          <w:bCs/>
        </w:rPr>
        <w:t xml:space="preserve">1.Исполнитель не позднее 5 рабочих дней с даты оказания услуг предоставляет Заказчику результаты услуги (форма акта в соответствии с приложением №1 к Договору), предусмотренные договором, результаты отдельного периода исполнения договора. </w:t>
      </w:r>
    </w:p>
    <w:p>
      <w:pPr>
        <w:autoSpaceDE w:val="0"/>
        <w:autoSpaceDN w:val="0"/>
        <w:adjustRightInd w:val="0"/>
        <w:ind w:firstLine="708"/>
        <w:jc w:val="both"/>
        <w:rPr>
          <w:rFonts w:hint="default" w:ascii="PT Astra Serif" w:hAnsi="PT Astra Serif" w:cs="PT Astra Serif"/>
          <w:bCs/>
        </w:rPr>
      </w:pPr>
      <w:r>
        <w:rPr>
          <w:rFonts w:hint="default" w:ascii="PT Astra Serif" w:hAnsi="PT Astra Serif" w:cs="PT Astra Serif"/>
          <w:bCs/>
        </w:rPr>
        <w:t>При этом первичные учетные документы предоставляются Заказчику в письменном виде на бумажном носителе одновременно с результатом работы или услуги, или с применением электронного документа оборота (далее - ЭДО).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 xml:space="preserve">2. Для проверки предоставленных Подрядчиком (Исполнителем) результатов, предусмотренных контрактом </w:t>
      </w:r>
      <w:r>
        <w:rPr>
          <w:rFonts w:hint="default" w:ascii="PT Astra Serif" w:hAnsi="PT Astra Serif" w:cs="PT Astra Serif"/>
          <w:bCs/>
        </w:rPr>
        <w:t>(договором)</w:t>
      </w:r>
      <w:r>
        <w:rPr>
          <w:rFonts w:hint="default" w:ascii="PT Astra Serif" w:hAnsi="PT Astra Serif" w:cs="PT Astra Serif"/>
        </w:rPr>
        <w:t xml:space="preserve">, в части их соответствия условиям контракта </w:t>
      </w:r>
      <w:r>
        <w:rPr>
          <w:rFonts w:hint="default" w:ascii="PT Astra Serif" w:hAnsi="PT Astra Serif" w:cs="PT Astra Serif"/>
          <w:bCs/>
        </w:rPr>
        <w:t>(договора)</w:t>
      </w:r>
      <w:r>
        <w:rPr>
          <w:rFonts w:hint="default" w:ascii="PT Astra Serif" w:hAnsi="PT Astra Serif" w:cs="PT Astra Serif"/>
        </w:rPr>
        <w:t xml:space="preserve"> Заказчик проводит экспертизу. Экспертиза результатов, предусмотренных контрактом </w:t>
      </w:r>
      <w:r>
        <w:rPr>
          <w:rFonts w:hint="default" w:ascii="PT Astra Serif" w:hAnsi="PT Astra Serif" w:cs="PT Astra Serif"/>
          <w:bCs/>
        </w:rPr>
        <w:t>(договором)</w:t>
      </w:r>
      <w:r>
        <w:rPr>
          <w:rFonts w:hint="default" w:ascii="PT Astra Serif" w:hAnsi="PT Astra Serif" w:cs="PT Astra Serif"/>
        </w:rPr>
        <w:t xml:space="preserve">, может проводиться Заказчиком своими силами или к ее проведению могут привлекаться эксперты, экспертные организации на основании контрактов (договоров), заключенных в соответствии с Федеральным законом от 05.04.2013 №44-ФЗ «О контрактной системе в сфере закупок товаров, работ, услуг для государственных и муниципальных нужд». 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Экспертиза проводится в сроки, определенные пунктом 3 Порядка приемки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 xml:space="preserve">В случае принятия Заказчиком решения о привлечении экспертов, экспертных организаций, приёмка </w:t>
      </w:r>
      <w:bookmarkStart w:id="0" w:name="_GoBack"/>
      <w:bookmarkEnd w:id="0"/>
      <w:r>
        <w:rPr>
          <w:rFonts w:hint="default" w:ascii="PT Astra Serif" w:hAnsi="PT Astra Serif" w:cs="PT Astra Serif"/>
        </w:rPr>
        <w:t>осуществляется по окончании экспертизы выполненных Подрядчиком работ (их результата), оказанных Исполнителем услуг). При этом Заказчик уведомляет Подрядчика (Исполнителя) о привлечении экспертов, экспертных организаций, в течение одного рабочего дня с даты принятия такого решения.</w:t>
      </w:r>
    </w:p>
    <w:p>
      <w:pPr>
        <w:pStyle w:val="9"/>
        <w:spacing w:before="0" w:beforeAutospacing="0" w:after="0" w:afterAutospacing="0"/>
        <w:ind w:firstLine="708"/>
        <w:jc w:val="both"/>
        <w:rPr>
          <w:rStyle w:val="6"/>
          <w:rFonts w:hint="default" w:ascii="PT Astra Serif" w:hAnsi="PT Astra Serif" w:cs="PT Astra Serif"/>
          <w:i w:val="0"/>
          <w:iCs w:val="0"/>
        </w:rPr>
      </w:pPr>
      <w:r>
        <w:rPr>
          <w:rFonts w:hint="default" w:ascii="PT Astra Serif" w:hAnsi="PT Astra Serif" w:cs="PT Astra Serif"/>
        </w:rPr>
        <w:t>3. Заказчик/</w:t>
      </w:r>
      <w:r>
        <w:rPr>
          <w:rStyle w:val="6"/>
          <w:rFonts w:hint="default" w:ascii="PT Astra Serif" w:hAnsi="PT Astra Serif" w:cs="PT Astra Serif"/>
          <w:i w:val="0"/>
          <w:iCs w:val="0"/>
        </w:rPr>
        <w:t xml:space="preserve"> лицо, </w:t>
      </w:r>
      <w:r>
        <w:rPr>
          <w:rStyle w:val="6"/>
          <w:rFonts w:hint="default" w:ascii="PT Astra Serif" w:hAnsi="PT Astra Serif" w:eastAsia="Calibri" w:cs="PT Astra Serif"/>
          <w:i w:val="0"/>
          <w:iCs w:val="0"/>
        </w:rPr>
        <w:t>имеюще</w:t>
      </w:r>
      <w:r>
        <w:rPr>
          <w:rStyle w:val="6"/>
          <w:rFonts w:hint="default" w:ascii="PT Astra Serif" w:hAnsi="PT Astra Serif" w:cs="PT Astra Serif"/>
          <w:i w:val="0"/>
          <w:iCs w:val="0"/>
        </w:rPr>
        <w:t>е</w:t>
      </w:r>
      <w:r>
        <w:rPr>
          <w:rStyle w:val="6"/>
          <w:rFonts w:hint="default" w:ascii="PT Astra Serif" w:hAnsi="PT Astra Serif" w:eastAsia="Calibri" w:cs="PT Astra Serif"/>
          <w:i w:val="0"/>
          <w:iCs w:val="0"/>
        </w:rPr>
        <w:t xml:space="preserve"> право действовать от имени Заказчика,</w:t>
      </w:r>
      <w:r>
        <w:rPr>
          <w:rFonts w:hint="default" w:ascii="PT Astra Serif" w:hAnsi="PT Astra Serif" w:cs="PT Astra Serif"/>
        </w:rPr>
        <w:t xml:space="preserve"> в течение 5 (пяти) рабочих дней с даты выполнения работы, оказания услуги или оказания услуги за расчетный период, </w:t>
      </w:r>
      <w:r>
        <w:rPr>
          <w:rStyle w:val="6"/>
          <w:rFonts w:hint="default" w:ascii="PT Astra Serif" w:hAnsi="PT Astra Serif" w:eastAsia="Calibri" w:cs="PT Astra Serif"/>
          <w:i w:val="0"/>
          <w:iCs w:val="0"/>
        </w:rPr>
        <w:t>осуществляет одно из следующих действий</w:t>
      </w:r>
      <w:r>
        <w:rPr>
          <w:rStyle w:val="6"/>
          <w:rFonts w:hint="default" w:ascii="PT Astra Serif" w:hAnsi="PT Astra Serif" w:cs="PT Astra Serif"/>
          <w:i w:val="0"/>
          <w:iCs w:val="0"/>
        </w:rPr>
        <w:t>:</w:t>
      </w:r>
    </w:p>
    <w:p>
      <w:pPr>
        <w:pStyle w:val="9"/>
        <w:spacing w:before="0" w:beforeAutospacing="0" w:after="0" w:afterAutospacing="0"/>
        <w:ind w:firstLine="708"/>
        <w:jc w:val="both"/>
        <w:rPr>
          <w:rStyle w:val="6"/>
          <w:rFonts w:hint="default" w:ascii="PT Astra Serif" w:hAnsi="PT Astra Serif" w:cs="PT Astra Serif"/>
          <w:i w:val="0"/>
          <w:iCs w:val="0"/>
        </w:rPr>
      </w:pPr>
      <w:r>
        <w:rPr>
          <w:rStyle w:val="6"/>
          <w:rFonts w:hint="default" w:ascii="PT Astra Serif" w:hAnsi="PT Astra Serif" w:cs="PT Astra Serif"/>
          <w:i w:val="0"/>
          <w:iCs w:val="0"/>
        </w:rPr>
        <w:t>а) принимает результат работы, услуги, пописывает первичные учетные документы.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Формирует Акт приемки (</w:t>
      </w:r>
      <w:r>
        <w:rPr>
          <w:rFonts w:hint="default" w:ascii="PT Astra Serif" w:hAnsi="PT Astra Serif" w:cs="PT Astra Serif"/>
        </w:rPr>
        <w:fldChar w:fldCharType="begin"/>
      </w:r>
      <w:r>
        <w:rPr>
          <w:rFonts w:hint="default" w:ascii="PT Astra Serif" w:hAnsi="PT Astra Serif" w:cs="PT Astra Serif"/>
        </w:rPr>
        <w:instrText xml:space="preserve"> HYPERLINK "https://internet.garant.ru/" \l "/document/400766923/entry/20400" </w:instrText>
      </w:r>
      <w:r>
        <w:rPr>
          <w:rFonts w:hint="default" w:ascii="PT Astra Serif" w:hAnsi="PT Astra Serif" w:cs="PT Astra Serif"/>
        </w:rPr>
        <w:fldChar w:fldCharType="separate"/>
      </w:r>
      <w:r>
        <w:rPr>
          <w:rFonts w:hint="default" w:ascii="PT Astra Serif" w:hAnsi="PT Astra Serif" w:cs="PT Astra Serif"/>
        </w:rPr>
        <w:t>ф. 0510452</w:t>
      </w:r>
      <w:r>
        <w:rPr>
          <w:rFonts w:hint="default" w:ascii="PT Astra Serif" w:hAnsi="PT Astra Serif" w:cs="PT Astra Serif"/>
        </w:rPr>
        <w:fldChar w:fldCharType="end"/>
      </w:r>
      <w:r>
        <w:rPr>
          <w:rFonts w:hint="default" w:ascii="PT Astra Serif" w:hAnsi="PT Astra Serif" w:cs="PT Astra Serif"/>
        </w:rPr>
        <w:t>) на основании документов, подтверждающих  выполнение (сдачу) работ (услуг).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4. В случае качественных или количественных расхождений, а также несоответствия ассортимента принятых работ, услуг, выявленных при выполненных работах, оказанных услугах формирует и направляет мотивированный отказ от приемки с указанием причин такого отказа и Акт приемки (ф. 0510452).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5. В случае подписания документов в письменном виде на бумажном носителе один экземпляр первичных учетных документов подлежит возврату Подрядчику (Исполнителю) в срок не позднее 3 (трех) рабочих дней с даты их подписания.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6. Подрядчик (Исполнитель) в случае получения от Заказчика мотивированного отказа вправе устранить причины, указанные в таком мотивированном отказе, и направить Заказчику документ о приемке в порядке, предусмотренном настоящей разделом.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 xml:space="preserve">7. Датой поступления Подрядчику (Исполнителю) Акта ф.0510452, мотивированного отказа от приемки считается дата получения или дата вручения в соответствии с настоящим пунктом таких Акта ф.0510452, мотивированного отказа. </w:t>
      </w:r>
    </w:p>
    <w:p>
      <w:pPr>
        <w:pStyle w:val="9"/>
        <w:spacing w:before="0" w:beforeAutospacing="0" w:after="0" w:afterAutospacing="0"/>
        <w:ind w:firstLine="708"/>
        <w:jc w:val="both"/>
        <w:rPr>
          <w:rFonts w:hint="default" w:ascii="PT Astra Serif" w:hAnsi="PT Astra Serif" w:cs="PT Astra Serif"/>
        </w:rPr>
      </w:pPr>
      <w:r>
        <w:rPr>
          <w:rFonts w:hint="default" w:ascii="PT Astra Serif" w:hAnsi="PT Astra Serif" w:cs="PT Astra Serif"/>
        </w:rPr>
        <w:t>8. Датой приемки выполненной работы, оказанной услуги считается дата подписания Заказчиком первичных учетных документов.</w:t>
      </w:r>
    </w:p>
    <w:p>
      <w:pPr>
        <w:rPr>
          <w:rFonts w:hint="default" w:ascii="PT Astra Serif" w:hAnsi="PT Astra Serif" w:cs="PT Astra Serif"/>
        </w:rPr>
      </w:pPr>
    </w:p>
    <w:p>
      <w:pPr>
        <w:autoSpaceDE w:val="0"/>
        <w:autoSpaceDN w:val="0"/>
        <w:adjustRightInd w:val="0"/>
        <w:ind w:firstLine="709"/>
        <w:jc w:val="center"/>
        <w:rPr>
          <w:rFonts w:hint="default" w:ascii="PT Astra Serif" w:hAnsi="PT Astra Serif" w:cs="PT Astra Serif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DejaVu Sans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DejaVu Sans"/>
    <w:panose1 w:val="020F0502020204030204"/>
    <w:charset w:val="CC"/>
    <w:family w:val="swiss"/>
    <w:pitch w:val="default"/>
    <w:sig w:usb0="00000000" w:usb1="00000000" w:usb2="00000009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egoe UI">
    <w:altName w:val="Noto Looped Lao Bold"/>
    <w:panose1 w:val="020B0502040204020203"/>
    <w:charset w:val="CC"/>
    <w:family w:val="swiss"/>
    <w:pitch w:val="default"/>
    <w:sig w:usb0="00000000" w:usb1="00000000" w:usb2="00000029" w:usb3="00000000" w:csb0="000001DF" w:csb1="00000000"/>
  </w:font>
  <w:font w:name="Noto Looped Lao Bold">
    <w:panose1 w:val="020B0502040504020204"/>
    <w:charset w:val="00"/>
    <w:family w:val="auto"/>
    <w:pitch w:val="default"/>
    <w:sig w:usb0="02000000" w:usb1="00000000" w:usb2="00000000" w:usb3="00000000" w:csb0="00000001" w:csb1="00000000"/>
  </w:font>
  <w:font w:name="PT Astra Serif">
    <w:panose1 w:val="020A0603040505020204"/>
    <w:charset w:val="00"/>
    <w:family w:val="auto"/>
    <w:pitch w:val="default"/>
    <w:sig w:usb0="A00002EF" w:usb1="5000204B" w:usb2="00000020" w:usb3="00000000" w:csb0="2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EB"/>
    <w:rsid w:val="000121D3"/>
    <w:rsid w:val="00073FFA"/>
    <w:rsid w:val="000C05C8"/>
    <w:rsid w:val="00262850"/>
    <w:rsid w:val="003412B8"/>
    <w:rsid w:val="003A7521"/>
    <w:rsid w:val="003F36B8"/>
    <w:rsid w:val="00407448"/>
    <w:rsid w:val="00413553"/>
    <w:rsid w:val="00436BEB"/>
    <w:rsid w:val="004554C2"/>
    <w:rsid w:val="00503B4D"/>
    <w:rsid w:val="00575177"/>
    <w:rsid w:val="005915E7"/>
    <w:rsid w:val="005E6B83"/>
    <w:rsid w:val="00723B81"/>
    <w:rsid w:val="007D33F8"/>
    <w:rsid w:val="007F5837"/>
    <w:rsid w:val="008B78F2"/>
    <w:rsid w:val="00A14764"/>
    <w:rsid w:val="00A34D1C"/>
    <w:rsid w:val="00AB6B2D"/>
    <w:rsid w:val="00B41102"/>
    <w:rsid w:val="00B43C25"/>
    <w:rsid w:val="00B831A2"/>
    <w:rsid w:val="00CC77C5"/>
    <w:rsid w:val="00CF2866"/>
    <w:rsid w:val="00D047ED"/>
    <w:rsid w:val="00D3005D"/>
    <w:rsid w:val="00D37295"/>
    <w:rsid w:val="00E06B4E"/>
    <w:rsid w:val="00E12847"/>
    <w:rsid w:val="00E3756F"/>
    <w:rsid w:val="00F73350"/>
    <w:rsid w:val="00FA7F2C"/>
    <w:rsid w:val="6FFF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1"/>
    <w:next w:val="1"/>
    <w:link w:val="11"/>
    <w:qFormat/>
    <w:uiPriority w:val="0"/>
    <w:pPr>
      <w:keepNext/>
      <w:widowControl w:val="0"/>
      <w:tabs>
        <w:tab w:val="left" w:pos="2127"/>
        <w:tab w:val="left" w:pos="4111"/>
        <w:tab w:val="left" w:pos="8080"/>
      </w:tabs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bCs/>
      <w:sz w:val="20"/>
      <w:szCs w:val="20"/>
      <w:lang w:val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paragraph" w:styleId="7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customStyle="1" w:styleId="8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paragraph" w:customStyle="1" w:styleId="9">
    <w:name w:val="s_1"/>
    <w:basedOn w:val="1"/>
    <w:qFormat/>
    <w:uiPriority w:val="0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2 Знак"/>
    <w:basedOn w:val="4"/>
    <w:link w:val="2"/>
    <w:qFormat/>
    <w:uiPriority w:val="0"/>
    <w:rPr>
      <w:rFonts w:ascii="Arial" w:hAnsi="Arial" w:eastAsia="Calibri" w:cs="Times New Roman"/>
      <w:b/>
      <w:bCs/>
      <w:i/>
      <w:iCs/>
      <w:sz w:val="28"/>
      <w:szCs w:val="28"/>
      <w:lang w:val="zh-CN" w:eastAsia="ru-RU"/>
    </w:rPr>
  </w:style>
  <w:style w:type="character" w:customStyle="1" w:styleId="11">
    <w:name w:val="Заголовок 3 Знак"/>
    <w:basedOn w:val="4"/>
    <w:link w:val="3"/>
    <w:qFormat/>
    <w:uiPriority w:val="0"/>
    <w:rPr>
      <w:rFonts w:ascii="Times New Roman" w:hAnsi="Times New Roman" w:eastAsia="Calibri" w:cs="Times New Roman"/>
      <w:b/>
      <w:bCs/>
      <w:sz w:val="20"/>
      <w:szCs w:val="20"/>
      <w:lang w:val="zh-CN" w:eastAsia="ru-RU"/>
    </w:rPr>
  </w:style>
  <w:style w:type="character" w:customStyle="1" w:styleId="12">
    <w:name w:val="Текст выноски Знак"/>
    <w:basedOn w:val="4"/>
    <w:link w:val="7"/>
    <w:semiHidden/>
    <w:qFormat/>
    <w:uiPriority w:val="99"/>
    <w:rPr>
      <w:rFonts w:ascii="Segoe UI" w:hAnsi="Segoe UI" w:eastAsia="Calibri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464</Words>
  <Characters>2645</Characters>
  <Lines>22</Lines>
  <Paragraphs>6</Paragraphs>
  <TotalTime>233</TotalTime>
  <ScaleCrop>false</ScaleCrop>
  <LinksUpToDate>false</LinksUpToDate>
  <CharactersWithSpaces>3103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2024-04-04T09:41:00Z</dcterms:created>
  <dc:creator>Тест</dc:creator>
  <cp:lastModifiedBy>efremov</cp:lastModifiedBy>
  <cp:lastPrinted>2026-08-05T13:59:42Z</cp:lastPrinted>
  <dcterms:modified xsi:type="dcterms:W3CDTF">2026-08-05T13:59:45Z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