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E40F0" w14:textId="77777777" w:rsidR="005D5FA5" w:rsidRPr="00C95660" w:rsidRDefault="005D5FA5" w:rsidP="005D5FA5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56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к электронному контракту на ЕАТ</w:t>
      </w:r>
    </w:p>
    <w:p w14:paraId="17CE0770" w14:textId="77777777" w:rsidR="005D5FA5" w:rsidRPr="00C95660" w:rsidRDefault="005D5FA5" w:rsidP="005D5FA5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56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«___» _______</w:t>
      </w:r>
      <w:proofErr w:type="gramStart"/>
      <w:r w:rsidRPr="00C956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</w:t>
      </w:r>
      <w:r w:rsidR="00722B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  </w:t>
      </w:r>
      <w:r w:rsidRPr="00C956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  <w:proofErr w:type="gramEnd"/>
      <w:r w:rsidRPr="00C956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№</w:t>
      </w:r>
    </w:p>
    <w:p w14:paraId="56001BC4" w14:textId="77777777" w:rsidR="005D5FA5" w:rsidRPr="00C95660" w:rsidRDefault="005D5FA5" w:rsidP="005D5FA5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56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Учетный номер контракта заказчика: № </w:t>
      </w:r>
    </w:p>
    <w:p w14:paraId="5D36245D" w14:textId="77777777" w:rsidR="005D5FA5" w:rsidRDefault="005D5FA5" w:rsidP="005D5FA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1DEEC9" w14:textId="77777777" w:rsidR="005D5FA5" w:rsidRDefault="005D5FA5" w:rsidP="005D5FA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2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tbl>
      <w:tblPr>
        <w:tblW w:w="11057" w:type="dxa"/>
        <w:tblCellSpacing w:w="0" w:type="dxa"/>
        <w:tblInd w:w="-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1"/>
        <w:gridCol w:w="7106"/>
      </w:tblGrid>
      <w:tr w:rsidR="00192893" w:rsidRPr="00F63CF7" w14:paraId="31592EDE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436876" w14:textId="77777777" w:rsidR="00192893" w:rsidRPr="00F63CF7" w:rsidRDefault="00192893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 закупки (если объектом закупки является приобретение товара </w:t>
            </w:r>
            <w:r w:rsidR="00330CD6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или объектом закупки является выполнение работы, оказание услуги </w:t>
            </w:r>
            <w:r w:rsidR="00330CD6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использованием товара и есть указания на товарные знаки, то необходимо указать эквивалент поставляемого товара и параметры определения эквивалентности)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0B59B2" w14:textId="77777777" w:rsidR="00D17F2C" w:rsidRPr="00F63CF7" w:rsidRDefault="00D17F2C" w:rsidP="00D17F2C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</w:t>
            </w:r>
            <w:r w:rsidR="002D65FE">
              <w:rPr>
                <w:rFonts w:ascii="Times New Roman" w:hAnsi="Times New Roman" w:cs="Times New Roman"/>
                <w:sz w:val="20"/>
                <w:szCs w:val="20"/>
              </w:rPr>
              <w:t xml:space="preserve">адаптации и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сопровождению экземпляров Систем КонсультантПлюс, оказываемые на основе специального лицензионного сервисного программного обеспечения, </w:t>
            </w:r>
            <w:r w:rsidRPr="00F63C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обеспечивающего совместимость услуг с установленными экзе</w:t>
            </w:r>
            <w:r w:rsidR="007B22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мплярами Систем КонсультантПлюс в рамках ИКТ.</w:t>
            </w:r>
          </w:p>
          <w:p w14:paraId="017CF1E9" w14:textId="77777777" w:rsidR="00256EE0" w:rsidRPr="00F63CF7" w:rsidRDefault="00330CD6" w:rsidP="00D17F2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</w:t>
            </w:r>
            <w:r w:rsidR="00B7536B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алее – Услуга)</w:t>
            </w:r>
            <w:r w:rsidR="00652D16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6EE0" w:rsidRPr="00F63CF7" w14:paraId="1BC93188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7CF78" w14:textId="77777777" w:rsidR="00256EE0" w:rsidRPr="00F63CF7" w:rsidRDefault="00256EE0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F0540" w14:textId="77777777" w:rsidR="00256EE0" w:rsidRPr="00F63CF7" w:rsidRDefault="00065F0C" w:rsidP="00011622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62.09.20.190 – </w:t>
            </w:r>
            <w:r w:rsidRPr="00F63C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27DF3" w:rsidRPr="00F63CF7" w14:paraId="06C097EE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DFA9D" w14:textId="77777777" w:rsidR="00527DF3" w:rsidRPr="00F63CF7" w:rsidRDefault="00527DF3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40218" w14:textId="77777777" w:rsidR="00065F0C" w:rsidRPr="00722BC4" w:rsidRDefault="0091547F" w:rsidP="00065F0C">
            <w:pPr>
              <w:tabs>
                <w:tab w:val="left" w:pos="1134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065F0C" w:rsidRPr="00F63C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0305</w:t>
            </w:r>
            <w:r w:rsidR="00065F0C" w:rsidRPr="00F63C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2BC4">
              <w:rPr>
                <w:rFonts w:ascii="Times New Roman" w:hAnsi="Times New Roman" w:cs="Times New Roman"/>
                <w:sz w:val="20"/>
                <w:szCs w:val="20"/>
              </w:rPr>
              <w:t>4240690049</w:t>
            </w:r>
            <w:r w:rsidR="00065F0C" w:rsidRPr="00722B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2BC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E2ED9" w:rsidRPr="00722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D1413D" w14:textId="77777777" w:rsidR="00527DF3" w:rsidRPr="00F63CF7" w:rsidRDefault="00A71E12" w:rsidP="00065F0C">
            <w:pPr>
              <w:tabs>
                <w:tab w:val="left" w:pos="113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BC4">
              <w:rPr>
                <w:rFonts w:ascii="Times New Roman" w:hAnsi="Times New Roman" w:cs="Times New Roman"/>
                <w:sz w:val="20"/>
                <w:szCs w:val="20"/>
              </w:rPr>
              <w:t>(код</w:t>
            </w:r>
            <w:r w:rsidR="00065F0C" w:rsidRPr="00722BC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  <w:r w:rsidR="00F63CF7" w:rsidRPr="00722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2BC4" w:rsidRPr="0072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320.001А9144.21.Э.40980.26</w:t>
            </w:r>
            <w:r w:rsidRPr="00722B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A104C" w:rsidRPr="00F63CF7" w14:paraId="2ACF6A4A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145FA" w14:textId="77777777" w:rsidR="00AA104C" w:rsidRPr="00F63CF7" w:rsidRDefault="00AA104C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ИКЗ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64A5B" w14:textId="77777777" w:rsidR="00AA104C" w:rsidRPr="00F63CF7" w:rsidRDefault="004E03E9" w:rsidP="00011622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192893" w:rsidRPr="00F63CF7" w14:paraId="233F64FD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2D5B91" w14:textId="77777777" w:rsidR="00192893" w:rsidRPr="00F63CF7" w:rsidRDefault="00192893" w:rsidP="00F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поставляемого товара, объ</w:t>
            </w:r>
            <w:r w:rsidR="00FF6B7C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выполняемой работы, оказываемой услуги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1EBCD7" w14:textId="77777777" w:rsidR="00341E9F" w:rsidRPr="00F63CF7" w:rsidRDefault="00991493" w:rsidP="002D65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Список дистрибутивов нормативно-справочной Системы КонсультантПлюс, установленных в подразделениях заказчика (версия системы, количество — экз.) указаны в приложении </w:t>
            </w:r>
            <w:r w:rsidR="002D65FE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 объекта закупки</w:t>
            </w:r>
          </w:p>
        </w:tc>
      </w:tr>
      <w:tr w:rsidR="00872368" w:rsidRPr="00F63CF7" w14:paraId="044A9464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2126E" w14:textId="77777777" w:rsidR="00872368" w:rsidRPr="00F63CF7" w:rsidRDefault="00872368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НМЦК 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DB9B" w14:textId="4816B597" w:rsidR="008A53BF" w:rsidRPr="00F63CF7" w:rsidRDefault="00F63CF7" w:rsidP="00F63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3F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="006458D7"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пятьдесят две тысячи двести девяносто девять</w:t>
            </w:r>
            <w:r w:rsidR="00312539" w:rsidRPr="00F63C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458D7"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 w:rsidR="00312539" w:rsidRPr="00F63CF7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539" w:rsidRPr="00F63CF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458D7"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 w:rsidR="00312539" w:rsidRPr="00F63C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58D7" w:rsidRPr="00F63CF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52D16" w:rsidRPr="00F63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92893" w:rsidRPr="00F63CF7" w14:paraId="71B06365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B73F4" w14:textId="77777777" w:rsidR="00192893" w:rsidRPr="00F63CF7" w:rsidRDefault="00192893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характеристики объекта закупки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C373F" w14:textId="77777777" w:rsidR="00F84079" w:rsidRPr="00F63CF7" w:rsidRDefault="00537E40" w:rsidP="00537E40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</w:t>
            </w:r>
            <w:r w:rsidR="00494904"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казываем</w:t>
            </w: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ая</w:t>
            </w:r>
            <w:r w:rsidR="00494904"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услуг</w:t>
            </w: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</w:t>
            </w:r>
            <w:r w:rsidR="00494904"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341E9F"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соответствовать должным качественным характеристикам, соответствующим требованиям действующего законодательства РФ, если таковые установлены.</w:t>
            </w:r>
          </w:p>
        </w:tc>
      </w:tr>
      <w:tr w:rsidR="00192893" w:rsidRPr="00F63CF7" w14:paraId="0F77B846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20F08" w14:textId="77777777" w:rsidR="00192893" w:rsidRPr="00F63CF7" w:rsidRDefault="00192893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Эксплуатационные характеристики объекта закупки (при необходимости)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676AC3" w14:textId="77777777" w:rsidR="00192893" w:rsidRPr="00F63CF7" w:rsidRDefault="00192893" w:rsidP="0001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устанавливаются</w:t>
            </w:r>
            <w:r w:rsidR="00652D16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893" w:rsidRPr="00F63CF7" w14:paraId="3E3AB73F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E50B99" w14:textId="77777777" w:rsidR="00192893" w:rsidRPr="00F63CF7" w:rsidRDefault="00192893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безопасности товара, работы, услуги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FAF94C" w14:textId="77777777" w:rsidR="00192893" w:rsidRPr="00F63CF7" w:rsidRDefault="00494904" w:rsidP="0049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устанавливаются.</w:t>
            </w:r>
          </w:p>
        </w:tc>
      </w:tr>
      <w:tr w:rsidR="00192893" w:rsidRPr="00F63CF7" w14:paraId="34999CE6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94AF2B" w14:textId="77777777" w:rsidR="00192893" w:rsidRPr="00F63CF7" w:rsidRDefault="00192893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размерам, упаковке, отгрузке товара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11092A" w14:textId="77777777" w:rsidR="00192893" w:rsidRPr="00F63CF7" w:rsidRDefault="00494904" w:rsidP="0049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устанавливаются.</w:t>
            </w:r>
          </w:p>
        </w:tc>
      </w:tr>
      <w:tr w:rsidR="00192893" w:rsidRPr="00F63CF7" w14:paraId="2BD8BE37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24FB26" w14:textId="77777777" w:rsidR="00192893" w:rsidRPr="00F63CF7" w:rsidRDefault="00192893" w:rsidP="0053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результатам работ, требования к услугам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C3A13F" w14:textId="77777777" w:rsidR="00537E40" w:rsidRPr="00F63CF7" w:rsidRDefault="00537E40" w:rsidP="00537E40">
            <w:pPr>
              <w:pStyle w:val="a5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Участник закупки (исполнитель) обязан обеспечить совместимость услуг по сопровождению с:</w:t>
            </w:r>
          </w:p>
          <w:p w14:paraId="010DA975" w14:textId="77777777" w:rsidR="00537E40" w:rsidRPr="00F63CF7" w:rsidRDefault="00537E40" w:rsidP="00537E40">
            <w:pPr>
              <w:pStyle w:val="a5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ранее установленными у заказчика экземплярами Систем КонсультантПлюс;</w:t>
            </w:r>
          </w:p>
          <w:p w14:paraId="042AB07E" w14:textId="77777777" w:rsidR="00537E40" w:rsidRPr="00F63CF7" w:rsidRDefault="00537E40" w:rsidP="00537E40">
            <w:pPr>
              <w:pStyle w:val="a5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информационными ресурсами заказчика, ранее самостоятельно подготовленными им с использованием технологий КонсультантПлюс, в том числе с:</w:t>
            </w:r>
          </w:p>
          <w:p w14:paraId="74C19415" w14:textId="77777777" w:rsidR="00537E40" w:rsidRPr="00F63CF7" w:rsidRDefault="00537E40" w:rsidP="00537E40">
            <w:pPr>
              <w:pStyle w:val="a5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КонсультантПлюс; </w:t>
            </w:r>
          </w:p>
          <w:p w14:paraId="415AEBD0" w14:textId="77777777" w:rsidR="00537E40" w:rsidRPr="00F63CF7" w:rsidRDefault="00537E40" w:rsidP="00537E40">
            <w:pPr>
              <w:pStyle w:val="a5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      </w:r>
          </w:p>
          <w:p w14:paraId="581560A7" w14:textId="77777777" w:rsidR="00537E40" w:rsidRPr="00F63CF7" w:rsidRDefault="00537E40" w:rsidP="00537E40">
            <w:pPr>
              <w:pStyle w:val="a5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технологическими взаимосвязями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      </w:r>
          </w:p>
          <w:p w14:paraId="4729DB8E" w14:textId="77777777" w:rsidR="00192893" w:rsidRPr="00F63CF7" w:rsidRDefault="00192893" w:rsidP="00537E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2893" w:rsidRPr="00F63CF7" w14:paraId="5AF2FE94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5FF79" w14:textId="77777777" w:rsidR="00192893" w:rsidRPr="00F63CF7" w:rsidRDefault="00192893" w:rsidP="0053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Требования к гарантийному сроку </w:t>
            </w:r>
            <w:r w:rsidR="00520525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(или) объ</w:t>
            </w:r>
            <w:r w:rsidR="00520525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предоставления гарантий качества товара, работы, услуги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6A757" w14:textId="77777777" w:rsidR="00537E40" w:rsidRPr="00F63CF7" w:rsidRDefault="00494904" w:rsidP="00537E4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На весь период (</w:t>
            </w:r>
            <w:r w:rsidR="00D17F2C" w:rsidRPr="00F63CF7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) действия предоставляемых прав Исполнитель обеспечивает </w:t>
            </w:r>
            <w:r w:rsidR="00537E40" w:rsidRPr="00F63C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совместимость услуг с установленными экземплярами Систем КонсультантПлюс, своевременное обновление.</w:t>
            </w:r>
          </w:p>
          <w:p w14:paraId="5FEE7B09" w14:textId="77777777" w:rsidR="00192893" w:rsidRPr="00F63CF7" w:rsidRDefault="00192893" w:rsidP="00537E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893" w:rsidRPr="00F63CF7" w14:paraId="609DF78B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1D6CB3" w14:textId="77777777" w:rsidR="00192893" w:rsidRPr="00F63CF7" w:rsidRDefault="00192893" w:rsidP="0053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FEF4F" w14:textId="77777777" w:rsidR="00065F0C" w:rsidRPr="00F63CF7" w:rsidRDefault="00537E40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Оказание услуг по адресам:</w:t>
            </w:r>
          </w:p>
          <w:p w14:paraId="6FEC9332" w14:textId="77777777" w:rsidR="00065F0C" w:rsidRPr="00F63CF7" w:rsidRDefault="00537E40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Крым, </w:t>
            </w:r>
            <w:proofErr w:type="spellStart"/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г.Симферополь</w:t>
            </w:r>
            <w:proofErr w:type="spellEnd"/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, ул. Гагарина, 18а,</w:t>
            </w:r>
          </w:p>
          <w:p w14:paraId="61D7DBC6" w14:textId="77777777" w:rsidR="00065F0C" w:rsidRPr="00F63CF7" w:rsidRDefault="00537E40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  <w:r w:rsidR="00722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г. Симферополь, </w:t>
            </w:r>
            <w:proofErr w:type="spellStart"/>
            <w:proofErr w:type="gramStart"/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пер.Элеваторный</w:t>
            </w:r>
            <w:proofErr w:type="spellEnd"/>
            <w:proofErr w:type="gramEnd"/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, д. 4.,</w:t>
            </w:r>
          </w:p>
          <w:p w14:paraId="31172973" w14:textId="77777777" w:rsidR="00072350" w:rsidRPr="00F63CF7" w:rsidRDefault="00537E40" w:rsidP="00537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Республика Крым, г. Керчь, ул. Кирова, 75</w:t>
            </w:r>
          </w:p>
        </w:tc>
      </w:tr>
      <w:tr w:rsidR="00192893" w:rsidRPr="00F63CF7" w14:paraId="160FB860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2E7660" w14:textId="77777777" w:rsidR="00192893" w:rsidRPr="00F63CF7" w:rsidRDefault="00192893" w:rsidP="0053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поставки товара, выполнения работы, оказания услуги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800369" w14:textId="77777777" w:rsidR="00192893" w:rsidRPr="00F63CF7" w:rsidRDefault="00991493" w:rsidP="0099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Участник закупки обязуется предоставлять только достоверные сведения и подтверждает, что его предложение об объекте закупки является достоверной </w:t>
            </w:r>
            <w:r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информацией о совместимости (взаимодействии) оказываемых услуг по сопровождению с ранее установленными у заказчика экземплярами Систем КонсультантПлюс на основе специального лицензионного сервисного программного обеспечения, обеспечивающего такую совместимость.</w:t>
            </w:r>
          </w:p>
        </w:tc>
      </w:tr>
      <w:tr w:rsidR="00192893" w:rsidRPr="00F63CF7" w14:paraId="1EBCAC64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20FD8F" w14:textId="77777777" w:rsidR="00192893" w:rsidRPr="00F63CF7" w:rsidRDefault="00192893" w:rsidP="0053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Срок поставки товара, выполнения работы, оказания услуги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AC4A1E" w14:textId="77777777" w:rsidR="00494904" w:rsidRPr="00F63CF7" w:rsidRDefault="00494904" w:rsidP="00537E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63CF7">
              <w:rPr>
                <w:rFonts w:ascii="Times New Roman" w:hAnsi="Times New Roman" w:cs="Times New Roman"/>
                <w:lang w:eastAsia="zh-CN"/>
              </w:rPr>
              <w:t xml:space="preserve">Исполнитель </w:t>
            </w:r>
            <w:r w:rsidR="00991493" w:rsidRPr="00F63CF7">
              <w:rPr>
                <w:rFonts w:ascii="Times New Roman" w:hAnsi="Times New Roman" w:cs="Times New Roman"/>
                <w:lang w:eastAsia="zh-CN"/>
              </w:rPr>
              <w:t>оказывает услуги с 01.</w:t>
            </w:r>
            <w:r w:rsidR="00722BC4">
              <w:rPr>
                <w:rFonts w:ascii="Times New Roman" w:hAnsi="Times New Roman" w:cs="Times New Roman"/>
                <w:lang w:eastAsia="zh-CN"/>
              </w:rPr>
              <w:t>06</w:t>
            </w:r>
            <w:r w:rsidR="00991493" w:rsidRPr="00F63CF7">
              <w:rPr>
                <w:rFonts w:ascii="Times New Roman" w:hAnsi="Times New Roman" w:cs="Times New Roman"/>
                <w:lang w:eastAsia="zh-CN"/>
              </w:rPr>
              <w:t>.202</w:t>
            </w:r>
            <w:r w:rsidR="00722BC4">
              <w:rPr>
                <w:rFonts w:ascii="Times New Roman" w:hAnsi="Times New Roman" w:cs="Times New Roman"/>
                <w:lang w:eastAsia="zh-CN"/>
              </w:rPr>
              <w:t>6</w:t>
            </w:r>
            <w:r w:rsidR="00991493" w:rsidRPr="00F63CF7">
              <w:rPr>
                <w:rFonts w:ascii="Times New Roman" w:hAnsi="Times New Roman" w:cs="Times New Roman"/>
                <w:lang w:eastAsia="zh-CN"/>
              </w:rPr>
              <w:t xml:space="preserve"> по 31.</w:t>
            </w:r>
            <w:r w:rsidR="00722BC4">
              <w:rPr>
                <w:rFonts w:ascii="Times New Roman" w:hAnsi="Times New Roman" w:cs="Times New Roman"/>
                <w:lang w:eastAsia="zh-CN"/>
              </w:rPr>
              <w:t>08.2026</w:t>
            </w:r>
            <w:r w:rsidRPr="00F63CF7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5CA41B6A" w14:textId="77777777" w:rsidR="00192893" w:rsidRPr="00F63CF7" w:rsidRDefault="00192893" w:rsidP="0053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893" w:rsidRPr="00F63CF7" w14:paraId="718AA5C1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2E4DF9" w14:textId="77777777" w:rsidR="00192893" w:rsidRPr="00F63CF7" w:rsidRDefault="00192893" w:rsidP="0053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включ</w:t>
            </w:r>
            <w:r w:rsidR="0086098E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нных (</w:t>
            </w:r>
            <w:proofErr w:type="spellStart"/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невключ</w:t>
            </w:r>
            <w:r w:rsidR="0086098E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нных</w:t>
            </w:r>
            <w:proofErr w:type="spellEnd"/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цену товара, работы, услуги расходах, в том числе </w:t>
            </w:r>
            <w:r w:rsidR="0086098E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перевозку, страхование, уплату таможенных пошлин, налогов, сборов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721489" w14:textId="77777777" w:rsidR="00192893" w:rsidRPr="00F63CF7" w:rsidRDefault="006273A2" w:rsidP="0099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В общую цену Контракта включены все расходы Исполнителя, </w:t>
            </w:r>
            <w:r w:rsidR="00494904" w:rsidRPr="00F63CF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связанные с исполнением условий настоящего договора,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платежей.</w:t>
            </w:r>
          </w:p>
        </w:tc>
      </w:tr>
      <w:tr w:rsidR="00192893" w:rsidRPr="00F63CF7" w14:paraId="49EBD5AA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05E315" w14:textId="77777777" w:rsidR="00192893" w:rsidRPr="00F63CF7" w:rsidRDefault="00FD2D6D" w:rsidP="0053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иным показателям</w:t>
            </w:r>
            <w:r w:rsidR="00192893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связанным с определением соответствия поставки товаров, выполнения работ, оказания услуг 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E59424" w14:textId="77777777" w:rsidR="00522C51" w:rsidRPr="00F63CF7" w:rsidRDefault="00522C51" w:rsidP="00537E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63CF7">
              <w:rPr>
                <w:rFonts w:ascii="Times New Roman" w:hAnsi="Times New Roman" w:cs="Times New Roman"/>
                <w:lang w:eastAsia="zh-CN"/>
              </w:rPr>
              <w:t>Исполнитель самостоятельно несет ответственность в случае нарушения по его вине исключительного права авторов и (или) иных правообладателей ПО в соответствии с законодательством Российской Федерации.</w:t>
            </w:r>
          </w:p>
          <w:p w14:paraId="3570F821" w14:textId="77777777" w:rsidR="00192893" w:rsidRPr="00F63CF7" w:rsidRDefault="00192893" w:rsidP="00537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893" w:rsidRPr="00F63CF7" w14:paraId="66E3AC84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70C621" w14:textId="77777777" w:rsidR="00192893" w:rsidRPr="00F63CF7" w:rsidRDefault="00192893" w:rsidP="0053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сроках оплаты товара, работы и услуги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6DC4FE" w14:textId="77777777" w:rsidR="00341F77" w:rsidRPr="00F63CF7" w:rsidRDefault="00341F77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Оплата производится в безналичном порядке пут</w:t>
            </w:r>
            <w:r w:rsidR="00AF145D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м перечисления Заказчиком денежных средств на указанный в Контракте расч</w:t>
            </w:r>
            <w:r w:rsidR="00AF145D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тный сч</w:t>
            </w:r>
            <w:r w:rsidR="00AF145D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т Исполнителя.</w:t>
            </w:r>
          </w:p>
          <w:p w14:paraId="5A2B186B" w14:textId="77777777" w:rsidR="00341F77" w:rsidRPr="00F63CF7" w:rsidRDefault="00341F77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Оплата производится в рублях Российской Федерации.</w:t>
            </w:r>
          </w:p>
          <w:p w14:paraId="42549A09" w14:textId="77777777" w:rsidR="00341F77" w:rsidRPr="00F63CF7" w:rsidRDefault="00341F77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r w:rsidR="00AF145D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т осуществляется течени</w:t>
            </w:r>
            <w:r w:rsidR="008406AC" w:rsidRPr="00F63C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22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904" w:rsidRPr="00F63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94904" w:rsidRPr="00F63CF7">
              <w:rPr>
                <w:rFonts w:ascii="Times New Roman" w:hAnsi="Times New Roman" w:cs="Times New Roman"/>
                <w:sz w:val="20"/>
                <w:szCs w:val="20"/>
              </w:rPr>
              <w:t>десяти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94904"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дней с даты подписа</w:t>
            </w:r>
            <w:r w:rsidR="008406AC" w:rsidRPr="00F63CF7">
              <w:rPr>
                <w:rFonts w:ascii="Times New Roman" w:hAnsi="Times New Roman" w:cs="Times New Roman"/>
                <w:sz w:val="20"/>
                <w:szCs w:val="20"/>
              </w:rPr>
              <w:t>ния Заказчиком документов о приё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мке (акта сдачи-при</w:t>
            </w:r>
            <w:r w:rsidR="008406AC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ма услуг) и представленного Исполнителем сч</w:t>
            </w:r>
            <w:r w:rsidR="00600987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="00600987" w:rsidRPr="00F63CF7">
              <w:rPr>
                <w:rFonts w:ascii="Times New Roman" w:hAnsi="Times New Roman" w:cs="Times New Roman"/>
                <w:sz w:val="20"/>
                <w:szCs w:val="20"/>
              </w:rPr>
              <w:t>(счё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та-фактуры</w:t>
            </w:r>
            <w:r w:rsidR="00600987" w:rsidRPr="00F63CF7">
              <w:rPr>
                <w:rFonts w:ascii="Times New Roman" w:hAnsi="Times New Roman" w:cs="Times New Roman"/>
                <w:sz w:val="20"/>
                <w:szCs w:val="20"/>
              </w:rPr>
              <w:t>, универсального передаточного документа)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A62AF4" w14:textId="6E22C3CB" w:rsidR="00341F77" w:rsidRPr="00F63CF7" w:rsidRDefault="00341F77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В случае начисления Заказчиком Исполнителю неустойки (штрафа, пени) и предъявления требования о возмещении убытков, Стороны подписывают Акт сверки обязательств по Контракту,</w:t>
            </w:r>
            <w:r w:rsidR="00722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в котором, помимо прочего, указываются: сведения о фактически исполненных обязательствах по Контракту, сумма, подлежащая оплате</w:t>
            </w:r>
            <w:r w:rsidR="00722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Контракта, размер неустойки</w:t>
            </w:r>
            <w:r w:rsidR="003F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(штрафа, пени) и (или) убытков, подлежащ</w:t>
            </w:r>
            <w:r w:rsidR="00BB1EA6" w:rsidRPr="00F63CF7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взысканию, основания применения</w:t>
            </w:r>
            <w:r w:rsidR="00722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и порядок расч</w:t>
            </w:r>
            <w:r w:rsidR="00BB1EA6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та неустойки (штрафа, пени)</w:t>
            </w:r>
            <w:r w:rsidR="00BB1EA6"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(или) убытков, итоговая сумма, подлежащая оплате Исполнителю по Контракту.</w:t>
            </w:r>
          </w:p>
          <w:p w14:paraId="7BCAAAC1" w14:textId="07AF76A3" w:rsidR="00341F77" w:rsidRPr="00F63CF7" w:rsidRDefault="00341F77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В случае подписания Сторонами Акта сверки обязательств</w:t>
            </w:r>
            <w:r w:rsidR="00722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по Контракту, Стороны могут погасить взаимные денежные обязательства пут</w:t>
            </w:r>
            <w:r w:rsidR="00BB1EA6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м проведения зач</w:t>
            </w:r>
            <w:r w:rsidR="00BB1EA6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та в соответствии со ст. 410 ГК РФ.</w:t>
            </w:r>
          </w:p>
          <w:p w14:paraId="29059F55" w14:textId="77777777" w:rsidR="00341F77" w:rsidRPr="00F63CF7" w:rsidRDefault="00341F77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</w:t>
            </w:r>
            <w:r w:rsidR="000A7A94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м Заказчик уведомляет Исполнителя, Стороны согласовывают в соответствии</w:t>
            </w:r>
            <w:r w:rsidR="00722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с законодательством Российской Федерации новые условия, в том числе по цене и (или) объ</w:t>
            </w:r>
            <w:r w:rsidR="000A7A94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му услуг.</w:t>
            </w:r>
          </w:p>
          <w:p w14:paraId="57BE4509" w14:textId="77777777" w:rsidR="00341F77" w:rsidRPr="00F63CF7" w:rsidRDefault="00341F77" w:rsidP="0053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Место доставки </w:t>
            </w:r>
            <w:r w:rsidR="00DF7119" w:rsidRPr="00F63CF7">
              <w:rPr>
                <w:rFonts w:ascii="Times New Roman" w:hAnsi="Times New Roman" w:cs="Times New Roman"/>
                <w:sz w:val="20"/>
                <w:szCs w:val="20"/>
              </w:rPr>
              <w:t>документов об исполнении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F7119"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Крым, </w:t>
            </w:r>
            <w:r w:rsidR="006458D7" w:rsidRPr="00F63C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F7119" w:rsidRPr="00F63CF7">
              <w:rPr>
                <w:rFonts w:ascii="Times New Roman" w:hAnsi="Times New Roman" w:cs="Times New Roman"/>
                <w:sz w:val="20"/>
                <w:szCs w:val="20"/>
              </w:rPr>
              <w:t>г. Симферополь,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 ул. Гагарина, д. 18а</w:t>
            </w:r>
            <w:r w:rsidR="00DF7119" w:rsidRPr="00F63C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6B5D36" w14:textId="77777777" w:rsidR="00192893" w:rsidRPr="00F63CF7" w:rsidRDefault="00341F77" w:rsidP="00722BC4">
            <w:pPr>
              <w:tabs>
                <w:tab w:val="left" w:pos="1134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ge7"/>
            <w:bookmarkEnd w:id="0"/>
            <w:r w:rsidRPr="00F63CF7">
              <w:rPr>
                <w:rFonts w:ascii="Times New Roman" w:hAnsi="Times New Roman" w:cs="Times New Roman"/>
                <w:sz w:val="20"/>
                <w:szCs w:val="20"/>
              </w:rPr>
              <w:t>Финансирование исполнения Контракта осуществляется за сч</w:t>
            </w:r>
            <w:r w:rsidR="000A7A94" w:rsidRPr="00F63C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hAnsi="Times New Roman" w:cs="Times New Roman"/>
                <w:sz w:val="20"/>
                <w:szCs w:val="20"/>
              </w:rPr>
              <w:t xml:space="preserve">т средств федерального </w:t>
            </w:r>
            <w:r w:rsidRPr="00722BC4">
              <w:rPr>
                <w:rFonts w:ascii="Times New Roman" w:hAnsi="Times New Roman" w:cs="Times New Roman"/>
                <w:sz w:val="20"/>
                <w:szCs w:val="20"/>
              </w:rPr>
              <w:t>бюджета, в пределах утвержд</w:t>
            </w:r>
            <w:r w:rsidR="000A7A94" w:rsidRPr="00722BC4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22BC4">
              <w:rPr>
                <w:rFonts w:ascii="Times New Roman" w:hAnsi="Times New Roman" w:cs="Times New Roman"/>
                <w:sz w:val="20"/>
                <w:szCs w:val="20"/>
              </w:rPr>
              <w:t>нных и довед</w:t>
            </w:r>
            <w:r w:rsidR="000A7A94" w:rsidRPr="00722BC4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22BC4">
              <w:rPr>
                <w:rFonts w:ascii="Times New Roman" w:hAnsi="Times New Roman" w:cs="Times New Roman"/>
                <w:sz w:val="20"/>
                <w:szCs w:val="20"/>
              </w:rPr>
              <w:t>нных лимитов бюджетных обязательств на 202</w:t>
            </w:r>
            <w:r w:rsidR="00722BC4" w:rsidRPr="00722B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2BC4">
              <w:rPr>
                <w:rFonts w:ascii="Times New Roman" w:hAnsi="Times New Roman" w:cs="Times New Roman"/>
                <w:sz w:val="20"/>
                <w:szCs w:val="20"/>
              </w:rPr>
              <w:t xml:space="preserve"> год согласно </w:t>
            </w:r>
            <w:r w:rsidR="00F63CF7" w:rsidRPr="00722BC4">
              <w:rPr>
                <w:rFonts w:ascii="Times New Roman" w:hAnsi="Times New Roman" w:cs="Times New Roman"/>
                <w:sz w:val="20"/>
                <w:szCs w:val="20"/>
              </w:rPr>
              <w:t xml:space="preserve">320 0305 4240690049 242 (код мероприятия </w:t>
            </w:r>
            <w:r w:rsidR="00722BC4" w:rsidRPr="0072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320.001А9144.21.Э.40980.26</w:t>
            </w:r>
            <w:r w:rsidR="00F63CF7" w:rsidRPr="00722B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F659D" w:rsidRPr="00F63CF7" w14:paraId="0748022D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E443B" w14:textId="77777777" w:rsidR="00CF659D" w:rsidRPr="00F63CF7" w:rsidRDefault="00CF659D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 контракта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C6414" w14:textId="77777777" w:rsidR="00CF659D" w:rsidRPr="00F63CF7" w:rsidRDefault="00991493" w:rsidP="0072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07643D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41F77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07643D"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72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27DF3" w:rsidRPr="00F63CF7" w14:paraId="73C0DC55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82095" w14:textId="77777777" w:rsidR="00527DF3" w:rsidRPr="00F63CF7" w:rsidRDefault="00527DF3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Форс-мажорные обстоятельства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6E2B9" w14:textId="6CCC58E3" w:rsidR="00527DF3" w:rsidRPr="00F63CF7" w:rsidRDefault="00527DF3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Стороны освобождаются от ответственности за частичное</w:t>
            </w:r>
            <w:r w:rsidR="003F3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</w:t>
            </w:r>
            <w:r w:rsidR="003F3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на исполнение Контракта.</w:t>
            </w:r>
          </w:p>
          <w:p w14:paraId="6D44B0F1" w14:textId="77777777" w:rsidR="00527DF3" w:rsidRPr="00F63CF7" w:rsidRDefault="00527DF3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Сторона, для которой создалась невозможность выполнения обязательств по Контракту, обязана немедленно (в течение 3 (тр</w:t>
            </w:r>
            <w:r w:rsidR="009945A4"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</w:t>
            </w:r>
            <w:r w:rsidR="009945A4"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ся на них в будущем.</w:t>
            </w:r>
          </w:p>
          <w:p w14:paraId="7F44F04E" w14:textId="77777777" w:rsidR="00527DF3" w:rsidRPr="00F63CF7" w:rsidRDefault="00527DF3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Обязанность доказать наличие обстоятельств непреодолимой силы лежит на Стороне Контракта, не выполнившей свои обязательства </w:t>
            </w:r>
            <w:r w:rsidR="009945A4"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по Контракту.</w:t>
            </w:r>
          </w:p>
          <w:p w14:paraId="12C3C9C3" w14:textId="77777777" w:rsidR="00527DF3" w:rsidRPr="00F63CF7" w:rsidRDefault="00527DF3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Доказательством наличия вышеуказанных обстоятельств</w:t>
            </w:r>
            <w:r w:rsidR="0093321D"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их продолжительности будут служить документы уполномоченного органа,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выдающего документы о подтверждении обстоятельств непреодолимой силы.</w:t>
            </w:r>
          </w:p>
          <w:p w14:paraId="7C200731" w14:textId="77777777" w:rsidR="00527DF3" w:rsidRPr="00F63CF7" w:rsidRDefault="00527DF3" w:rsidP="009332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обстоятельства и их последствия будут длиться более1 (одного) месяца, то стороны расторгают Контракт. В этом случае ни одна </w:t>
            </w:r>
            <w:r w:rsidR="0093321D"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из сторон не имеет права потребовать от другой стороны возмещения убытков.</w:t>
            </w:r>
          </w:p>
        </w:tc>
      </w:tr>
      <w:tr w:rsidR="006458D7" w:rsidRPr="00F63CF7" w14:paraId="2D0CE673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19AB2" w14:textId="77777777" w:rsidR="006458D7" w:rsidRPr="00F63CF7" w:rsidRDefault="006458D7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Ответственность сторон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87535" w14:textId="767AEC8E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За неисполнение или ненадлежащее исполнение обязательств по настоящему Контракту Стороны несут ответственность</w:t>
            </w:r>
            <w:r w:rsidR="003F3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      </w:r>
          </w:p>
          <w:p w14:paraId="2725443A" w14:textId="77777777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ущерба, убытков и уплата штрафов и пеней не освобождает виновную Сторону от выполнения своих обязательств по Контракту.</w:t>
            </w:r>
          </w:p>
          <w:p w14:paraId="5BB733F8" w14:textId="77777777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      </w:r>
          </w:p>
          <w:p w14:paraId="1E519533" w14:textId="77777777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3AD592C7" w14:textId="64D1F999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просрочки исполнения Исполнителем обязательств (в том числе гарантийного обязательства), предусмотренных Контрактом, а также</w:t>
            </w:r>
            <w:r w:rsidR="003F3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Calibri" w:hAnsi="Times New Roman" w:cs="Times New Roman"/>
                <w:sz w:val="20"/>
                <w:szCs w:val="20"/>
              </w:rPr>
              <w:t>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      </w:r>
          </w:p>
          <w:p w14:paraId="2E6CC08C" w14:textId="77777777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Calibri" w:hAnsi="Times New Roman" w:cs="Times New Roman"/>
                <w:sz w:val="20"/>
                <w:szCs w:val="20"/>
              </w:rPr>
      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</w:t>
            </w:r>
            <w:r w:rsidR="00722B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Calibri" w:hAnsi="Times New Roman" w:cs="Times New Roman"/>
                <w:sz w:val="20"/>
                <w:szCs w:val="20"/>
              </w:rPr>
              <w:t>и фактически исполненных Исполнителем.</w:t>
            </w:r>
          </w:p>
          <w:p w14:paraId="1D23960D" w14:textId="3B6992A2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Calibri" w:hAnsi="Times New Roman" w:cs="Times New Roman"/>
                <w:sz w:val="20"/>
                <w:szCs w:val="20"/>
              </w:rPr>
              <w:t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</w:t>
            </w:r>
            <w:r w:rsidR="003F3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Calibri" w:hAnsi="Times New Roman" w:cs="Times New Roman"/>
                <w:sz w:val="20"/>
                <w:szCs w:val="20"/>
              </w:rPr>
              <w:t>от исполнения Контракта.</w:t>
            </w:r>
          </w:p>
          <w:p w14:paraId="7940265E" w14:textId="77777777" w:rsidR="006458D7" w:rsidRPr="00F63CF7" w:rsidRDefault="006458D7" w:rsidP="00F63CF7">
            <w:pPr>
              <w:widowControl w:val="0"/>
              <w:tabs>
                <w:tab w:val="left" w:pos="1038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  <w:r w:rsid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Вред, причинённый третьим лицам по вине Исполнителя при исполнении обязательств по Контракту, возмещается за его счёт.</w:t>
            </w:r>
          </w:p>
        </w:tc>
      </w:tr>
      <w:tr w:rsidR="006458D7" w:rsidRPr="00F63CF7" w14:paraId="0AF99D15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19ED2" w14:textId="77777777" w:rsidR="006458D7" w:rsidRPr="00F63CF7" w:rsidRDefault="006458D7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разрешения споров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6BE58" w14:textId="77777777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 и Исполнитель должны приложить все усилия, чтобы путём прямых переговоров разрешить все противоречия или спорные вопросы, возникающие между ними в рамках Контракта.</w:t>
            </w:r>
          </w:p>
          <w:p w14:paraId="02A130EE" w14:textId="77777777" w:rsidR="006458D7" w:rsidRPr="00F63CF7" w:rsidRDefault="006458D7" w:rsidP="00C4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Любые споры, разногласия и требования, возникающие из Контракта, решаются Сторонами путём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Республики Крым в порядке, предусмотренном действующим законодательством Российской Федерации.</w:t>
            </w:r>
          </w:p>
          <w:p w14:paraId="7CDED0B5" w14:textId="77777777" w:rsidR="006458D7" w:rsidRPr="00F63CF7" w:rsidRDefault="006458D7" w:rsidP="00722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Досудебный порядок урегулирования споров, предусматривающий направление претензии контрагенту, является обязательным. Претензии по Контракту должны быть направлены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в адрес недобросовестной Стороны с момента обнаружения фактов ненадлежащего испол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>нени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обязательств по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Контракту. Претензии по качеству работ могут быть заявлены в течение всего срока использования результата оказанной услуги. Сторона, которой предъявлена претензия, обязана рассмотреть такую претензию в течение 15 (пятнадцати) календарных дней с момента её получения и сообщить о своём решении другой Стороне путём направления ответа в письменной форме.</w:t>
            </w:r>
          </w:p>
        </w:tc>
      </w:tr>
      <w:tr w:rsidR="006458D7" w:rsidRPr="00F63CF7" w14:paraId="2D5AB622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BD345" w14:textId="77777777" w:rsidR="006458D7" w:rsidRPr="00F63CF7" w:rsidRDefault="006458D7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Информация о возможности и случаях одностороннего расторжения сделки </w:t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действующим законодательством Российской Федерации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4D116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Расторжение Контракта допускается по соглашению Сторон,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решению суда, а также в случае одностороннего отказа Стороны Контракта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исполнения Контракта в соответствии с гражданским законодательством, при этом, со стороны Заказчика обязательно предварительное письменное уведомление за 10 календарных дней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подписание Сторонами соответствующего дополнительного соглашения.</w:t>
            </w:r>
          </w:p>
          <w:p w14:paraId="20C61CB9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Расторжение Контракта по соглашению Сторон совершается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письменной форме и возможно в случае наступления условий,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 которых для одной из Сторон или обеих Сторон дальнейшее исполнение обязательств по Контракту невозможно, либо возникает нецелесообразность исполнения Контракта.</w:t>
            </w:r>
          </w:p>
          <w:p w14:paraId="6B48B5FA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расторжения Контракта по соглашению Сторон, Стороны осуществляют сверку взаимных расчётов (обязательств)и проведение окончательных расчётов за фактически исполненные обязательства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Контракту.</w:t>
            </w:r>
          </w:p>
          <w:p w14:paraId="5F7A30AE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Требование о расторжении Контракта может быть заявлено Стороной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суд только после получения отказа другой Стороны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предложение расторгнуть Контракт либо неполучения ответа в течение 30 (тридцати) дней с даты получения предложения о расторжении Контракта.</w:t>
            </w:r>
          </w:p>
          <w:p w14:paraId="6DAA5C99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 вправе принять решение об одностороннем отказе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исполнения Контракта. До принятия такого решения Заказчик вправе провести экспертизу оказанных услуг с привлечением экспертов, экспертных организаций, и уполномоченных представителей исполнителя. Заказчик вправе принять решение об одностороннем отказе от исполнения Контракта после 5 (пяти) рабочих дней после окончания срока оказания услуги.</w:t>
            </w:r>
          </w:p>
          <w:p w14:paraId="3BAF4E2C" w14:textId="3BD6473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Заказчиком проведена экспертиза оказанных услуг</w:t>
            </w:r>
            <w:r w:rsidR="003F3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с привлечением экспертов, экспертных организаций, решение</w:t>
            </w:r>
            <w:r w:rsidR="003F3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одностороннем отказе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исполнения Контракта может быть принято Заказчиком только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 условии, что по результатам экспертизы оказанных услуг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заключении эксперта, экспертной организации будут подтверждены нарушения условий Контракта, послужившие основанием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для одностороннего отказа Заказчика от исполнения Контракта.</w:t>
            </w:r>
          </w:p>
          <w:p w14:paraId="4F56B9BC" w14:textId="2676ECDD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Заказчика об одностороннем отказе от исполнения Контракта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течение одного рабочего дня, следующего за датой принятия указанного решения, размещается в ЕАТ и направляется Исполнителю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почте заказным письмом с уведомлением о вручении по адресу Исполнителя, указанному в Контракте, или телеграммой,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 посредством факсимильной связи, либо по адресу электронной почты, либо</w:t>
            </w:r>
            <w:r w:rsidR="003F3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Исполнителем. Выполнение Заказчиком вышеуказанных требований считается надлежащим уведомлением Исполнителя об одностороннем отказе от исполнения Контракта. Датой такого надлежащего уведомления признаётся дата </w:t>
            </w:r>
            <w:proofErr w:type="gramStart"/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размещения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ЕАТ</w:t>
            </w:r>
            <w:proofErr w:type="gramEnd"/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получения Заказчиком подтверждения о вручении Исполнителю указанного уведомления либо дата получения Заказчиком информации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об отсутствии Исполнителя по его адресу, указанному в Контракте.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невозможности получения указанных подтверждения либо информации датой такого надлежащего уведомления признаётся дата письма с уведомлением о вручении, повесткой с уведомлением, телефонограммой или телеграммой, по факсимильной связи либо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иных средств связи и доставки, обеспечивающих фиксирование направления Исполнителю.</w:t>
            </w:r>
          </w:p>
          <w:p w14:paraId="4D2053A3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Заказчика об одностороннем отказе от исполнения Контракта вступает в силу и Контракт считается расторгнутым через десять дней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даты надлежащего уведомления Заказчиком Исполнителя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 одностороннем отказе от исполнения Контракта.</w:t>
            </w:r>
          </w:p>
          <w:p w14:paraId="6C357518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 обязан отменить не вступившее в силу решение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 одностороннем отказе от исполнения Контракта, если в течение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десятидневного срока с даты надлежащего уведомления Исполнителя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принятом решении об одностороннем отказе от исполнения Контракта устранено нарушение условий Контракта, послужившее основанием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для принятия указанного решения, а также Заказчику компенсированы затраты на проведение экспертизы. Данное правило не применяется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случае повторного нарушения Исполнителем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      </w:r>
          </w:p>
          <w:p w14:paraId="59DA149A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принимает решение об одностороннем отказе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исполнения Контракта, если в ходе исполнения Контракта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будет установлено, что исполнитель не соответствует установленным документацией о закупке требованиям к участникам закупки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или предоставил недостоверную информацию о своём соответствии таким требованиям, что позволило ему стать победителем определения исполнителя.</w:t>
            </w:r>
          </w:p>
          <w:p w14:paraId="1E552D97" w14:textId="7CBBB4DE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Исполнитель вправе принять решение об одностороннем отказе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исполнения Контракта в соответствии с гражданским законодательством. Такое решение в течение одного рабочего</w:t>
            </w:r>
            <w:r w:rsidR="003F3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дня, следующего за датой его принятия, направляется Заказчику по почте заказным письмом с уведомлением о вручении по адресу Заказчика, указанному в Контракте, а также телеграммой, либо посредством факсимильной связи, либо по адресу электронной почты,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</w:t>
            </w:r>
            <w:r w:rsidR="003F3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Контракта. Датой такого надлежащего уведомления признаётся дата получения Исполнителем подтверждения о вручении Заказчику указанного уведомления.</w:t>
            </w:r>
          </w:p>
          <w:p w14:paraId="44C2C4EF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Исполнителя об одностороннем отказе от исполнения Контракта вступает в силу и Контракт считается расторгнутым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через десять дней с даты надлежащего уведомления Исполнителем Заказчика</w:t>
            </w:r>
            <w:r w:rsidR="00722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об одностороннем отказе от исполнения Контракта.</w:t>
            </w:r>
          </w:p>
          <w:p w14:paraId="7F09DECF" w14:textId="77777777" w:rsidR="006458D7" w:rsidRPr="00F63CF7" w:rsidRDefault="006458D7" w:rsidP="00A04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обязан отменить не вступившее в силу решение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 одностороннем отказе от исполнения Контракта, если в течение десятидневного срока с даты надлежащего уведомления Заказчика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принятом решении об одностороннем отказе от исполнения Контракта устранены нарушения условий Контракта, послужившие основанием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для принятия указанного решения.</w:t>
            </w:r>
          </w:p>
          <w:p w14:paraId="38B5B12C" w14:textId="77777777" w:rsidR="006458D7" w:rsidRPr="00F63CF7" w:rsidRDefault="006458D7" w:rsidP="00B47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ущерба, непосредственно обусловленного обстоятельствами, явившимися основанием для принятия решения об одностороннем отказе</w:t>
            </w:r>
            <w:r w:rsidRPr="00F63C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исполнения Контракта.</w:t>
            </w:r>
          </w:p>
        </w:tc>
      </w:tr>
      <w:tr w:rsidR="006458D7" w:rsidRPr="00F63CF7" w14:paraId="4B5C7633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A0554" w14:textId="77777777" w:rsidR="006458D7" w:rsidRPr="00F63CF7" w:rsidRDefault="006458D7" w:rsidP="003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Предложения об установлении требования и размера обеспечения исполнения государственного контракта, срока и порядка его предоставления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7B2C39" w14:textId="77777777" w:rsidR="006458D7" w:rsidRPr="00F63CF7" w:rsidRDefault="006458D7" w:rsidP="0021209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установлено.</w:t>
            </w:r>
          </w:p>
        </w:tc>
      </w:tr>
      <w:tr w:rsidR="006458D7" w:rsidRPr="00F63CF7" w14:paraId="56F308EF" w14:textId="77777777" w:rsidTr="0054520A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2F6728" w14:textId="77777777" w:rsidR="006458D7" w:rsidRPr="00F63CF7" w:rsidRDefault="006458D7" w:rsidP="0021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54132" w14:textId="77777777" w:rsidR="006458D7" w:rsidRPr="00F63CF7" w:rsidRDefault="006458D7" w:rsidP="0021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пунктом 4 части 1 статьи 93 Федерального закона </w:t>
            </w:r>
            <w:r w:rsidRPr="00F63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6B689AD" w14:textId="77777777" w:rsidR="00691525" w:rsidRDefault="00691525" w:rsidP="006915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D72FE6E" w14:textId="77777777" w:rsidR="00691525" w:rsidRDefault="00691525">
      <w:pPr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14:paraId="180704B7" w14:textId="10EF6102" w:rsidR="00691525" w:rsidRDefault="00691525" w:rsidP="006915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lang w:eastAsia="ar-SA"/>
        </w:rPr>
        <w:tab/>
        <w:t>Приложение №1</w:t>
      </w:r>
    </w:p>
    <w:p w14:paraId="0C022A81" w14:textId="1F97A7A4" w:rsidR="00691525" w:rsidRPr="00691525" w:rsidRDefault="00691525" w:rsidP="006915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>Описание объекта закупки</w:t>
      </w:r>
    </w:p>
    <w:p w14:paraId="4A25604B" w14:textId="77777777" w:rsidR="00691525" w:rsidRPr="00691525" w:rsidRDefault="00691525" w:rsidP="00691525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bCs/>
          <w:lang w:eastAsia="zh-CN"/>
        </w:rPr>
        <w:t xml:space="preserve">на </w:t>
      </w:r>
      <w:bookmarkStart w:id="1" w:name="_Hlk69340783"/>
      <w:r w:rsidRPr="00691525">
        <w:rPr>
          <w:rFonts w:ascii="Times New Roman" w:eastAsia="Times New Roman" w:hAnsi="Times New Roman" w:cs="Times New Roman"/>
          <w:b/>
          <w:lang w:eastAsia="zh-CN"/>
        </w:rPr>
        <w:t xml:space="preserve">услуги по </w:t>
      </w:r>
      <w:bookmarkEnd w:id="1"/>
      <w:r w:rsidRPr="00691525">
        <w:rPr>
          <w:rFonts w:ascii="Times New Roman" w:eastAsia="Times New Roman" w:hAnsi="Times New Roman" w:cs="Times New Roman"/>
          <w:b/>
          <w:lang w:eastAsia="zh-CN"/>
        </w:rPr>
        <w:t>адаптации и сопровождению экземпляров Систем КонсультантПлюс, оказываемые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экземплярами Систем КонсультантПлюс</w:t>
      </w:r>
    </w:p>
    <w:p w14:paraId="16EBF763" w14:textId="77777777" w:rsidR="00691525" w:rsidRPr="00691525" w:rsidRDefault="00691525" w:rsidP="00691525">
      <w:pPr>
        <w:keepNext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>1. Предмет контракта</w:t>
      </w:r>
    </w:p>
    <w:p w14:paraId="757E5825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 xml:space="preserve">Предметом контракта являются </w:t>
      </w:r>
      <w:r w:rsidRPr="00691525">
        <w:rPr>
          <w:rFonts w:ascii="Times New Roman" w:eastAsia="Times New Roman" w:hAnsi="Times New Roman" w:cs="Times New Roman"/>
          <w:b/>
          <w:lang w:eastAsia="ar-SA"/>
        </w:rPr>
        <w:t>услуги по адаптации и сопровождению экземпляров Систем КонсультантПлюс, оказываемые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экземплярами Систем КонсультантПлюс.</w:t>
      </w:r>
    </w:p>
    <w:p w14:paraId="0B0872B7" w14:textId="77777777" w:rsidR="00691525" w:rsidRPr="00691525" w:rsidRDefault="00691525" w:rsidP="0069152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 xml:space="preserve">2. Место оказания услуг: </w:t>
      </w:r>
      <w:r w:rsidRPr="00691525">
        <w:rPr>
          <w:rFonts w:ascii="Times New Roman" w:eastAsia="Times New Roman" w:hAnsi="Times New Roman" w:cs="Times New Roman"/>
          <w:lang w:eastAsia="ar-SA"/>
        </w:rPr>
        <w:t>указано в п. 3 настоящего описания объекта закупки.</w:t>
      </w:r>
    </w:p>
    <w:p w14:paraId="5E257FEA" w14:textId="4A693A6E" w:rsidR="00691525" w:rsidRPr="00691525" w:rsidRDefault="00691525" w:rsidP="0069152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>Срок оказания услуг</w:t>
      </w:r>
      <w:r w:rsidRPr="00691525">
        <w:rPr>
          <w:rFonts w:ascii="Times New Roman" w:eastAsia="Times New Roman" w:hAnsi="Times New Roman" w:cs="Times New Roman"/>
          <w:lang w:eastAsia="ar-SA"/>
        </w:rPr>
        <w:t xml:space="preserve"> – с 01 июня 2026 года по 30 августа 2026 года.</w:t>
      </w:r>
    </w:p>
    <w:p w14:paraId="5FA91F01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>3. Перечень ранее установленных у заказчика экземпляров Систем КонсультантПлюс, в отношении которых оказываются услуги:</w:t>
      </w:r>
    </w:p>
    <w:tbl>
      <w:tblPr>
        <w:tblW w:w="9809" w:type="dxa"/>
        <w:tblInd w:w="-3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1984"/>
        <w:gridCol w:w="1843"/>
        <w:gridCol w:w="5357"/>
      </w:tblGrid>
      <w:tr w:rsidR="00691525" w:rsidRPr="00691525" w14:paraId="3590B021" w14:textId="77777777" w:rsidTr="00150B0B">
        <w:trPr>
          <w:trHeight w:hRule="exact" w:val="1080"/>
          <w:tblHeader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61751E3" w14:textId="77777777" w:rsidR="00691525" w:rsidRPr="00691525" w:rsidRDefault="00691525" w:rsidP="00691525">
            <w:pPr>
              <w:suppressAutoHyphens/>
              <w:autoSpaceDE w:val="0"/>
              <w:spacing w:after="0" w:line="240" w:lineRule="auto"/>
              <w:ind w:left="196" w:right="39"/>
              <w:jc w:val="center"/>
              <w:rPr>
                <w:rFonts w:ascii="Times New Roman" w:eastAsia="Arial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Calibri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>№ п/п.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7AD5A36" w14:textId="77777777" w:rsidR="00691525" w:rsidRPr="00691525" w:rsidRDefault="00691525" w:rsidP="0069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 xml:space="preserve">Наименование подразделения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06AC76C" w14:textId="77777777" w:rsidR="00691525" w:rsidRPr="00691525" w:rsidRDefault="00691525" w:rsidP="006915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 xml:space="preserve">Адрес подразделения </w:t>
            </w:r>
          </w:p>
        </w:tc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B71532D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Calibri"/>
                <w:b/>
                <w:bCs/>
                <w:sz w:val="20"/>
                <w:szCs w:val="20"/>
                <w:lang w:eastAsia="ar-SA"/>
              </w:rPr>
              <w:t>Список дистрибутивов нормативно-справочной Системы КонсультантПлюс, установленных в подразделениях заказчика (версия системы, количество — экз.)</w:t>
            </w:r>
          </w:p>
        </w:tc>
      </w:tr>
      <w:tr w:rsidR="00691525" w:rsidRPr="00691525" w14:paraId="0B19AC40" w14:textId="77777777" w:rsidTr="00150B0B">
        <w:trPr>
          <w:trHeight w:val="225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AC1A01B" w14:textId="77777777" w:rsidR="00691525" w:rsidRPr="00691525" w:rsidRDefault="00691525" w:rsidP="00691525">
            <w:pPr>
              <w:suppressAutoHyphens/>
              <w:autoSpaceDE w:val="0"/>
              <w:spacing w:after="0" w:line="240" w:lineRule="auto"/>
              <w:ind w:left="196" w:right="39"/>
              <w:jc w:val="center"/>
              <w:rPr>
                <w:rFonts w:ascii="Times New Roman" w:eastAsia="Arial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Calibri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127F58A" w14:textId="77777777" w:rsidR="00691525" w:rsidRPr="00691525" w:rsidRDefault="00691525" w:rsidP="00691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037EC8" w14:textId="77777777" w:rsidR="00691525" w:rsidRPr="00691525" w:rsidRDefault="00691525" w:rsidP="006915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Calibri"/>
                <w:b/>
                <w:bCs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2239BB7" w14:textId="77777777" w:rsidR="00691525" w:rsidRPr="00691525" w:rsidRDefault="00691525" w:rsidP="006915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Calibri"/>
                <w:b/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691525" w:rsidRPr="00691525" w14:paraId="69998FD3" w14:textId="77777777" w:rsidTr="00150B0B">
        <w:trPr>
          <w:trHeight w:val="3474"/>
        </w:trPr>
        <w:tc>
          <w:tcPr>
            <w:tcW w:w="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2F1D4E2" w14:textId="77777777" w:rsidR="00691525" w:rsidRPr="00691525" w:rsidRDefault="00691525" w:rsidP="00691525">
            <w:pPr>
              <w:widowControl w:val="0"/>
              <w:numPr>
                <w:ilvl w:val="0"/>
                <w:numId w:val="12"/>
              </w:numPr>
              <w:tabs>
                <w:tab w:val="left" w:pos="397"/>
              </w:tabs>
              <w:suppressAutoHyphens/>
              <w:snapToGrid w:val="0"/>
              <w:spacing w:after="0" w:line="240" w:lineRule="auto"/>
              <w:ind w:left="196" w:right="39"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280E6CD" w14:textId="77777777" w:rsidR="00691525" w:rsidRPr="00691525" w:rsidRDefault="00691525" w:rsidP="00691525">
            <w:pPr>
              <w:suppressAutoHyphens/>
              <w:spacing w:after="0" w:line="240" w:lineRule="auto"/>
              <w:ind w:left="170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УФСИН России по Республике Крым и г. Севастополю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6231452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70" w:right="22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Республика Крым, г. Симферополь, ул. Гагарина, 18а</w:t>
            </w:r>
          </w:p>
        </w:tc>
        <w:tc>
          <w:tcPr>
            <w:tcW w:w="53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ACF836D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СПС Консультант Бюджетные Организации: Версия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Проф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ЛСВ (сетевая, 1 экз.)</w:t>
            </w:r>
          </w:p>
          <w:p w14:paraId="35F1CD2E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СПС </w:t>
            </w:r>
            <w:proofErr w:type="spellStart"/>
            <w:proofErr w:type="gram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КонсультантПлюс:Республика</w:t>
            </w:r>
            <w:proofErr w:type="spellEnd"/>
            <w:proofErr w:type="gram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Крым и город Севастополь ЛСВ (сетевая, 1 экз.)</w:t>
            </w:r>
          </w:p>
          <w:p w14:paraId="18593CCC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СПС </w:t>
            </w:r>
            <w:proofErr w:type="spellStart"/>
            <w:proofErr w:type="gram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КонсультантПлюс:Эксперт</w:t>
            </w:r>
            <w:proofErr w:type="gram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-приложение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ЛСВ (сетевая, 1 экз.)</w:t>
            </w:r>
          </w:p>
          <w:p w14:paraId="327E24D8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КонсультантСудебнаяПрактика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 Суды общей юрисдикции всех округов ЛСВ (сетевая, 1 экз.)</w:t>
            </w:r>
          </w:p>
          <w:p w14:paraId="2C5837EE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СС КонсультантПлюс: Строительство ЛСВ (сетевая однопользовательская, 1 экз.)</w:t>
            </w:r>
          </w:p>
          <w:p w14:paraId="4F66678C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СС Деловые бумаги ЛСВ (сетевая, 1 экз.)</w:t>
            </w:r>
          </w:p>
          <w:p w14:paraId="269F47A5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КонсультантАрбитраж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 Арбитражные суды всех округов ЛСВ (сетевая однопользовательская, 1 экз.)</w:t>
            </w:r>
          </w:p>
          <w:p w14:paraId="478C39FE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КонсультантАрбитраж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 Все апелляционные суды ЛСВ (сетевая однопользовательская, 1 экз.)</w:t>
            </w:r>
          </w:p>
        </w:tc>
      </w:tr>
      <w:tr w:rsidR="00691525" w:rsidRPr="00691525" w14:paraId="3DC3CB9E" w14:textId="77777777" w:rsidTr="00150B0B">
        <w:trPr>
          <w:trHeight w:val="1080"/>
        </w:trPr>
        <w:tc>
          <w:tcPr>
            <w:tcW w:w="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32F8797" w14:textId="77777777" w:rsidR="00691525" w:rsidRPr="00691525" w:rsidRDefault="00691525" w:rsidP="00691525">
            <w:pPr>
              <w:widowControl w:val="0"/>
              <w:numPr>
                <w:ilvl w:val="0"/>
                <w:numId w:val="12"/>
              </w:numPr>
              <w:tabs>
                <w:tab w:val="left" w:pos="397"/>
              </w:tabs>
              <w:suppressAutoHyphens/>
              <w:snapToGrid w:val="0"/>
              <w:spacing w:after="0" w:line="240" w:lineRule="auto"/>
              <w:ind w:left="196" w:right="39"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17181F4" w14:textId="77777777" w:rsidR="00691525" w:rsidRPr="00691525" w:rsidRDefault="00691525" w:rsidP="00691525">
            <w:pPr>
              <w:tabs>
                <w:tab w:val="left" w:pos="1757"/>
              </w:tabs>
              <w:suppressAutoHyphens/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ФКУ ИК-1 УФСИН России по Республике Крым и г. Севастополю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A9315CD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70" w:right="22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Республика Крым, г. Симферополь, пер. Элеваторный, д. 4.</w:t>
            </w:r>
          </w:p>
        </w:tc>
        <w:tc>
          <w:tcPr>
            <w:tcW w:w="53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7B8411A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СПС Консультант Бюджетные Организации: Версия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Проф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ЛСВ (сетевая – 1 экз.)</w:t>
            </w:r>
          </w:p>
          <w:p w14:paraId="42A63DF0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КонсультантСудебнаяПрактика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 Суды общей юрисдикции всех округов ЛСВ (сетевая, 1 экз.)</w:t>
            </w:r>
          </w:p>
          <w:p w14:paraId="7EA30291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КонсультантАрбитраж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 Арбитражные суды всех округов ЛСВ (сетевая, 1 экз.)</w:t>
            </w:r>
          </w:p>
          <w:p w14:paraId="4EA66179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СС КонсультантПлюс: Строительство ЛСВ (сетевая, 1 экз.)</w:t>
            </w:r>
          </w:p>
          <w:p w14:paraId="5FF62EE7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СС Деловые бумаги ЛСВ (</w:t>
            </w:r>
            <w:r w:rsidRPr="0069152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сетевая, 1 экз.</w:t>
            </w: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)</w:t>
            </w:r>
          </w:p>
          <w:p w14:paraId="02724CDB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СПС </w:t>
            </w:r>
            <w:proofErr w:type="spellStart"/>
            <w:proofErr w:type="gram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КонсультантПлюс:Республика</w:t>
            </w:r>
            <w:proofErr w:type="spellEnd"/>
            <w:proofErr w:type="gram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Крым и город Севастополь ЛСВ (</w:t>
            </w:r>
            <w:r w:rsidRPr="0069152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сетевая, 1 экз.</w:t>
            </w: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)</w:t>
            </w:r>
          </w:p>
          <w:p w14:paraId="75FB277A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КонсультантАрбитраж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 Все апелляционные суды ЛСВ (сетевая, 1 экз.)</w:t>
            </w:r>
          </w:p>
          <w:p w14:paraId="3F265CD2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СПС </w:t>
            </w:r>
            <w:proofErr w:type="spellStart"/>
            <w:proofErr w:type="gramStart"/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КонсультантПлюс:Эксперт</w:t>
            </w:r>
            <w:proofErr w:type="gramEnd"/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-приложение</w:t>
            </w:r>
            <w:proofErr w:type="spellEnd"/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ЛСВ (</w:t>
            </w: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сетевая, 1 экз.)</w:t>
            </w:r>
          </w:p>
        </w:tc>
      </w:tr>
      <w:tr w:rsidR="00691525" w:rsidRPr="00691525" w14:paraId="3195944C" w14:textId="77777777" w:rsidTr="00150B0B">
        <w:tc>
          <w:tcPr>
            <w:tcW w:w="625" w:type="dxa"/>
            <w:tcBorders>
              <w:lef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B673262" w14:textId="77777777" w:rsidR="00691525" w:rsidRPr="00691525" w:rsidRDefault="00691525" w:rsidP="00691525">
            <w:pPr>
              <w:widowControl w:val="0"/>
              <w:numPr>
                <w:ilvl w:val="0"/>
                <w:numId w:val="12"/>
              </w:numPr>
              <w:tabs>
                <w:tab w:val="left" w:pos="397"/>
              </w:tabs>
              <w:suppressAutoHyphens/>
              <w:snapToGrid w:val="0"/>
              <w:spacing w:after="0" w:line="240" w:lineRule="auto"/>
              <w:ind w:left="196" w:right="39"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104A61A" w14:textId="77777777" w:rsidR="00691525" w:rsidRPr="00691525" w:rsidRDefault="00691525" w:rsidP="00691525">
            <w:pPr>
              <w:tabs>
                <w:tab w:val="left" w:pos="1757"/>
              </w:tabs>
              <w:suppressAutoHyphens/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ФКУ КП-1 УФСИН России по Республике Крым и г. Севастополю </w:t>
            </w:r>
          </w:p>
        </w:tc>
        <w:tc>
          <w:tcPr>
            <w:tcW w:w="1843" w:type="dxa"/>
            <w:tcBorders>
              <w:lef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A651EBF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70" w:right="22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Республика Крым, г. Керчь, ул. Кирова, 75</w:t>
            </w:r>
          </w:p>
        </w:tc>
        <w:tc>
          <w:tcPr>
            <w:tcW w:w="53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4593D0E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СПС Консультант Бюджетные Организации: Версия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Проф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ЛСВ (сетевая – 1 экз.)</w:t>
            </w:r>
          </w:p>
          <w:p w14:paraId="4E8840B7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КонсультантСудебнаяПрактика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 Суды общей юрисдикции всех округов ЛСВ (сетевая, 1 экз.)</w:t>
            </w:r>
          </w:p>
          <w:p w14:paraId="5C278545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КонсультантАрбитраж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 Арбитражные суды всех округов ЛСВ (сетевая, 1 экз.)</w:t>
            </w:r>
          </w:p>
          <w:p w14:paraId="73308B45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СС КонсультантПлюс: Строительство ЛСВ (сетевая, 1 экз.)</w:t>
            </w:r>
          </w:p>
          <w:p w14:paraId="285BC2CA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СС Деловые бумаги ЛСВ (</w:t>
            </w:r>
            <w:r w:rsidRPr="0069152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сетевая, 1 экз.</w:t>
            </w: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)</w:t>
            </w:r>
          </w:p>
          <w:p w14:paraId="634C8870" w14:textId="77777777" w:rsidR="00691525" w:rsidRPr="00691525" w:rsidRDefault="00691525" w:rsidP="00691525">
            <w:pPr>
              <w:widowControl w:val="0"/>
              <w:suppressAutoHyphens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СПС </w:t>
            </w:r>
            <w:proofErr w:type="spellStart"/>
            <w:proofErr w:type="gram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КонсультантПлюс:Республика</w:t>
            </w:r>
            <w:proofErr w:type="spellEnd"/>
            <w:proofErr w:type="gram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Крым и город Севастополь ЛСВ (</w:t>
            </w:r>
            <w:r w:rsidRPr="0069152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сетевая, 1 экз.</w:t>
            </w: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)</w:t>
            </w:r>
          </w:p>
          <w:p w14:paraId="0A1B0E5A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 w:right="-3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СС </w:t>
            </w:r>
            <w:proofErr w:type="spellStart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КонсультантАрбитраж</w:t>
            </w:r>
            <w:proofErr w:type="spellEnd"/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: Все апелляционные суды ЛСВ </w:t>
            </w: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(сетевая, 1 экз.)</w:t>
            </w:r>
          </w:p>
          <w:p w14:paraId="4B02481E" w14:textId="77777777" w:rsidR="00691525" w:rsidRPr="00691525" w:rsidRDefault="00691525" w:rsidP="0069152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СПС </w:t>
            </w:r>
            <w:proofErr w:type="spellStart"/>
            <w:proofErr w:type="gramStart"/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КонсультантПлюс:Эксперт</w:t>
            </w:r>
            <w:proofErr w:type="gramEnd"/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-приложение</w:t>
            </w:r>
            <w:proofErr w:type="spellEnd"/>
            <w:r w:rsidRPr="006915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ЛСВ (</w:t>
            </w:r>
            <w:r w:rsidRPr="006915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сетевая, 1 экз.)</w:t>
            </w:r>
          </w:p>
        </w:tc>
      </w:tr>
    </w:tbl>
    <w:p w14:paraId="5266E294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00F1FBB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F412C36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bookmarkStart w:id="2" w:name="__Fieldmark__9_9237303127"/>
      <w:bookmarkStart w:id="3" w:name="__Fieldmark__10_9237303127"/>
      <w:bookmarkStart w:id="4" w:name="__Fieldmark__9_9237303125"/>
      <w:bookmarkStart w:id="5" w:name="__Fieldmark__10_9237303125"/>
      <w:bookmarkStart w:id="6" w:name="__Fieldmark__9_9237303122"/>
      <w:bookmarkStart w:id="7" w:name="__Fieldmark__10_92373031222"/>
      <w:bookmarkStart w:id="8" w:name="__Fieldmark__9_9237303121"/>
      <w:bookmarkStart w:id="9" w:name="__Fieldmark__10_923730312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91525">
        <w:rPr>
          <w:rFonts w:ascii="Times New Roman" w:eastAsia="Times New Roman" w:hAnsi="Times New Roman" w:cs="Times New Roman"/>
          <w:lang w:eastAsia="ar-SA"/>
        </w:rPr>
        <w:t>* Число одновременных доступов (число ОД) - параметр, определяющий максимальное количество ЭВМ, с которых может быть осуществлен одновременный доступ к Системе. Число ОД комплекта Систем не может превышать число ОД Системы, по которой предоставлено наибольшее число ОД среди установленных в комплект Систем.</w:t>
      </w:r>
    </w:p>
    <w:p w14:paraId="324A074F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>4. Требования к качеству оказываемых услуг:</w:t>
      </w:r>
    </w:p>
    <w:p w14:paraId="5D07268F" w14:textId="77777777" w:rsidR="00691525" w:rsidRPr="00691525" w:rsidRDefault="00691525" w:rsidP="00691525">
      <w:pPr>
        <w:tabs>
          <w:tab w:val="left" w:pos="993"/>
        </w:tabs>
        <w:spacing w:before="1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4.1.</w:t>
      </w:r>
      <w:r w:rsidRPr="00691525">
        <w:rPr>
          <w:rFonts w:ascii="Times New Roman" w:eastAsia="Times New Roman" w:hAnsi="Times New Roman" w:cs="Times New Roman"/>
          <w:lang w:eastAsia="zh-CN"/>
        </w:rPr>
        <w:t xml:space="preserve"> Участник закупки (исполнитель) обязан обеспечить совместимость (взаимодействие) услуг по адаптации и сопровождению с:</w:t>
      </w:r>
    </w:p>
    <w:p w14:paraId="765F1303" w14:textId="77777777" w:rsidR="00691525" w:rsidRPr="00691525" w:rsidRDefault="00691525" w:rsidP="00691525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lang w:eastAsia="zh-CN"/>
        </w:rPr>
        <w:t>ранее установленными у заказчика экземплярами Систем КонсультантПлюс;</w:t>
      </w:r>
    </w:p>
    <w:p w14:paraId="38695CD7" w14:textId="77777777" w:rsidR="00691525" w:rsidRPr="00691525" w:rsidRDefault="00691525" w:rsidP="00691525">
      <w:pPr>
        <w:numPr>
          <w:ilvl w:val="0"/>
          <w:numId w:val="6"/>
        </w:numPr>
        <w:tabs>
          <w:tab w:val="left" w:pos="993"/>
        </w:tabs>
        <w:suppressAutoHyphens/>
        <w:spacing w:before="10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lang w:eastAsia="zh-CN"/>
        </w:rPr>
        <w:t>информационными ресурсами заказчика, ранее самостоятельно подготовленными им с использованием технологий КонсультантПлюс, в том числе с:</w:t>
      </w:r>
    </w:p>
    <w:p w14:paraId="3D1B7C99" w14:textId="77777777" w:rsidR="00691525" w:rsidRPr="00691525" w:rsidRDefault="00691525" w:rsidP="00691525">
      <w:pPr>
        <w:numPr>
          <w:ilvl w:val="1"/>
          <w:numId w:val="7"/>
        </w:numPr>
        <w:tabs>
          <w:tab w:val="left" w:pos="993"/>
        </w:tabs>
        <w:suppressAutoHyphens/>
        <w:spacing w:before="10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lang w:eastAsia="zh-CN"/>
        </w:rPr>
        <w:t xml:space="preserve">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КонсультантПлюс; </w:t>
      </w:r>
    </w:p>
    <w:p w14:paraId="6287C0E9" w14:textId="77777777" w:rsidR="00691525" w:rsidRPr="00691525" w:rsidRDefault="00691525" w:rsidP="00691525">
      <w:pPr>
        <w:numPr>
          <w:ilvl w:val="1"/>
          <w:numId w:val="7"/>
        </w:numPr>
        <w:tabs>
          <w:tab w:val="left" w:pos="993"/>
        </w:tabs>
        <w:suppressAutoHyphens/>
        <w:spacing w:before="10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lang w:eastAsia="zh-CN"/>
        </w:rPr>
        <w:t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</w:p>
    <w:p w14:paraId="0D00A7DA" w14:textId="77777777" w:rsidR="00691525" w:rsidRPr="00691525" w:rsidRDefault="00691525" w:rsidP="00691525">
      <w:pPr>
        <w:numPr>
          <w:ilvl w:val="1"/>
          <w:numId w:val="7"/>
        </w:numPr>
        <w:tabs>
          <w:tab w:val="left" w:pos="993"/>
        </w:tabs>
        <w:suppressAutoHyphens/>
        <w:spacing w:before="10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lang w:eastAsia="zh-CN"/>
        </w:rPr>
        <w:t xml:space="preserve">технологическими взаимосвязями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</w:r>
    </w:p>
    <w:p w14:paraId="6D341DAD" w14:textId="77777777" w:rsidR="00691525" w:rsidRPr="00691525" w:rsidRDefault="00691525" w:rsidP="00691525">
      <w:pPr>
        <w:tabs>
          <w:tab w:val="left" w:pos="993"/>
        </w:tabs>
        <w:suppressAutoHyphens/>
        <w:spacing w:before="100"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lang w:eastAsia="zh-CN"/>
        </w:rPr>
        <w:t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сервисное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(взаимодействует) с ранее  установленными у заказчика экземплярами Систем КонсультантПлюс и с указанными выше информационными ресурсами заказчика.</w:t>
      </w:r>
    </w:p>
    <w:p w14:paraId="03635AA1" w14:textId="77777777" w:rsidR="00691525" w:rsidRPr="00691525" w:rsidRDefault="00691525" w:rsidP="00691525">
      <w:pPr>
        <w:tabs>
          <w:tab w:val="left" w:pos="993"/>
          <w:tab w:val="left" w:pos="1134"/>
        </w:tabs>
        <w:spacing w:before="1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4.2.</w:t>
      </w:r>
      <w:r w:rsidRPr="00691525">
        <w:rPr>
          <w:rFonts w:ascii="Times New Roman" w:eastAsia="Times New Roman" w:hAnsi="Times New Roman" w:cs="Times New Roman"/>
          <w:lang w:eastAsia="zh-CN"/>
        </w:rPr>
        <w:t xml:space="preserve"> Участник закупки обязуется предоставлять только достоверные сведения и подтверждает, что его предложение об объекте закупки является достоверной информацией о совместимости (взаимодействии) оказываемых услуг по адаптации и сопровождению с ранее установленными у заказчика экземплярами Систем КонсультантПлюс на основе специального лицензионного сервисного программного обеспечения, обеспечивающего такую совместимость, а также о возможности оказания указанных услуг.</w:t>
      </w:r>
    </w:p>
    <w:p w14:paraId="159891CE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91E51F9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>5. Технические характеристики оказываемых услуг:</w:t>
      </w:r>
    </w:p>
    <w:p w14:paraId="3B3B7188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5.1. АДАПТАЦИЯ</w:t>
      </w:r>
    </w:p>
    <w:p w14:paraId="727F5175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 xml:space="preserve">5.1.1. Адаптация (регистрация и иные действия согласно Контракту). </w:t>
      </w:r>
      <w:r w:rsidRPr="00691525">
        <w:rPr>
          <w:rFonts w:ascii="Times New Roman" w:eastAsia="Times New Roman" w:hAnsi="Times New Roman" w:cs="Times New Roman"/>
          <w:lang w:eastAsia="zh-CN"/>
        </w:rPr>
        <w:t>Для организации сопровождения экземпляры Систем регистрируются и адаптируются на ЭВМ ЛВС Заказчика.</w:t>
      </w:r>
      <w:r w:rsidRPr="00691525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1964FAA7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 xml:space="preserve">5.1.2. Порядок перерегистрации. </w:t>
      </w:r>
      <w:r w:rsidRPr="00691525">
        <w:rPr>
          <w:rFonts w:ascii="Times New Roman" w:eastAsia="Times New Roman" w:hAnsi="Times New Roman" w:cs="Times New Roman"/>
          <w:lang w:eastAsia="zh-CN"/>
        </w:rPr>
        <w:t>Заказчик вправе переносить экземпляр Системы на другой компьютер. Перенос подразумевает удаление экземпляра Системы с прежнего компьютера. Исполнитель обязан по требованию Заказчика перерегистрировать и адаптировать экземпляр Системы на другом компьютере Заказчика.</w:t>
      </w:r>
    </w:p>
    <w:p w14:paraId="51F0A9F7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5.2. ПОРЯДОК ИСПОЛЬЗОВАНИЯ ЭКЗЕМПЛЯРОВ СИСТЕМ</w:t>
      </w:r>
    </w:p>
    <w:p w14:paraId="18B545A5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5.2.1. Пределы правомерного использования.</w:t>
      </w:r>
      <w:r w:rsidRPr="00691525">
        <w:rPr>
          <w:rFonts w:ascii="Times New Roman" w:eastAsia="Times New Roman" w:hAnsi="Times New Roman" w:cs="Times New Roman"/>
          <w:lang w:eastAsia="zh-CN"/>
        </w:rPr>
        <w:t xml:space="preserve"> Заказчик не вправе использовать один экземпляр Системы на двух и более компьютерах одновременно. Заказчик не вправе использовать сетевую версию экземпляра Системы на двух и более ЛВС одновременно и/или использовать в </w:t>
      </w:r>
      <w:r w:rsidRPr="00691525">
        <w:rPr>
          <w:rFonts w:ascii="Times New Roman" w:eastAsia="Times New Roman" w:hAnsi="Times New Roman" w:cs="Times New Roman"/>
          <w:lang w:eastAsia="zh-CN"/>
        </w:rPr>
        <w:lastRenderedPageBreak/>
        <w:t>ЛВС с превышением числа ОД.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зданий.</w:t>
      </w:r>
    </w:p>
    <w:p w14:paraId="7D3D8768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5.2.2. Разрешенные передачи.</w:t>
      </w:r>
      <w:r w:rsidRPr="00691525">
        <w:rPr>
          <w:rFonts w:ascii="Times New Roman" w:eastAsia="Times New Roman" w:hAnsi="Times New Roman" w:cs="Times New Roman"/>
          <w:lang w:eastAsia="zh-CN"/>
        </w:rPr>
        <w:t xml:space="preserve"> Заказчик не вправе передавать третьему лицу экземпляры Систем Серии ЛСВ (Льготный Спецвыпуск) и Спецвыпуск. Заказчик вправе передать иные экземпляры Системы третьему лицу в собственность, после чего он обязан в десятидневный срок предоставить Исполнителю копии документов, подтверждающих факт передачи, а именно: либо копию Контракта, либо копию Акта приемки-передачи (товарной накладной), либо копии Счета и Платежного поручения с печатью банка. При отсутствии документов, подтверждающих передачу, Исполнитель не будет оказывать услуги с использованием такого экземпляра Системы третьему лицу. После передачи Заказчиком экземпляра Системы третьему лицу все обязательства Исполнителя перед Заказчиком по оказанию услуг по адаптации и сопровождению экземпляра Системы теряют силу.</w:t>
      </w:r>
    </w:p>
    <w:p w14:paraId="3C809106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5.2.3. Возобновление.</w:t>
      </w:r>
      <w:r w:rsidRPr="00691525">
        <w:rPr>
          <w:rFonts w:ascii="Times New Roman" w:eastAsia="Times New Roman" w:hAnsi="Times New Roman" w:cs="Times New Roman"/>
          <w:lang w:eastAsia="zh-CN"/>
        </w:rPr>
        <w:t xml:space="preserve"> В случае отказа Заказчика от услуг с использованием экземпляра Системы дальнейшее оказание ему любых услуг с использованием данного экземпляра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Исполнителя.</w:t>
      </w:r>
    </w:p>
    <w:p w14:paraId="2B4870EB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5.2.4. Одновременная работа Систем.</w:t>
      </w:r>
      <w:r w:rsidRPr="00691525">
        <w:rPr>
          <w:rFonts w:ascii="Times New Roman" w:eastAsia="Times New Roman" w:hAnsi="Times New Roman" w:cs="Times New Roman"/>
          <w:lang w:eastAsia="zh-CN"/>
        </w:rPr>
        <w:t xml:space="preserve"> Исполнитель несет ответственность за качество и работоспособность экземпляра Системы только при условии, что данный экземпляр отключен от возможности одновременной работы с экземплярами Системы, в отношении которых Заказчик отказался от услуг. Отключение от возможности одновременной работы должно быть осуществлено не позднее шести месяцев с момента такого отказа.</w:t>
      </w:r>
    </w:p>
    <w:p w14:paraId="1520A3C4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5.3. ОСОБЕННОСТИ ОКАЗАНИЯ УСЛУГ</w:t>
      </w:r>
    </w:p>
    <w:p w14:paraId="2037591E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5.3.1. Адреса</w:t>
      </w:r>
      <w:r w:rsidRPr="00691525">
        <w:rPr>
          <w:rFonts w:ascii="Times New Roman" w:eastAsia="Times New Roman" w:hAnsi="Times New Roman" w:cs="Times New Roman"/>
          <w:lang w:eastAsia="zh-CN"/>
        </w:rPr>
        <w:t>, по которым используются Системы и оказываются услуги: указаны в п.3 описания объекта закупки.</w:t>
      </w:r>
    </w:p>
    <w:p w14:paraId="06628F3F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5.3.2. Периодичность.</w:t>
      </w:r>
      <w:r w:rsidRPr="00691525">
        <w:rPr>
          <w:rFonts w:ascii="Times New Roman" w:eastAsia="Times New Roman" w:hAnsi="Times New Roman" w:cs="Times New Roman"/>
          <w:lang w:eastAsia="zh-CN"/>
        </w:rPr>
        <w:t xml:space="preserve"> Заказчик имеет право не реже одного раза в неделю получать актуальную информацию, в т.ч. принимать наборы текстовой информации в принадлежащий ему экземпляр Системы в соответствии с его функциональным назначением.</w:t>
      </w:r>
    </w:p>
    <w:p w14:paraId="0E1E11F9" w14:textId="77777777" w:rsidR="00691525" w:rsidRPr="00691525" w:rsidRDefault="00691525" w:rsidP="00691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91525">
        <w:rPr>
          <w:rFonts w:ascii="Times New Roman" w:eastAsia="Times New Roman" w:hAnsi="Times New Roman" w:cs="Times New Roman"/>
          <w:b/>
          <w:lang w:eastAsia="zh-CN"/>
        </w:rPr>
        <w:t>5.3.3. Способ доставки</w:t>
      </w:r>
      <w:r w:rsidRPr="00691525">
        <w:rPr>
          <w:rFonts w:ascii="Times New Roman" w:eastAsia="Times New Roman" w:hAnsi="Times New Roman" w:cs="Times New Roman"/>
          <w:lang w:eastAsia="zh-CN"/>
        </w:rPr>
        <w:t>:</w:t>
      </w:r>
      <w:r w:rsidRPr="00691525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691525">
        <w:rPr>
          <w:rFonts w:ascii="Times New Roman" w:eastAsia="Times New Roman" w:hAnsi="Times New Roman" w:cs="Times New Roman"/>
          <w:lang w:eastAsia="zh-CN"/>
        </w:rPr>
        <w:t>посредством телекоммуникационных сетей и специалистом Исполнителя.</w:t>
      </w:r>
    </w:p>
    <w:p w14:paraId="32A425C5" w14:textId="77777777" w:rsidR="00691525" w:rsidRPr="00691525" w:rsidRDefault="00691525" w:rsidP="0069152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1525">
        <w:rPr>
          <w:rFonts w:ascii="Times New Roman" w:eastAsia="Times New Roman" w:hAnsi="Times New Roman" w:cs="Times New Roman"/>
          <w:b/>
          <w:lang w:eastAsia="ar-SA"/>
        </w:rPr>
        <w:t xml:space="preserve">5.3.4. </w:t>
      </w:r>
      <w:r w:rsidRPr="00691525">
        <w:rPr>
          <w:rFonts w:ascii="Times New Roman" w:eastAsia="Times New Roman" w:hAnsi="Times New Roman" w:cs="Times New Roman"/>
          <w:b/>
          <w:lang w:eastAsia="ru-RU"/>
        </w:rPr>
        <w:t>Интерфейсные сообщения.</w:t>
      </w:r>
      <w:r w:rsidRPr="00691525">
        <w:rPr>
          <w:rFonts w:ascii="Times New Roman" w:eastAsia="Times New Roman" w:hAnsi="Times New Roman" w:cs="Times New Roman"/>
          <w:lang w:eastAsia="ru-RU"/>
        </w:rPr>
        <w:t xml:space="preserve"> Система может содержать информационное сообщение о наименовании и местонахождении правомерного пользователя комплекта Систем. Сообщение может быть показано не чаще одного раза в 24 часа.</w:t>
      </w:r>
    </w:p>
    <w:p w14:paraId="5E49C5C4" w14:textId="77777777" w:rsidR="00691525" w:rsidRPr="00691525" w:rsidRDefault="00691525" w:rsidP="0069152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1525">
        <w:rPr>
          <w:rFonts w:ascii="Times New Roman" w:eastAsia="Times New Roman" w:hAnsi="Times New Roman" w:cs="Times New Roman"/>
          <w:b/>
          <w:lang w:eastAsia="ar-SA"/>
        </w:rPr>
        <w:t>5.3.5. Прочее.</w:t>
      </w:r>
      <w:r w:rsidRPr="00691525">
        <w:rPr>
          <w:rFonts w:ascii="Times New Roman" w:eastAsia="Times New Roman" w:hAnsi="Times New Roman" w:cs="Times New Roman"/>
          <w:lang w:eastAsia="ar-SA"/>
        </w:rPr>
        <w:t xml:space="preserve"> Заказчик обязуется согласовать с Исполнителем точное время доставки информации,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Исполнителя. В случае доставки информации с помощью телекоммуникационных средств все расходы, связанные с обеспечением достаточного для оказания текущих услуг трафика, оплачиваются Заказчиком за свой счет.</w:t>
      </w:r>
    </w:p>
    <w:p w14:paraId="169C72DC" w14:textId="4BB4BADE" w:rsidR="00691525" w:rsidRPr="00FF6E78" w:rsidRDefault="00691525" w:rsidP="00FF6E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 xml:space="preserve">6. </w:t>
      </w:r>
      <w:r w:rsidRPr="00691525">
        <w:rPr>
          <w:rFonts w:ascii="Times New Roman" w:eastAsia="Times New Roman" w:hAnsi="Times New Roman" w:cs="Times New Roman"/>
          <w:b/>
          <w:lang w:eastAsia="ru-RU"/>
        </w:rPr>
        <w:t>Требования к функционалу Системы КонсультантПлюс:</w:t>
      </w:r>
    </w:p>
    <w:p w14:paraId="0AEF1E8B" w14:textId="7EEDF512" w:rsidR="00691525" w:rsidRPr="00FF6E78" w:rsidRDefault="00691525" w:rsidP="00FF6E78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F6E78">
        <w:rPr>
          <w:rFonts w:ascii="Times New Roman" w:eastAsia="Times New Roman" w:hAnsi="Times New Roman" w:cs="Times New Roman"/>
          <w:lang w:eastAsia="ar-SA"/>
        </w:rPr>
        <w:t>Возможность поиска, результат которого представлен в виде единого списка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</w:r>
    </w:p>
    <w:p w14:paraId="12736BF4" w14:textId="1584B265" w:rsidR="00691525" w:rsidRPr="00FF6E78" w:rsidRDefault="00691525" w:rsidP="00FF6E78">
      <w:pPr>
        <w:pStyle w:val="a5"/>
        <w:numPr>
          <w:ilvl w:val="1"/>
          <w:numId w:val="14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F6E78">
        <w:rPr>
          <w:rFonts w:ascii="Times New Roman" w:eastAsia="Times New Roman" w:hAnsi="Times New Roman" w:cs="Times New Roman"/>
          <w:lang w:eastAsia="ar-SA"/>
        </w:rPr>
        <w:t>Возможность поиска, результат которого представлен в виде дерева-списка, в котором отражено точное количество найденных документов по каждому разделу и информационному банку.</w:t>
      </w:r>
    </w:p>
    <w:p w14:paraId="71011E9E" w14:textId="2B052E92" w:rsidR="00691525" w:rsidRPr="00FF6E78" w:rsidRDefault="00FF6E78" w:rsidP="00FF6E78">
      <w:pPr>
        <w:pStyle w:val="a5"/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6.3. </w:t>
      </w:r>
      <w:r w:rsidR="00691525" w:rsidRPr="00FF6E78">
        <w:rPr>
          <w:rFonts w:ascii="Times New Roman" w:eastAsia="Times New Roman" w:hAnsi="Times New Roman" w:cs="Times New Roman"/>
          <w:lang w:eastAsia="ar-SA"/>
        </w:rPr>
        <w:t>Возможность поиска по тексту документа с формулированием запроса как на естественном языке, так и с использованием различных логических условий и ограничений (с учетом близости слов, задаваемой пользователем, либо присутствия их в одном абзаце документа, с одновременным использованием логических условий «и» / «или» / «кроме»).</w:t>
      </w:r>
    </w:p>
    <w:p w14:paraId="53008F54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реквизитов).</w:t>
      </w:r>
    </w:p>
    <w:p w14:paraId="57877423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Возможность поиска с помощью самонастраивающихся словарей.</w:t>
      </w:r>
    </w:p>
    <w:p w14:paraId="027F4EC4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Возможность контекстного поиска по списку найденных документов, в том числе с многократным уточнением запроса.</w:t>
      </w:r>
    </w:p>
    <w:p w14:paraId="68FD65D4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lastRenderedPageBreak/>
        <w:t>Наличие информации о статусе документа: утратил силу или отменен, не вступил в силу; все акты, кроме утративших силу, отменённых и не вступивших в силу.</w:t>
      </w:r>
    </w:p>
    <w:p w14:paraId="5C3871CC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У каждого конкретного фрагмента НПА должна иметься информация обо всех его изменениях.</w:t>
      </w:r>
    </w:p>
    <w:p w14:paraId="7C7292A5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 xml:space="preserve">Возможность безопасной работы с </w:t>
      </w:r>
      <w:proofErr w:type="spellStart"/>
      <w:r w:rsidRPr="00691525">
        <w:rPr>
          <w:rFonts w:ascii="Times New Roman" w:eastAsia="Times New Roman" w:hAnsi="Times New Roman" w:cs="Times New Roman"/>
          <w:lang w:eastAsia="ar-SA"/>
        </w:rPr>
        <w:t>неактуализируемыми</w:t>
      </w:r>
      <w:proofErr w:type="spellEnd"/>
      <w:r w:rsidRPr="00691525">
        <w:rPr>
          <w:rFonts w:ascii="Times New Roman" w:eastAsia="Times New Roman" w:hAnsi="Times New Roman" w:cs="Times New Roman"/>
          <w:lang w:eastAsia="ar-SA"/>
        </w:rPr>
        <w:t xml:space="preserve"> документами (решениями ФАС и УФАС, разъясняющими письмами госорганов, консультационными материалами и т.д.) за счет перехода по гиперссылкам из текста в ту редакцию НПА, которая действовала в момент создания соответствующего документа.</w:t>
      </w:r>
    </w:p>
    <w:p w14:paraId="5270C797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Связи между документами оформляются в отдельный список, в котором могут быть разделы:</w:t>
      </w:r>
    </w:p>
    <w:p w14:paraId="4BA5CB3D" w14:textId="77777777" w:rsidR="00691525" w:rsidRPr="00691525" w:rsidRDefault="00691525" w:rsidP="00FF6E78">
      <w:pPr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- содержит дополнительную информацию о следующих документах;</w:t>
      </w:r>
    </w:p>
    <w:p w14:paraId="3272C5C4" w14:textId="77777777" w:rsidR="00691525" w:rsidRPr="00691525" w:rsidRDefault="00691525" w:rsidP="00FF6E78">
      <w:pPr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- упоминает следующий документ;</w:t>
      </w:r>
    </w:p>
    <w:p w14:paraId="7819CB8A" w14:textId="77777777" w:rsidR="00691525" w:rsidRPr="00691525" w:rsidRDefault="00691525" w:rsidP="00FF6E78">
      <w:pPr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- упоминается в следующем документе;</w:t>
      </w:r>
    </w:p>
    <w:p w14:paraId="10A25716" w14:textId="77777777" w:rsidR="00691525" w:rsidRPr="00691525" w:rsidRDefault="00691525" w:rsidP="00FF6E78">
      <w:pPr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- разъяснен следующим документом;</w:t>
      </w:r>
    </w:p>
    <w:p w14:paraId="3EF39479" w14:textId="77777777" w:rsidR="00691525" w:rsidRPr="00691525" w:rsidRDefault="00691525" w:rsidP="00FF6E78">
      <w:pPr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- действие изменено следующим документом;</w:t>
      </w:r>
    </w:p>
    <w:p w14:paraId="2193C99D" w14:textId="77777777" w:rsidR="00691525" w:rsidRPr="00691525" w:rsidRDefault="00691525" w:rsidP="00FF6E78">
      <w:pPr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- дан в редакции следующего документа;</w:t>
      </w:r>
      <w:bookmarkStart w:id="10" w:name="_GoBack"/>
      <w:bookmarkEnd w:id="10"/>
    </w:p>
    <w:p w14:paraId="3DAA55D7" w14:textId="77777777" w:rsidR="00691525" w:rsidRPr="00691525" w:rsidRDefault="00691525" w:rsidP="00FF6E78">
      <w:pPr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- изменен следующим документом;</w:t>
      </w:r>
    </w:p>
    <w:p w14:paraId="4AABEFB9" w14:textId="77777777" w:rsidR="00691525" w:rsidRPr="00691525" w:rsidRDefault="00691525" w:rsidP="00FF6E78">
      <w:pPr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- дополнительную информацию смотрите в следующих документах.</w:t>
      </w:r>
    </w:p>
    <w:p w14:paraId="41186526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 Системе представляется инструментарий для сравнения редакций документа, включая недействующие.</w:t>
      </w:r>
    </w:p>
    <w:p w14:paraId="5FED2D95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Предусмотрена возможность получения редакции документа на конкретную дату с указанием диапазона действия редакции.</w:t>
      </w:r>
    </w:p>
    <w:p w14:paraId="28FA919C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К документам, имеющим структуру, содержится структурированное интерактивное оглавление с возможностью поиска встречающихся слов в наименованиях структурных частей документа.</w:t>
      </w:r>
    </w:p>
    <w:p w14:paraId="2FB0D767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 xml:space="preserve">Сервис для автоматизированного (при наличии подключения к Интернету) создания договора, обеспечивающий безопасное его составление и применение через следующие возможности: </w:t>
      </w:r>
    </w:p>
    <w:p w14:paraId="2E445A11" w14:textId="77777777" w:rsidR="00691525" w:rsidRPr="00691525" w:rsidRDefault="00691525" w:rsidP="00691525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изменение каждого условия внутри каждого раздела договора посредством выбора одного из предложенных вариантов;</w:t>
      </w:r>
    </w:p>
    <w:p w14:paraId="0F401B3D" w14:textId="77777777" w:rsidR="00691525" w:rsidRPr="00691525" w:rsidRDefault="00691525" w:rsidP="00691525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 xml:space="preserve">высокая вариативность шаблонов (не менее 100 условий с разными вариантами для каждого), создаваемая анкетами для наиболее востребованных договоров (договоры аренды, поставки, купли-продажи, подряда, возмездного оказания услуг); </w:t>
      </w:r>
    </w:p>
    <w:p w14:paraId="2961BD91" w14:textId="77777777" w:rsidR="00691525" w:rsidRPr="00691525" w:rsidRDefault="00691525" w:rsidP="00691525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изменение любого условия должно автоматически согласовываться с другими связанными условиями, чтобы обеспечивать юридическую корректность договора;</w:t>
      </w:r>
    </w:p>
    <w:p w14:paraId="25B22551" w14:textId="77777777" w:rsidR="00691525" w:rsidRPr="00691525" w:rsidRDefault="00691525" w:rsidP="00691525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экспертных предупреждений о рисках для конкретных условий каждого договора со ссылками на законодательство, практику, аналитические материалы;</w:t>
      </w:r>
    </w:p>
    <w:p w14:paraId="3E4E4C66" w14:textId="77777777" w:rsidR="00691525" w:rsidRPr="00691525" w:rsidRDefault="00691525" w:rsidP="00691525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автоматическое предупреждение об изменениях законодательства и необходимости корректировки сохраненного договора (с предложением автоматической корректировки шаблона с учетом этих изменений);</w:t>
      </w:r>
    </w:p>
    <w:p w14:paraId="5CD5B2D4" w14:textId="77777777" w:rsidR="00691525" w:rsidRPr="00691525" w:rsidRDefault="00691525" w:rsidP="00691525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формирование дополнительных документов (актов, отчетов, заявок и т.д.), предусмотренных договором, содержание которых автоматически подстраивается под выбранные условия договора;</w:t>
      </w:r>
    </w:p>
    <w:p w14:paraId="0D3A5DB0" w14:textId="77777777" w:rsidR="00691525" w:rsidRPr="00691525" w:rsidRDefault="00691525" w:rsidP="00691525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аннотаций к договорам с их наиболее существенными характеристиками (для каких отношений предназначен договор, как он соотносится со смежными договорами, каковы существенные условия и др.).</w:t>
      </w:r>
    </w:p>
    <w:p w14:paraId="1328E748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Возможность ознакомиться с изменениями в законодательстве с помощью аналитических обзоров.</w:t>
      </w:r>
    </w:p>
    <w:p w14:paraId="233D6D6E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функционала «История рассмотрения дела» для арбитражных дел.</w:t>
      </w:r>
    </w:p>
    <w:p w14:paraId="069BD840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справочной информации (календари; формы, утвержденные законодательно; курсы валют; процентные ставки; расчетные индикаторы и прочее).</w:t>
      </w:r>
    </w:p>
    <w:p w14:paraId="23C3C713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Возможность сохранения результатов работы с помощью истории запросов, папок и закладок пользователя.</w:t>
      </w:r>
    </w:p>
    <w:p w14:paraId="28B8E3BE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lastRenderedPageBreak/>
        <w:t xml:space="preserve">Возможность обмена результатами работы («папки», «закладки») между пользователями. </w:t>
      </w:r>
    </w:p>
    <w:p w14:paraId="5805C092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Для отслеживания информации о внесении изменений в документы (в т.ч. редакции документов), определенные пользователем, в Системе предусмотрена возможность постановки этих документов на контроль. При этом пользователь информируется об изменении документа и о типе этого изменения (создана новая редакция, документ утратил силу и т.д.) непосредственно в Системе КонсультантПлюс.</w:t>
      </w:r>
    </w:p>
    <w:p w14:paraId="6FB984FE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 xml:space="preserve">Возможность сопровождения пользователями текстов, входящих в Систему КонсультантПлюс, своими комментариями.   </w:t>
      </w:r>
    </w:p>
    <w:p w14:paraId="3B2FE9F4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аналитических материалов (Путеводителей), которые раскрывают тему в одном документе. Путеводители должны содержать: ссылки на нормативные акты, судебную практику, консультации экспертов, примеры и ситуации из практики, образцы заполнения форм документов, сами формы с инструкциями по заполнению.</w:t>
      </w:r>
    </w:p>
    <w:p w14:paraId="382EFBD9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Возможность экспорта (сохранения) выбранного документа, его фрагмента или списка документов в файл текстового формата или формата *.</w:t>
      </w:r>
      <w:proofErr w:type="spellStart"/>
      <w:r w:rsidRPr="00691525">
        <w:rPr>
          <w:rFonts w:ascii="Times New Roman" w:eastAsia="Times New Roman" w:hAnsi="Times New Roman" w:cs="Times New Roman"/>
          <w:lang w:eastAsia="ar-SA"/>
        </w:rPr>
        <w:t>pdf</w:t>
      </w:r>
      <w:proofErr w:type="spellEnd"/>
      <w:r w:rsidRPr="00691525">
        <w:rPr>
          <w:rFonts w:ascii="Times New Roman" w:eastAsia="Times New Roman" w:hAnsi="Times New Roman" w:cs="Times New Roman"/>
          <w:lang w:eastAsia="ar-SA"/>
        </w:rPr>
        <w:t>.</w:t>
      </w:r>
    </w:p>
    <w:p w14:paraId="7D80953C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Возможность выделения нескольких произвольных фрагментов в тексте документов (НПА, судебных решений и т.д.) для их одновременного копирования и распечатывания.</w:t>
      </w:r>
    </w:p>
    <w:p w14:paraId="48EA2418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информации об ошибках и опечатках в оригиналах НПА и консультационных материалах.</w:t>
      </w:r>
    </w:p>
    <w:p w14:paraId="59778BF4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словаря финансовых и юридических терминов, определения которых даны в НПА.</w:t>
      </w:r>
    </w:p>
    <w:p w14:paraId="5A40E44F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Названия ведомств могут отображаться как в полном, так и в сокращенном виде.</w:t>
      </w:r>
    </w:p>
    <w:p w14:paraId="06838E48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Возможность изменения размера шрифта в соответствии с предпочтениями пользователя.</w:t>
      </w:r>
    </w:p>
    <w:p w14:paraId="7FF622FD" w14:textId="77777777" w:rsidR="00691525" w:rsidRPr="00691525" w:rsidRDefault="00691525" w:rsidP="00FF6E78">
      <w:pPr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Наличие системы помощи.</w:t>
      </w:r>
    </w:p>
    <w:p w14:paraId="20A94504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8C95CBC" w14:textId="77777777" w:rsidR="00691525" w:rsidRPr="00691525" w:rsidRDefault="00691525" w:rsidP="00691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91525">
        <w:rPr>
          <w:rFonts w:ascii="Times New Roman" w:eastAsia="Times New Roman" w:hAnsi="Times New Roman" w:cs="Times New Roman"/>
          <w:b/>
          <w:bCs/>
          <w:lang w:eastAsia="ar-SA"/>
        </w:rPr>
        <w:t>7. Требования к программным технологиям:</w:t>
      </w:r>
    </w:p>
    <w:p w14:paraId="7FF74733" w14:textId="77777777" w:rsidR="00691525" w:rsidRPr="00691525" w:rsidRDefault="00691525" w:rsidP="00691525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возможность централизованного пополнения системы с сохранением личных настроек пользователя;</w:t>
      </w:r>
    </w:p>
    <w:p w14:paraId="4C73647D" w14:textId="77777777" w:rsidR="00691525" w:rsidRPr="00691525" w:rsidRDefault="00691525" w:rsidP="00691525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система не должна предоставлять пользователям возможность редактирования информационного содержания системы;</w:t>
      </w:r>
    </w:p>
    <w:p w14:paraId="01E2FE15" w14:textId="77777777" w:rsidR="00691525" w:rsidRPr="00691525" w:rsidRDefault="00691525" w:rsidP="00691525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>система не должна предоставлять пользователям возможность изменения системных конфигурационных файлов;</w:t>
      </w:r>
    </w:p>
    <w:p w14:paraId="7C3A29F7" w14:textId="77777777" w:rsidR="00691525" w:rsidRPr="00691525" w:rsidRDefault="00691525" w:rsidP="00691525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91525">
        <w:rPr>
          <w:rFonts w:ascii="Times New Roman" w:eastAsia="Times New Roman" w:hAnsi="Times New Roman" w:cs="Times New Roman"/>
          <w:lang w:eastAsia="ar-SA"/>
        </w:rPr>
        <w:t xml:space="preserve">система должна быть совместима со всеми современными версиями ОС </w:t>
      </w:r>
      <w:proofErr w:type="spellStart"/>
      <w:r w:rsidRPr="00691525">
        <w:rPr>
          <w:rFonts w:ascii="Times New Roman" w:eastAsia="Times New Roman" w:hAnsi="Times New Roman" w:cs="Times New Roman"/>
          <w:lang w:eastAsia="ar-SA"/>
        </w:rPr>
        <w:t>Windows</w:t>
      </w:r>
      <w:proofErr w:type="spellEnd"/>
      <w:r w:rsidRPr="00691525">
        <w:rPr>
          <w:rFonts w:ascii="Times New Roman" w:eastAsia="Times New Roman" w:hAnsi="Times New Roman" w:cs="Times New Roman"/>
          <w:lang w:eastAsia="ar-SA"/>
        </w:rPr>
        <w:t xml:space="preserve"> 7/8/10, </w:t>
      </w:r>
      <w:proofErr w:type="spellStart"/>
      <w:r w:rsidRPr="00691525">
        <w:rPr>
          <w:rFonts w:ascii="Times New Roman" w:eastAsia="Times New Roman" w:hAnsi="Times New Roman" w:cs="Times New Roman"/>
          <w:lang w:eastAsia="ar-SA"/>
        </w:rPr>
        <w:t>Windows</w:t>
      </w:r>
      <w:proofErr w:type="spellEnd"/>
      <w:r w:rsidRPr="0069152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91525">
        <w:rPr>
          <w:rFonts w:ascii="Times New Roman" w:eastAsia="Times New Roman" w:hAnsi="Times New Roman" w:cs="Times New Roman"/>
          <w:lang w:eastAsia="ar-SA"/>
        </w:rPr>
        <w:t>Server</w:t>
      </w:r>
      <w:proofErr w:type="spellEnd"/>
      <w:r w:rsidRPr="00691525">
        <w:rPr>
          <w:rFonts w:ascii="Times New Roman" w:eastAsia="Times New Roman" w:hAnsi="Times New Roman" w:cs="Times New Roman"/>
          <w:lang w:eastAsia="ar-SA"/>
        </w:rPr>
        <w:t xml:space="preserve"> 2008 R2, </w:t>
      </w:r>
      <w:proofErr w:type="spellStart"/>
      <w:r w:rsidRPr="00691525">
        <w:rPr>
          <w:rFonts w:ascii="Times New Roman" w:eastAsia="Times New Roman" w:hAnsi="Times New Roman" w:cs="Times New Roman"/>
          <w:lang w:eastAsia="ar-SA"/>
        </w:rPr>
        <w:t>Windows</w:t>
      </w:r>
      <w:proofErr w:type="spellEnd"/>
      <w:r w:rsidRPr="0069152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91525">
        <w:rPr>
          <w:rFonts w:ascii="Times New Roman" w:eastAsia="Times New Roman" w:hAnsi="Times New Roman" w:cs="Times New Roman"/>
          <w:lang w:eastAsia="ar-SA"/>
        </w:rPr>
        <w:t>Server</w:t>
      </w:r>
      <w:proofErr w:type="spellEnd"/>
      <w:r w:rsidRPr="00691525">
        <w:rPr>
          <w:rFonts w:ascii="Times New Roman" w:eastAsia="Times New Roman" w:hAnsi="Times New Roman" w:cs="Times New Roman"/>
          <w:lang w:eastAsia="ar-SA"/>
        </w:rPr>
        <w:t xml:space="preserve"> 2012.</w:t>
      </w:r>
    </w:p>
    <w:p w14:paraId="44AA96B6" w14:textId="77777777" w:rsidR="00166EAD" w:rsidRPr="00166EAD" w:rsidRDefault="00166EAD" w:rsidP="00212097">
      <w:pPr>
        <w:jc w:val="both"/>
        <w:rPr>
          <w:rFonts w:ascii="Times New Roman" w:hAnsi="Times New Roman" w:cs="Times New Roman"/>
          <w:bCs/>
        </w:rPr>
      </w:pPr>
    </w:p>
    <w:sectPr w:rsidR="00166EAD" w:rsidRPr="00166EAD" w:rsidSect="00312539">
      <w:headerReference w:type="default" r:id="rId7"/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C8615" w14:textId="77777777" w:rsidR="00A41EC8" w:rsidRDefault="00A41EC8" w:rsidP="008D6AA3">
      <w:pPr>
        <w:spacing w:after="0" w:line="240" w:lineRule="auto"/>
      </w:pPr>
      <w:r>
        <w:separator/>
      </w:r>
    </w:p>
  </w:endnote>
  <w:endnote w:type="continuationSeparator" w:id="0">
    <w:p w14:paraId="5C20524B" w14:textId="77777777" w:rsidR="00A41EC8" w:rsidRDefault="00A41EC8" w:rsidP="008D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D3459" w14:textId="77777777" w:rsidR="00A41EC8" w:rsidRDefault="00A41EC8" w:rsidP="008D6AA3">
      <w:pPr>
        <w:spacing w:after="0" w:line="240" w:lineRule="auto"/>
      </w:pPr>
      <w:r>
        <w:separator/>
      </w:r>
    </w:p>
  </w:footnote>
  <w:footnote w:type="continuationSeparator" w:id="0">
    <w:p w14:paraId="614FE8AF" w14:textId="77777777" w:rsidR="00A41EC8" w:rsidRDefault="00A41EC8" w:rsidP="008D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2696180"/>
      <w:docPartObj>
        <w:docPartGallery w:val="Page Numbers (Top of Page)"/>
        <w:docPartUnique/>
      </w:docPartObj>
    </w:sdtPr>
    <w:sdtEndPr/>
    <w:sdtContent>
      <w:p w14:paraId="3A48DAE0" w14:textId="77777777" w:rsidR="00C10587" w:rsidRPr="008D6AA3" w:rsidRDefault="00097011" w:rsidP="008D6AA3">
        <w:pPr>
          <w:pStyle w:val="aa"/>
          <w:jc w:val="center"/>
          <w:rPr>
            <w:rFonts w:ascii="Times New Roman" w:hAnsi="Times New Roman" w:cs="Times New Roman"/>
          </w:rPr>
        </w:pPr>
        <w:r w:rsidRPr="008D6AA3">
          <w:rPr>
            <w:rFonts w:ascii="Times New Roman" w:hAnsi="Times New Roman" w:cs="Times New Roman"/>
          </w:rPr>
          <w:fldChar w:fldCharType="begin"/>
        </w:r>
        <w:r w:rsidR="00C10587" w:rsidRPr="008D6AA3">
          <w:rPr>
            <w:rFonts w:ascii="Times New Roman" w:hAnsi="Times New Roman" w:cs="Times New Roman"/>
          </w:rPr>
          <w:instrText xml:space="preserve"> PAGE   \* MERGEFORMAT </w:instrText>
        </w:r>
        <w:r w:rsidRPr="008D6AA3">
          <w:rPr>
            <w:rFonts w:ascii="Times New Roman" w:hAnsi="Times New Roman" w:cs="Times New Roman"/>
          </w:rPr>
          <w:fldChar w:fldCharType="separate"/>
        </w:r>
        <w:r w:rsidR="007B22B9">
          <w:rPr>
            <w:rFonts w:ascii="Times New Roman" w:hAnsi="Times New Roman" w:cs="Times New Roman"/>
            <w:noProof/>
          </w:rPr>
          <w:t>2</w:t>
        </w:r>
        <w:r w:rsidRPr="008D6AA3">
          <w:rPr>
            <w:rFonts w:ascii="Times New Roman" w:hAnsi="Times New Roman" w:cs="Times New Roman"/>
          </w:rPr>
          <w:fldChar w:fldCharType="end"/>
        </w:r>
      </w:p>
    </w:sdtContent>
  </w:sdt>
  <w:p w14:paraId="1801998C" w14:textId="77777777" w:rsidR="00C10587" w:rsidRPr="008D6AA3" w:rsidRDefault="00C10587" w:rsidP="008D6AA3">
    <w:pPr>
      <w:pStyle w:val="aa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536B" w14:textId="77777777" w:rsidR="00C10587" w:rsidRPr="008D6AA3" w:rsidRDefault="00C10587" w:rsidP="008D6AA3">
    <w:pPr>
      <w:pStyle w:val="aa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9DF64CD"/>
    <w:multiLevelType w:val="multilevel"/>
    <w:tmpl w:val="CB90D4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8" w:hanging="1440"/>
      </w:pPr>
      <w:rPr>
        <w:rFonts w:hint="default"/>
      </w:rPr>
    </w:lvl>
  </w:abstractNum>
  <w:abstractNum w:abstractNumId="2" w15:restartNumberingAfterBreak="0">
    <w:nsid w:val="0DEB1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1635DA"/>
    <w:multiLevelType w:val="hybridMultilevel"/>
    <w:tmpl w:val="5E869E4A"/>
    <w:lvl w:ilvl="0" w:tplc="04190017">
      <w:start w:val="1"/>
      <w:numFmt w:val="lowerLetter"/>
      <w:lvlText w:val="%1)"/>
      <w:lvlJc w:val="left"/>
      <w:pPr>
        <w:ind w:left="1481" w:hanging="360"/>
      </w:p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" w15:restartNumberingAfterBreak="0">
    <w:nsid w:val="1EBC3F90"/>
    <w:multiLevelType w:val="multilevel"/>
    <w:tmpl w:val="62AA7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48" w:hanging="1800"/>
      </w:pPr>
      <w:rPr>
        <w:rFonts w:hint="default"/>
      </w:rPr>
    </w:lvl>
  </w:abstractNum>
  <w:abstractNum w:abstractNumId="5" w15:restartNumberingAfterBreak="0">
    <w:nsid w:val="2CE74933"/>
    <w:multiLevelType w:val="hybridMultilevel"/>
    <w:tmpl w:val="7416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652F"/>
    <w:multiLevelType w:val="hybridMultilevel"/>
    <w:tmpl w:val="1272FE8A"/>
    <w:lvl w:ilvl="0" w:tplc="FA680A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66414C"/>
    <w:multiLevelType w:val="hybridMultilevel"/>
    <w:tmpl w:val="EF52CA4E"/>
    <w:lvl w:ilvl="0" w:tplc="8924A6AA">
      <w:start w:val="1"/>
      <w:numFmt w:val="russianLower"/>
      <w:lvlText w:val="%1)"/>
      <w:lvlJc w:val="left"/>
      <w:pPr>
        <w:ind w:left="1080" w:hanging="360"/>
      </w:pPr>
    </w:lvl>
    <w:lvl w:ilvl="1" w:tplc="04190003">
      <w:numFmt w:val="decimal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9E2C21"/>
    <w:multiLevelType w:val="hybridMultilevel"/>
    <w:tmpl w:val="65C47808"/>
    <w:lvl w:ilvl="0" w:tplc="A1105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305F1"/>
    <w:multiLevelType w:val="multilevel"/>
    <w:tmpl w:val="21BA4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60CD6833"/>
    <w:multiLevelType w:val="multilevel"/>
    <w:tmpl w:val="605AE8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11" w15:restartNumberingAfterBreak="0">
    <w:nsid w:val="64D04176"/>
    <w:multiLevelType w:val="multilevel"/>
    <w:tmpl w:val="1292E9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12" w15:restartNumberingAfterBreak="0">
    <w:nsid w:val="74A65D20"/>
    <w:multiLevelType w:val="multilevel"/>
    <w:tmpl w:val="A87C4D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9BB"/>
    <w:rsid w:val="000031DF"/>
    <w:rsid w:val="00011622"/>
    <w:rsid w:val="0001497A"/>
    <w:rsid w:val="000240B7"/>
    <w:rsid w:val="00037BBA"/>
    <w:rsid w:val="00042F36"/>
    <w:rsid w:val="00043E96"/>
    <w:rsid w:val="00044912"/>
    <w:rsid w:val="00065F0C"/>
    <w:rsid w:val="00066BBD"/>
    <w:rsid w:val="00067557"/>
    <w:rsid w:val="00072350"/>
    <w:rsid w:val="0007643D"/>
    <w:rsid w:val="00085E2F"/>
    <w:rsid w:val="000947C0"/>
    <w:rsid w:val="00097011"/>
    <w:rsid w:val="000A7A94"/>
    <w:rsid w:val="000B77D6"/>
    <w:rsid w:val="000C4DFA"/>
    <w:rsid w:val="000F27E6"/>
    <w:rsid w:val="001045E2"/>
    <w:rsid w:val="0011226C"/>
    <w:rsid w:val="0014546F"/>
    <w:rsid w:val="00166B4E"/>
    <w:rsid w:val="00166EAD"/>
    <w:rsid w:val="00176487"/>
    <w:rsid w:val="001812CB"/>
    <w:rsid w:val="001827A5"/>
    <w:rsid w:val="00192893"/>
    <w:rsid w:val="00194EC9"/>
    <w:rsid w:val="001C0F80"/>
    <w:rsid w:val="001C3B0F"/>
    <w:rsid w:val="001E0F6F"/>
    <w:rsid w:val="0020300A"/>
    <w:rsid w:val="00212097"/>
    <w:rsid w:val="00256EE0"/>
    <w:rsid w:val="00293EBC"/>
    <w:rsid w:val="002A1842"/>
    <w:rsid w:val="002D0712"/>
    <w:rsid w:val="002D65FE"/>
    <w:rsid w:val="002D68EE"/>
    <w:rsid w:val="002E254B"/>
    <w:rsid w:val="003014E5"/>
    <w:rsid w:val="00303E79"/>
    <w:rsid w:val="003060AB"/>
    <w:rsid w:val="00312539"/>
    <w:rsid w:val="003262BC"/>
    <w:rsid w:val="00330CD6"/>
    <w:rsid w:val="00341E9F"/>
    <w:rsid w:val="00341F77"/>
    <w:rsid w:val="00353C12"/>
    <w:rsid w:val="003A1B90"/>
    <w:rsid w:val="003D0BFA"/>
    <w:rsid w:val="003F3EDC"/>
    <w:rsid w:val="00402F25"/>
    <w:rsid w:val="004106DD"/>
    <w:rsid w:val="00412F77"/>
    <w:rsid w:val="0044034F"/>
    <w:rsid w:val="004451A2"/>
    <w:rsid w:val="004452FD"/>
    <w:rsid w:val="004470C8"/>
    <w:rsid w:val="004666AF"/>
    <w:rsid w:val="00467976"/>
    <w:rsid w:val="00485C08"/>
    <w:rsid w:val="00494409"/>
    <w:rsid w:val="00494904"/>
    <w:rsid w:val="004B56B0"/>
    <w:rsid w:val="004B63D7"/>
    <w:rsid w:val="004C134B"/>
    <w:rsid w:val="004D02CC"/>
    <w:rsid w:val="004E03E9"/>
    <w:rsid w:val="004E4268"/>
    <w:rsid w:val="004E4E3A"/>
    <w:rsid w:val="00505767"/>
    <w:rsid w:val="0050611C"/>
    <w:rsid w:val="00510557"/>
    <w:rsid w:val="00520525"/>
    <w:rsid w:val="00522C51"/>
    <w:rsid w:val="00527DF3"/>
    <w:rsid w:val="005311ED"/>
    <w:rsid w:val="00537E40"/>
    <w:rsid w:val="00542BDE"/>
    <w:rsid w:val="0054520A"/>
    <w:rsid w:val="00554A6E"/>
    <w:rsid w:val="005645B3"/>
    <w:rsid w:val="00571C47"/>
    <w:rsid w:val="00576887"/>
    <w:rsid w:val="00592E32"/>
    <w:rsid w:val="005B5CA6"/>
    <w:rsid w:val="005D5FA5"/>
    <w:rsid w:val="005F2F29"/>
    <w:rsid w:val="005F7698"/>
    <w:rsid w:val="00600987"/>
    <w:rsid w:val="006167D3"/>
    <w:rsid w:val="006273A2"/>
    <w:rsid w:val="00635E36"/>
    <w:rsid w:val="00643291"/>
    <w:rsid w:val="006458D7"/>
    <w:rsid w:val="00652595"/>
    <w:rsid w:val="00652D16"/>
    <w:rsid w:val="00662B92"/>
    <w:rsid w:val="006903BB"/>
    <w:rsid w:val="00691525"/>
    <w:rsid w:val="006A21D1"/>
    <w:rsid w:val="006D50BB"/>
    <w:rsid w:val="006E7F85"/>
    <w:rsid w:val="00717AF4"/>
    <w:rsid w:val="00722BC4"/>
    <w:rsid w:val="0073559C"/>
    <w:rsid w:val="0074460D"/>
    <w:rsid w:val="00755A12"/>
    <w:rsid w:val="007609AA"/>
    <w:rsid w:val="007738D5"/>
    <w:rsid w:val="00774505"/>
    <w:rsid w:val="0079505A"/>
    <w:rsid w:val="007959F7"/>
    <w:rsid w:val="007B22B9"/>
    <w:rsid w:val="00804C85"/>
    <w:rsid w:val="00812A2C"/>
    <w:rsid w:val="008153F3"/>
    <w:rsid w:val="00815F46"/>
    <w:rsid w:val="008406AC"/>
    <w:rsid w:val="00844F85"/>
    <w:rsid w:val="0086098E"/>
    <w:rsid w:val="00872368"/>
    <w:rsid w:val="008752A4"/>
    <w:rsid w:val="008777A7"/>
    <w:rsid w:val="00891A2E"/>
    <w:rsid w:val="008A40A7"/>
    <w:rsid w:val="008A53BF"/>
    <w:rsid w:val="008C187F"/>
    <w:rsid w:val="008D6AA3"/>
    <w:rsid w:val="008F4D70"/>
    <w:rsid w:val="0091547F"/>
    <w:rsid w:val="009174D1"/>
    <w:rsid w:val="00926713"/>
    <w:rsid w:val="0093321D"/>
    <w:rsid w:val="0093755B"/>
    <w:rsid w:val="009403C9"/>
    <w:rsid w:val="009415BA"/>
    <w:rsid w:val="00945A9F"/>
    <w:rsid w:val="009479D5"/>
    <w:rsid w:val="009650F0"/>
    <w:rsid w:val="00971EA8"/>
    <w:rsid w:val="009765A8"/>
    <w:rsid w:val="00982CCA"/>
    <w:rsid w:val="009852EF"/>
    <w:rsid w:val="00990EFF"/>
    <w:rsid w:val="00991493"/>
    <w:rsid w:val="009945A4"/>
    <w:rsid w:val="009A1690"/>
    <w:rsid w:val="009A2F33"/>
    <w:rsid w:val="009C1F08"/>
    <w:rsid w:val="009E548B"/>
    <w:rsid w:val="00A041AF"/>
    <w:rsid w:val="00A1255D"/>
    <w:rsid w:val="00A179DC"/>
    <w:rsid w:val="00A26A06"/>
    <w:rsid w:val="00A41EC8"/>
    <w:rsid w:val="00A534B1"/>
    <w:rsid w:val="00A64699"/>
    <w:rsid w:val="00A71E12"/>
    <w:rsid w:val="00A73FFB"/>
    <w:rsid w:val="00A80B1E"/>
    <w:rsid w:val="00A86241"/>
    <w:rsid w:val="00A92398"/>
    <w:rsid w:val="00A9289A"/>
    <w:rsid w:val="00AA104C"/>
    <w:rsid w:val="00AB101B"/>
    <w:rsid w:val="00AB4106"/>
    <w:rsid w:val="00AC77B5"/>
    <w:rsid w:val="00AD6C0D"/>
    <w:rsid w:val="00AF0564"/>
    <w:rsid w:val="00AF145D"/>
    <w:rsid w:val="00B0152E"/>
    <w:rsid w:val="00B02925"/>
    <w:rsid w:val="00B1377A"/>
    <w:rsid w:val="00B148C4"/>
    <w:rsid w:val="00B309AA"/>
    <w:rsid w:val="00B44376"/>
    <w:rsid w:val="00B4770F"/>
    <w:rsid w:val="00B7536B"/>
    <w:rsid w:val="00B75DA2"/>
    <w:rsid w:val="00B87350"/>
    <w:rsid w:val="00B9228E"/>
    <w:rsid w:val="00B944D9"/>
    <w:rsid w:val="00BA1ED4"/>
    <w:rsid w:val="00BB1EA6"/>
    <w:rsid w:val="00BC1598"/>
    <w:rsid w:val="00BC6FBB"/>
    <w:rsid w:val="00BC788C"/>
    <w:rsid w:val="00BE4091"/>
    <w:rsid w:val="00BE57BF"/>
    <w:rsid w:val="00C10587"/>
    <w:rsid w:val="00C310F6"/>
    <w:rsid w:val="00C61208"/>
    <w:rsid w:val="00C614D7"/>
    <w:rsid w:val="00C62BCD"/>
    <w:rsid w:val="00C63984"/>
    <w:rsid w:val="00CA4859"/>
    <w:rsid w:val="00CA65C6"/>
    <w:rsid w:val="00CD14B7"/>
    <w:rsid w:val="00CE2D98"/>
    <w:rsid w:val="00CF659D"/>
    <w:rsid w:val="00D017A3"/>
    <w:rsid w:val="00D17F2C"/>
    <w:rsid w:val="00D24999"/>
    <w:rsid w:val="00D61BA5"/>
    <w:rsid w:val="00D747D2"/>
    <w:rsid w:val="00D86CC9"/>
    <w:rsid w:val="00D93FD1"/>
    <w:rsid w:val="00D95AA2"/>
    <w:rsid w:val="00DC2F7C"/>
    <w:rsid w:val="00DD2210"/>
    <w:rsid w:val="00DE2CBE"/>
    <w:rsid w:val="00DF7119"/>
    <w:rsid w:val="00E065BD"/>
    <w:rsid w:val="00E65FF7"/>
    <w:rsid w:val="00E70551"/>
    <w:rsid w:val="00E94CCE"/>
    <w:rsid w:val="00EA26E9"/>
    <w:rsid w:val="00EB28DE"/>
    <w:rsid w:val="00EC70C1"/>
    <w:rsid w:val="00EC72E5"/>
    <w:rsid w:val="00EE21EB"/>
    <w:rsid w:val="00F07236"/>
    <w:rsid w:val="00F23FE2"/>
    <w:rsid w:val="00F2542B"/>
    <w:rsid w:val="00F551A2"/>
    <w:rsid w:val="00F60DCD"/>
    <w:rsid w:val="00F63CF7"/>
    <w:rsid w:val="00F649BB"/>
    <w:rsid w:val="00F83A20"/>
    <w:rsid w:val="00F84079"/>
    <w:rsid w:val="00F95966"/>
    <w:rsid w:val="00FB735D"/>
    <w:rsid w:val="00FC7BD2"/>
    <w:rsid w:val="00FD2D6D"/>
    <w:rsid w:val="00FE2693"/>
    <w:rsid w:val="00FE2ED9"/>
    <w:rsid w:val="00FF6B7C"/>
    <w:rsid w:val="00FF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4B0C"/>
  <w15:docId w15:val="{90E0C52F-C48C-488F-A2D8-2058ED2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1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8C187F"/>
    <w:pPr>
      <w:ind w:left="720"/>
      <w:contextualSpacing/>
    </w:pPr>
  </w:style>
  <w:style w:type="paragraph" w:styleId="a7">
    <w:name w:val="No Spacing"/>
    <w:link w:val="a8"/>
    <w:uiPriority w:val="1"/>
    <w:qFormat/>
    <w:rsid w:val="00166EA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166EAD"/>
    <w:rPr>
      <w:rFonts w:ascii="Calibri" w:eastAsia="Times New Roman" w:hAnsi="Calibri" w:cs="Times New Roman"/>
      <w:lang w:val="en-US"/>
    </w:rPr>
  </w:style>
  <w:style w:type="table" w:styleId="a9">
    <w:name w:val="Table Grid"/>
    <w:basedOn w:val="a1"/>
    <w:rsid w:val="00B4437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8D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D6AA3"/>
  </w:style>
  <w:style w:type="paragraph" w:styleId="ac">
    <w:name w:val="footer"/>
    <w:basedOn w:val="a"/>
    <w:link w:val="ad"/>
    <w:uiPriority w:val="99"/>
    <w:semiHidden/>
    <w:unhideWhenUsed/>
    <w:rsid w:val="008D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D6AA3"/>
  </w:style>
  <w:style w:type="paragraph" w:customStyle="1" w:styleId="ConsPlusNormal">
    <w:name w:val="ConsPlusNormal"/>
    <w:link w:val="ConsPlusNormal0"/>
    <w:uiPriority w:val="99"/>
    <w:rsid w:val="004949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490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0"/>
    <w:rsid w:val="00A71E12"/>
  </w:style>
  <w:style w:type="character" w:customStyle="1" w:styleId="a6">
    <w:name w:val="Абзац списка Знак"/>
    <w:link w:val="a5"/>
    <w:uiPriority w:val="34"/>
    <w:locked/>
    <w:rsid w:val="00A7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5134</Words>
  <Characters>29267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P-1018</dc:creator>
  <cp:lastModifiedBy>VLADIMIR</cp:lastModifiedBy>
  <cp:revision>8</cp:revision>
  <cp:lastPrinted>2026-05-12T07:13:00Z</cp:lastPrinted>
  <dcterms:created xsi:type="dcterms:W3CDTF">2025-09-08T09:23:00Z</dcterms:created>
  <dcterms:modified xsi:type="dcterms:W3CDTF">2026-05-25T08:31:00Z</dcterms:modified>
</cp:coreProperties>
</file>