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567" w:gutter="0" w:header="567" w:top="1134" w:footer="567" w:bottom="1134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Normal"/>
        <w:shd w:fill="FFFFFF"/>
        <w:tabs>
          <w:tab w:val="clear" w:pos="709"/>
          <w:tab w:val="left" w:pos="719" w:leader="none"/>
        </w:tabs>
        <w:bidi w:val="0"/>
        <w:spacing w:lineRule="auto" w:line="240"/>
        <w:ind w:firstLine="567" w:start="5"/>
        <w:rPr>
          <w:sz w:val="24"/>
          <w:szCs w:val="24"/>
        </w:rPr>
      </w:pPr>
      <w:r>
        <w:rPr>
          <w:b/>
          <w:sz w:val="24"/>
          <w:szCs w:val="24"/>
        </w:rPr>
        <w:t>на оказание услуг  по определению категорий по взрывопожарной и пожарной опасности, классов зон  помещений Бюро — филиалов ФКУ «ГБ МСЭ по Иркутской области» Минтруда Рос</w:t>
      </w:r>
      <w:r>
        <w:rPr>
          <w:b/>
          <w:sz w:val="24"/>
          <w:szCs w:val="24"/>
        </w:rPr>
        <w:t>сии</w:t>
      </w:r>
    </w:p>
    <w:p>
      <w:pPr>
        <w:pStyle w:val="Normal"/>
        <w:shd w:fill="FFFFFF"/>
        <w:tabs>
          <w:tab w:val="clear" w:pos="709"/>
          <w:tab w:val="left" w:pos="719" w:leader="none"/>
        </w:tabs>
        <w:bidi w:val="0"/>
        <w:spacing w:lineRule="auto" w:line="240"/>
        <w:ind w:firstLine="567" w:start="5"/>
        <w:rPr>
          <w:b/>
        </w:rPr>
      </w:pPr>
      <w:r>
        <w:rPr>
          <w:b/>
        </w:rPr>
      </w:r>
    </w:p>
    <w:tbl>
      <w:tblPr>
        <w:tblW w:w="10200" w:type="dxa"/>
        <w:jc w:val="start"/>
        <w:tblInd w:w="11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5"/>
        <w:gridCol w:w="1783"/>
        <w:gridCol w:w="7792"/>
      </w:tblGrid>
      <w:tr>
        <w:trPr/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требований к услугам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услугам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Виды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fill="FFFFFF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Услуги по обеспечению пожарной безопасности.</w:t>
            </w:r>
          </w:p>
          <w:p>
            <w:pPr>
              <w:pStyle w:val="Normal"/>
              <w:shd w:fill="FFFFFF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ОКПД2: 84.25.11.120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49" w:leader="none"/>
              </w:tabs>
              <w:bidi w:val="0"/>
              <w:spacing w:lineRule="auto" w:line="240"/>
              <w:ind w:hanging="0" w:start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Описание объекта закупки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/>
              <w:tabs>
                <w:tab w:val="clear" w:pos="709"/>
              </w:tabs>
              <w:bidi w:val="0"/>
              <w:spacing w:lineRule="auto" w:line="240"/>
              <w:ind w:hanging="0" w:start="0"/>
              <w:jc w:val="both"/>
              <w:rPr/>
            </w:pPr>
            <w:r>
              <w:rPr>
                <w:rFonts w:cs="Times New Roman"/>
                <w:b/>
                <w:sz w:val="20"/>
                <w:szCs w:val="20"/>
              </w:rPr>
              <w:t>Оказание услуг  по определению категорий по взрывопожарной и пожарной опасности, классов зон  помещений  Бюро — филиалов ФКУ «ГБ МСЭ по Иркутской области» Минтруда России.</w:t>
            </w:r>
          </w:p>
          <w:p>
            <w:pPr>
              <w:pStyle w:val="Normal"/>
              <w:shd w:fill="FFFFFF"/>
              <w:tabs>
                <w:tab w:val="clear" w:pos="709"/>
              </w:tabs>
              <w:bidi w:val="0"/>
              <w:spacing w:lineRule="auto" w:line="240"/>
              <w:ind w:hanging="0" w:start="10"/>
              <w:jc w:val="both"/>
              <w:rPr/>
            </w:pPr>
            <w:r>
              <w:rPr>
                <w:b/>
                <w:sz w:val="20"/>
                <w:szCs w:val="20"/>
              </w:rPr>
              <w:t>Объект:</w:t>
            </w:r>
            <w:r>
              <w:rPr>
                <w:sz w:val="20"/>
                <w:szCs w:val="20"/>
              </w:rPr>
              <w:t xml:space="preserve"> Бюро — филиалы ФКУ «ГБ МСЭ по Иркутской области» Минтруда России расположенные по адресам:</w:t>
            </w:r>
          </w:p>
          <w:p>
            <w:pPr>
              <w:pStyle w:val="user20"/>
              <w:tabs>
                <w:tab w:val="clear" w:pos="709"/>
                <w:tab w:val="left" w:pos="3575" w:leader="none"/>
              </w:tabs>
              <w:bidi w:val="0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eastAsia="Arial Unicode MS" w:cs="Times New Roman" w:ascii="PT Serif" w:hAnsi="PT Serif"/>
                <w:color w:val="000000"/>
                <w:sz w:val="18"/>
                <w:szCs w:val="18"/>
              </w:rPr>
              <w:t>г. Ангарск, 11 микрорайон, д. 7А. Помещение 97;</w:t>
            </w:r>
          </w:p>
          <w:p>
            <w:pPr>
              <w:pStyle w:val="user20"/>
              <w:tabs>
                <w:tab w:val="clear" w:pos="709"/>
                <w:tab w:val="left" w:pos="3575" w:leader="none"/>
              </w:tabs>
              <w:bidi w:val="0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eastAsia="Arial Unicode MS" w:cs="Times New Roman" w:ascii="PT Serif" w:hAnsi="PT Serif"/>
                <w:color w:val="000000"/>
                <w:sz w:val="18"/>
                <w:szCs w:val="18"/>
              </w:rPr>
              <w:t>г. Братск, ул. Возрождения, д. 4;</w:t>
            </w:r>
          </w:p>
          <w:p>
            <w:pPr>
              <w:pStyle w:val="user20"/>
              <w:tabs>
                <w:tab w:val="clear" w:pos="709"/>
                <w:tab w:val="left" w:pos="3575" w:leader="none"/>
              </w:tabs>
              <w:bidi w:val="0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eastAsia="Arial Unicode MS" w:cs="Times New Roman" w:ascii="PT Serif" w:hAnsi="PT Serif"/>
                <w:color w:val="000000"/>
                <w:sz w:val="18"/>
                <w:szCs w:val="18"/>
              </w:rPr>
              <w:t>г. Тулун, ул. Горького, 2 Б;</w:t>
            </w:r>
          </w:p>
          <w:p>
            <w:pPr>
              <w:pStyle w:val="user20"/>
              <w:tabs>
                <w:tab w:val="clear" w:pos="709"/>
                <w:tab w:val="left" w:pos="3575" w:leader="none"/>
              </w:tabs>
              <w:bidi w:val="0"/>
              <w:spacing w:lineRule="auto" w:line="240"/>
              <w:jc w:val="both"/>
              <w:rPr>
                <w:rFonts w:ascii="PT Serif" w:hAnsi="PT Serif" w:eastAsia="Arial Unicode MS" w:cs="Times New Roman"/>
                <w:color w:val="000000"/>
                <w:sz w:val="18"/>
                <w:szCs w:val="18"/>
              </w:rPr>
            </w:pPr>
            <w:r>
              <w:rPr>
                <w:rFonts w:eastAsia="Arial Unicode MS" w:cs="Times New Roman" w:ascii="PT Serif" w:hAnsi="PT Serif"/>
                <w:color w:val="000000"/>
                <w:sz w:val="18"/>
                <w:szCs w:val="18"/>
              </w:rPr>
              <w:t>пос. Усть-Ордынский, ул. Хамаганова, 4.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Описание объема услуг объекта закупки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1. Проведение обследования объектов (зданий);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2. Проведение расчетов категорий помещений по взрывопожарной и пожарной опасности по 4 помещениям Бюро -филиалов ФКУ «ГБ МСЭ по Иркутской области» Минтруда России в соответствии с установленной законодательством методикой;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3. Подготовка отчетных материалов для каждого помещения Заказчика, содержащих: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ab/>
              <w:t>- наименование использованной методики;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ab/>
              <w:t>- описание объекта защиты, в отношении которого проведен расчет категории помещения по взрывопожарной и пожарной опасности;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ab/>
              <w:t>- результаты проведения расчета категории помещения по взрывопожарной и пожарной опасности;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ab/>
              <w:t>- перечень исходных данных и используемых справочных источников информации.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4. Подготовка отчета по расчету категории для 4 помещений Бюро - филиалов ФКУ «ГБ МСЭ по Иркутской области» Минтруда России, по взрывопожарной и пожарной опасности в соответствии с главами 5, 7 и 8 Федерального закона "Технический регламент о требованиях пожарной безопасности";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5. Изготовление и размещение на дверях 4 помещений Бюро - филиалов ФКУ «ГБ МСЭ по Иркутской области» Минтруда России самоклеящихся табличек. Табличка должна содержать информацию о категории помещения и информацию о классе зоны и взрывоопасности,  должна быть квадратной формы, размером не менее 300 мм х 150 мм, которые должны соответствовать ГОСТ 12.4.026-2015.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Выполнение услуг, осуществляется силами и средствами Исполнителя при предварительном согласовании со специалистом по ГО и ЧС отдела по общим вопросам деятельности учреждения Халташкиной Еленой Валерьевной по телефону (83952) 705-600 (доб. 336)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Цели использования результатов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ind w:end="33"/>
              <w:jc w:val="both"/>
              <w:rPr/>
            </w:pPr>
            <w:r>
              <w:rPr>
                <w:sz w:val="20"/>
                <w:szCs w:val="20"/>
              </w:rPr>
              <w:t>Установление категорий помещений по взрывопожарной и пожарной опасности (в соответствии с требованиями СП 12.13130.2009) и определение классов взрывоопасных и пожароопасных зон (в соответствии с ПУЭ, гл. 7.3 и 7.4), необходимых для обеспечения пожарной безопасности объектов, выбора электрооборудования, разработки мер противопожарной защиты и соблюдения требований надзорных органов.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bCs/>
                <w:sz w:val="20"/>
                <w:szCs w:val="20"/>
              </w:rPr>
              <w:t>Условия  оказания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Услуги должны оказываться в соответствии требованиям действующего законодательства, стандартов, норм и правил.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Качество и безопасность оказываемых услуг должны соответствовать требованиям действующего законодательства: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Федеральный закон от 22.07.2008 № 123-ФЗ «Технический регламент о требованиях пожарной безопасности»;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Федеральный закон от 21.12.1994 № 69-ФЗ «О пожарной безопасности»;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Федеральный закон от 30.03.1999 № 52-ФЗ «О санитарно - эпидемиологическом благополучии населения»;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Правила противопожарного режима в Российской Федерации (утверждены постановлением Правительства РФ от 16.09.2020 №1479;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 ГОСТ 12.4.026-2015 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Свод правил СП 12.13130.2009 «Определение категорий помещений, зданий и наружных установок по взрывопожарной и пожарной опасности»;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Свод правил  СП 112.13330.2011 «Пожарная безопасность зданий и сооружений»;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- Свод правил  СП 12.13130.2009 «Определение категорий помещений, зданий и наружных установок по взрывопожарной и пожарной опасности».</w:t>
            </w:r>
          </w:p>
        </w:tc>
      </w:tr>
      <w:tr>
        <w:trPr>
          <w:trHeight w:val="416" w:hRule="atLeast"/>
        </w:trPr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bCs/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tabs>
                <w:tab w:val="clear" w:pos="709"/>
              </w:tabs>
              <w:bidi w:val="0"/>
              <w:spacing w:lineRule="auto" w:line="240"/>
              <w:rPr>
                <w:rFonts w:ascii="PT Astra Serif" w:hAnsi="PT Astra Serif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 рамках оказания услуг Исполнитель обязан выполнить следующие работы по 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>каждому объекту/помещению: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left" w:pos="709" w:leader="none"/>
              </w:tabs>
              <w:bidi w:val="0"/>
              <w:spacing w:lineRule="auto" w:line="240"/>
              <w:rPr>
                <w:rFonts w:ascii="PT Astra Serif" w:hAnsi="PT Astra Serif"/>
                <w:lang w:val="ru-RU"/>
              </w:rPr>
            </w:pPr>
            <w:r>
              <w:rPr>
                <w:rStyle w:val="Strong"/>
                <w:b w:val="false"/>
                <w:sz w:val="20"/>
                <w:szCs w:val="20"/>
                <w:lang w:val="ru-RU"/>
              </w:rPr>
              <w:t>Сбор и анализ документации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 (при наличии): проектная и эксплуатационная документация, планы БТИ, паспорта помещений, сведения о хранимых/используемых веществах и материалах, паспорта безопасности (MSDS), технологические регламенты.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left" w:pos="709" w:leader="none"/>
              </w:tabs>
              <w:bidi w:val="0"/>
              <w:spacing w:lineRule="auto" w:line="240"/>
              <w:rPr>
                <w:rFonts w:ascii="PT Astra Serif" w:hAnsi="PT Astra Serif"/>
                <w:lang w:val="ru-RU"/>
              </w:rPr>
            </w:pPr>
            <w:r>
              <w:rPr>
                <w:rStyle w:val="Strong"/>
                <w:b w:val="false"/>
                <w:sz w:val="20"/>
                <w:szCs w:val="20"/>
                <w:lang w:val="ru-RU"/>
              </w:rPr>
              <w:t>Расчёт категорий помещений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 по взрывопожарной и пожарной опасности по методике СП 12.13130.2009 с обоснованием принятых допущений и исходных данных.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left" w:pos="709" w:leader="none"/>
              </w:tabs>
              <w:bidi w:val="0"/>
              <w:spacing w:lineRule="auto" w:line="240"/>
              <w:rPr>
                <w:rFonts w:ascii="PT Astra Serif" w:hAnsi="PT Astra Serif"/>
                <w:lang w:val="ru-RU"/>
              </w:rPr>
            </w:pPr>
            <w:r>
              <w:rPr>
                <w:rStyle w:val="Strong"/>
                <w:b w:val="false"/>
                <w:sz w:val="20"/>
                <w:szCs w:val="20"/>
                <w:lang w:val="ru-RU"/>
              </w:rPr>
              <w:t>Определение классов взрывоопасных и пожароопасных зон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 в соответствии с классификацией ПУЭ с учётом характеристик обращающихся веществ, режимов работы оборудования и возможных аварийных ситуаций.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left" w:pos="709" w:leader="none"/>
              </w:tabs>
              <w:bidi w:val="0"/>
              <w:spacing w:lineRule="auto" w:line="240"/>
              <w:rPr>
                <w:rFonts w:ascii="PT Astra Serif" w:hAnsi="PT Astra Serif"/>
                <w:lang w:val="ru-RU"/>
              </w:rPr>
            </w:pPr>
            <w:r>
              <w:rPr>
                <w:rStyle w:val="Strong"/>
                <w:b w:val="false"/>
                <w:sz w:val="20"/>
                <w:szCs w:val="20"/>
                <w:lang w:val="ru-RU"/>
              </w:rPr>
              <w:t>Формирование комплекта отчётной документации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 по каждому помещению/объекту, включая расчёты, обоснования и выводы.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left" w:pos="709" w:leader="none"/>
              </w:tabs>
              <w:bidi w:val="0"/>
              <w:spacing w:lineRule="auto" w:line="240" w:before="0" w:after="283"/>
              <w:rPr>
                <w:rFonts w:ascii="PT Astra Serif" w:hAnsi="PT Astra Serif"/>
                <w:lang w:val="ru-RU"/>
              </w:rPr>
            </w:pPr>
            <w:r>
              <w:rPr>
                <w:rStyle w:val="Strong"/>
                <w:b w:val="false"/>
                <w:sz w:val="20"/>
                <w:szCs w:val="20"/>
                <w:lang w:val="ru-RU"/>
              </w:rPr>
              <w:t>Подготовка рекомендаций</w:t>
            </w:r>
            <w:r>
              <w:rPr>
                <w:b w:val="false"/>
                <w:bCs w:val="false"/>
                <w:sz w:val="20"/>
                <w:szCs w:val="20"/>
                <w:lang w:val="ru-RU"/>
              </w:rPr>
              <w:t xml:space="preserve"> по мерам пожарной безопасности, если выявленные категории/классы требуют дополнительных мероприятий (размещение знаков, требования к электрооборудованию, ограничения по хранению и т. п.).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 xml:space="preserve">Оказание услуг по определению категорий взрывопожарной и пожарной опасности объектов защиты, определение </w:t>
            </w:r>
            <w:r>
              <w:rPr>
                <w:rStyle w:val="Strong"/>
                <w:b w:val="false"/>
                <w:sz w:val="20"/>
                <w:szCs w:val="20"/>
              </w:rPr>
              <w:t xml:space="preserve">взрывоопасных и пожароопасных </w:t>
            </w:r>
            <w:r>
              <w:rPr>
                <w:sz w:val="20"/>
                <w:szCs w:val="20"/>
              </w:rPr>
              <w:t>классов зон проводить обученным персоналом, результат должен быть оформлен в виде Технического заключения в соответствии с Федеральным законом №123 ФЗ «Технический регламент о требованиях пожарной безопасности». Также Техническое заключение должно содержать указание на необходимые тип(ы) огнетушителей, противопожарных преград для рассчитываемых помещений.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Исполнитель согласовывает с Заказчиком план - график предоставления услуг на основании установленного объема работ 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Все необходимые для проведения расчетов исходные данные Исполнитель собирает самостоятельно в ходе оказания услуги, Заказчик обязан оказывать содействие Исполнителю при сборе исходных данных.</w:t>
            </w:r>
          </w:p>
        </w:tc>
      </w:tr>
      <w:tr>
        <w:trPr>
          <w:trHeight w:val="1129" w:hRule="atLeast"/>
        </w:trPr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Требования к качеству услуг, качеству материалов, используемых при оказании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bCs/>
                <w:sz w:val="20"/>
                <w:szCs w:val="20"/>
              </w:rPr>
              <w:t>Исполнитель должен иметь все необходимые специальные разрешения для оказания услуг.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pacing w:val="2"/>
                <w:sz w:val="20"/>
                <w:szCs w:val="20"/>
              </w:rPr>
              <w:t>Услуги оказываются качественно, в полном объеме в соответствии с условиями контракта.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pacing w:val="2"/>
                <w:sz w:val="20"/>
                <w:szCs w:val="20"/>
              </w:rPr>
              <w:t>Все услуги оказываются с использованием ресурсов Исполнителя (материалы, изделия, инструменты, конструкции, оборудование) и за счет Исполнителя.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pacing w:val="2"/>
                <w:sz w:val="20"/>
                <w:szCs w:val="20"/>
              </w:rPr>
              <w:t>Результат оказания услуг должен соответствовать требованиям нормативно – правовых актов Российской Федерации.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pacing w:val="2"/>
                <w:sz w:val="20"/>
                <w:szCs w:val="20"/>
              </w:rPr>
              <w:t>Гарантийный срок на качество оказанных услуг составляет 12 (двенадцать) месяцев с момента подписания Заказчиком Документа о приемке.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pacing w:val="2"/>
                <w:sz w:val="20"/>
                <w:szCs w:val="20"/>
              </w:rPr>
              <w:t>Если в гарантийный период объекта обнаружатся дефекты, допущенные по вине Исполнителя, то Исполнитель их устраняет в установленный Заказчиком срок за свой счет, гарантийный срок в этом случае продлевается на период устранения дефектов.</w:t>
            </w:r>
          </w:p>
        </w:tc>
      </w:tr>
      <w:tr>
        <w:trPr>
          <w:trHeight w:val="1129" w:hRule="atLeast"/>
        </w:trPr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Требования к безопасности оказания услуг и безопасности результатов услуг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>
                <w:rFonts w:ascii="YS Text" w:hAnsi="YS Text"/>
                <w:b w:val="false"/>
                <w:i w:val="false"/>
                <w:i w:val="false"/>
                <w:caps w:val="false"/>
                <w:smallCaps w:val="false"/>
                <w:color w:val="34343C"/>
                <w:spacing w:val="0"/>
                <w:sz w:val="22"/>
              </w:rPr>
            </w:pPr>
            <w:r>
              <w:rPr>
                <w:rFonts w:ascii="YS Text" w:hAnsi="YS Text"/>
                <w:b w:val="false"/>
                <w:i w:val="false"/>
                <w:caps w:val="false"/>
                <w:smallCaps w:val="false"/>
                <w:color w:val="34343C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bCs/>
                <w:sz w:val="20"/>
                <w:szCs w:val="20"/>
              </w:rPr>
              <w:t xml:space="preserve">Соблюдение при оказании услуг норм и требований по технике безопасности, </w:t>
            </w:r>
            <w:r>
              <w:rPr>
                <w:sz w:val="20"/>
                <w:szCs w:val="20"/>
              </w:rPr>
              <w:t xml:space="preserve">пожарной безопасности, </w:t>
            </w:r>
            <w:r>
              <w:rPr>
                <w:bCs/>
                <w:sz w:val="20"/>
                <w:szCs w:val="20"/>
              </w:rPr>
              <w:t>охране окружающей среды.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При оказании услуг запрещается использовать технические и химические вещества, опасные для жизни или здоровья человека.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Исполнитель гарантирует достоверность и полноту представленных результатов. В случае выявления ошибок в документации, произошедших по вине исполнителя, он обязуется за свой счёт внести необходимые исправления.</w:t>
            </w:r>
          </w:p>
        </w:tc>
      </w:tr>
      <w:tr>
        <w:trPr>
          <w:trHeight w:val="1129" w:hRule="atLeast"/>
        </w:trPr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Порядок сдачи и приемки результатов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Техническое заключение по определению категорий помещений по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взрывопожарной и пожарной опасности исполнитель обязан предоставить в 2 экз. в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бумажном (переплетенном) виде и 1 экз. на электронном носителе, (бумажная и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электронная версии должны быть абсолютно идентичны) для каждого помещения отдельно.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Сдача результатов оформляется актом сдачи - приёмки оказанных услуг, который подписывают представители обеих Сторон.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Заказчик вправе в ходе приёмки запросить у Исполнителя пояснения по отдельным позициям расчётов или дополнительные материалы, обосновывающие выводы. Также Заказчик может инициировать проверку и согласование расчётов в территориальном органе МЧС — при этом стоимость услуг не изменяется.</w:t>
            </w:r>
          </w:p>
        </w:tc>
      </w:tr>
      <w:tr>
        <w:trPr>
          <w:trHeight w:val="1129" w:hRule="atLeast"/>
        </w:trPr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rPr/>
            </w:pPr>
            <w:r>
              <w:rPr>
                <w:sz w:val="20"/>
                <w:szCs w:val="20"/>
              </w:rPr>
              <w:t>Требования по передаче технических и иных документов по завершению и сдаче услуг</w:t>
            </w:r>
          </w:p>
        </w:tc>
        <w:tc>
          <w:tcPr>
            <w:tcW w:w="7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/>
              <w:jc w:val="both"/>
              <w:rPr/>
            </w:pPr>
            <w:r>
              <w:rPr>
                <w:sz w:val="20"/>
                <w:szCs w:val="20"/>
              </w:rPr>
              <w:t>Оформление результатов должно быть выполнено в соответствии с действующими правовыми нормами и требованиями нормативных документов по пожарной безопасности.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29" w:hRule="atLeast"/>
        </w:trPr>
        <w:tc>
          <w:tcPr>
            <w:tcW w:w="6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</w:tabs>
              <w:bidi w:val="0"/>
              <w:spacing w:lineRule="auto" w:line="240"/>
              <w:ind w:hanging="0" w:start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Срок/периодичность поставки товаров (выполнения работ, оказания услуг)</w:t>
            </w:r>
          </w:p>
        </w:tc>
        <w:tc>
          <w:tcPr>
            <w:tcW w:w="77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sz w:val="18"/>
                <w:szCs w:val="18"/>
              </w:rPr>
            </w:pPr>
            <w:r>
              <w:rPr>
                <w:rFonts w:ascii="PT Serif" w:hAnsi="PT Serif"/>
                <w:b w:val="false"/>
                <w:bCs w:val="false"/>
                <w:i w:val="false"/>
                <w:iCs/>
                <w:color w:val="auto"/>
                <w:sz w:val="18"/>
                <w:szCs w:val="18"/>
              </w:rPr>
              <w:t xml:space="preserve">Выполнение работ с момента заключения контракта </w:t>
            </w:r>
            <w:r>
              <w:rPr>
                <w:rFonts w:ascii="PT Serif" w:hAnsi="PT Serif"/>
                <w:b w:val="false"/>
                <w:bCs w:val="false"/>
                <w:i w:val="false"/>
                <w:iCs/>
                <w:color w:val="auto"/>
                <w:sz w:val="18"/>
                <w:szCs w:val="18"/>
              </w:rPr>
              <w:t>п</w:t>
            </w:r>
            <w:r>
              <w:rPr>
                <w:rFonts w:ascii="PT Serif" w:hAnsi="PT Serif"/>
                <w:b w:val="false"/>
                <w:bCs w:val="false"/>
                <w:i w:val="false"/>
                <w:iCs/>
                <w:color w:val="auto"/>
                <w:sz w:val="18"/>
                <w:szCs w:val="18"/>
              </w:rPr>
              <w:t xml:space="preserve">о </w:t>
            </w:r>
            <w:r>
              <w:rPr>
                <w:rFonts w:ascii="PT Serif" w:hAnsi="PT Serif"/>
                <w:b/>
                <w:bCs/>
                <w:i w:val="false"/>
                <w:iCs w:val="false"/>
                <w:color w:val="auto"/>
                <w:sz w:val="18"/>
                <w:szCs w:val="18"/>
              </w:rPr>
              <w:t>30.09.2026 г.</w:t>
            </w:r>
          </w:p>
        </w:tc>
      </w:tr>
    </w:tbl>
    <w:p>
      <w:pPr>
        <w:pStyle w:val="Normal"/>
        <w:shd w:fill="FFFFFF"/>
        <w:tabs>
          <w:tab w:val="clear" w:pos="709"/>
          <w:tab w:val="left" w:pos="719" w:leader="none"/>
        </w:tabs>
        <w:bidi w:val="0"/>
        <w:spacing w:lineRule="auto" w:line="240"/>
        <w:ind w:hanging="0" w:start="5"/>
        <w:rPr/>
      </w:pPr>
      <w:r>
        <w:rPr/>
      </w:r>
    </w:p>
    <w:p>
      <w:pPr>
        <w:pStyle w:val="Normal"/>
        <w:bidi w:val="0"/>
        <w:rPr/>
      </w:pPr>
      <w:r>
        <w:rPr/>
      </w:r>
    </w:p>
    <w:sectPr>
      <w:type w:val="continuous"/>
      <w:pgSz w:w="11906" w:h="16838"/>
      <w:pgMar w:left="1134" w:right="567" w:gutter="0" w:header="567" w:top="1134" w:footer="567" w:bottom="1134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Serif">
    <w:charset w:val="01"/>
    <w:family w:val="roman"/>
    <w:pitch w:val="default"/>
  </w:font>
  <w:font w:name="YS Text">
    <w:charset w:val="01"/>
    <w:family w:val="roman"/>
    <w:pitch w:val="default"/>
  </w:font>
  <w:font w:name="PT Astra Serif"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8" w:hanging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8" w:hanging="18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user">
    <w:name w:val="Символ сноски (user)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user1">
    <w:name w:val="Символ концевой сноски (user)"/>
    <w:qFormat/>
    <w:rPr/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user2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user3">
    <w:name w:val="Определение (user)"/>
    <w:qFormat/>
    <w:rPr/>
  </w:style>
  <w:style w:type="character" w:styleId="user4">
    <w:name w:val="Переменная (user)"/>
    <w:qFormat/>
    <w:rPr>
      <w:i/>
      <w:iCs/>
    </w:rPr>
  </w:style>
  <w:style w:type="character" w:styleId="user5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6">
    <w:name w:val="Пример (user)"/>
    <w:qFormat/>
    <w:rPr>
      <w:rFonts w:ascii="Liberation Mono" w:hAnsi="Liberation Mono" w:eastAsia="Liberation Mono" w:cs="Liberation Mono"/>
    </w:rPr>
  </w:style>
  <w:style w:type="character" w:styleId="user7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8">
    <w:name w:val="Цитата (user)"/>
    <w:qFormat/>
    <w:rPr>
      <w:i/>
      <w:iCs/>
    </w:rPr>
  </w:style>
  <w:style w:type="character" w:styleId="user9">
    <w:name w:val="Вертикальное направление символов (user)"/>
    <w:qFormat/>
    <w:rPr>
      <w:eastAsianLayout w:vert="true"/>
    </w:rPr>
  </w:style>
  <w:style w:type="character" w:styleId="user10">
    <w:name w:val="Фуригана (user)"/>
    <w:qFormat/>
    <w:rPr>
      <w:sz w:val="12"/>
      <w:szCs w:val="12"/>
      <w:u w:val="none"/>
      <w:em w:val="none"/>
    </w:rPr>
  </w:style>
  <w:style w:type="character" w:styleId="user11">
    <w:name w:val="Основной элемент указателя (user)"/>
    <w:qFormat/>
    <w:rPr>
      <w:b/>
      <w:bCs/>
    </w:rPr>
  </w:style>
  <w:style w:type="character" w:styleId="user12">
    <w:name w:val="Ссылка указателя (user)"/>
    <w:qFormat/>
    <w:rPr/>
  </w:style>
  <w:style w:type="character" w:styleId="user13">
    <w:name w:val="Заполнитель (user)"/>
    <w:qFormat/>
    <w:rPr>
      <w:smallCaps/>
      <w:color w:val="008080"/>
      <w:u w:val="dotted"/>
    </w:rPr>
  </w:style>
  <w:style w:type="character" w:styleId="user14">
    <w:name w:val="Буквица (user)"/>
    <w:qFormat/>
    <w:rPr/>
  </w:style>
  <w:style w:type="character" w:styleId="user15">
    <w:name w:val="Символы названия (user)"/>
    <w:qFormat/>
    <w:rPr/>
  </w:style>
  <w:style w:type="character" w:styleId="user16">
    <w:name w:val="Символ нумерации (user)"/>
    <w:qFormat/>
    <w:rPr/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user17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8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19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user20">
    <w:name w:val="Содержимое таблицы (user)"/>
    <w:basedOn w:val="Normal"/>
    <w:qFormat/>
    <w:pPr>
      <w:spacing w:lineRule="auto" w:line="240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LibreOffice/25.2.6.2$Linux_X86_64 LibreOffice_project/520$Build-2</Application>
  <AppVersion>15.0000</AppVersion>
  <Pages>4</Pages>
  <Words>1060</Words>
  <Characters>7366</Characters>
  <CharactersWithSpaces>8356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2026-08-07T10:30:33Z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