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Default="00CB16DA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поставку </w:t>
      </w:r>
      <w:r w:rsidR="00AD6A9F" w:rsidRPr="00AD6A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 программирование </w:t>
      </w:r>
      <w:proofErr w:type="spellStart"/>
      <w:r w:rsidR="00AD6A9F" w:rsidRPr="00AD6A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радиоканальных</w:t>
      </w:r>
      <w:proofErr w:type="spellEnd"/>
      <w:r w:rsidR="00AD6A9F" w:rsidRPr="00AD6A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тревожных кнопок</w:t>
      </w: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</w:t>
      </w:r>
      <w:r w:rsid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66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</w:t>
      </w:r>
      <w:r w:rsidRPr="00AD6A9F">
        <w:rPr>
          <w:rFonts w:ascii="Times New Roman" w:hAnsi="Times New Roman" w:cs="Times New Roman"/>
          <w:b/>
          <w:sz w:val="24"/>
          <w:szCs w:val="24"/>
        </w:rPr>
        <w:t xml:space="preserve">поставить </w:t>
      </w:r>
      <w:r w:rsidR="00AD6A9F" w:rsidRPr="00AD6A9F">
        <w:rPr>
          <w:rFonts w:ascii="Times New Roman" w:hAnsi="Times New Roman" w:cs="Times New Roman"/>
          <w:b/>
          <w:sz w:val="24"/>
          <w:szCs w:val="24"/>
        </w:rPr>
        <w:t xml:space="preserve">и запрограммировать </w:t>
      </w:r>
      <w:proofErr w:type="spellStart"/>
      <w:r w:rsidR="00AD6A9F" w:rsidRPr="00AD6A9F">
        <w:rPr>
          <w:rFonts w:ascii="Times New Roman" w:hAnsi="Times New Roman" w:cs="Times New Roman"/>
          <w:b/>
          <w:sz w:val="24"/>
          <w:szCs w:val="24"/>
        </w:rPr>
        <w:t>радиоканальные</w:t>
      </w:r>
      <w:proofErr w:type="spellEnd"/>
      <w:r w:rsidR="00AD6A9F" w:rsidRPr="00AD6A9F">
        <w:rPr>
          <w:rFonts w:ascii="Times New Roman" w:hAnsi="Times New Roman" w:cs="Times New Roman"/>
          <w:b/>
          <w:sz w:val="24"/>
          <w:szCs w:val="24"/>
        </w:rPr>
        <w:t xml:space="preserve"> тревожные кнопки</w:t>
      </w:r>
      <w:r w:rsidR="00AD6A9F" w:rsidRPr="00AD6A9F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AD6A9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AD6A9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</w:t>
      </w:r>
      <w:r w:rsidRPr="00C319DB">
        <w:rPr>
          <w:rFonts w:ascii="Times New Roman" w:hAnsi="Times New Roman" w:cs="Times New Roman"/>
          <w:sz w:val="24"/>
          <w:szCs w:val="24"/>
        </w:rPr>
        <w:lastRenderedPageBreak/>
        <w:t xml:space="preserve">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lastRenderedPageBreak/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</w:t>
      </w:r>
      <w:proofErr w:type="gramEnd"/>
      <w:r w:rsidRPr="00277A74">
        <w:rPr>
          <w:rFonts w:ascii="Times New Roman" w:hAnsi="Times New Roman" w:cs="Times New Roman"/>
          <w:b/>
          <w:sz w:val="24"/>
          <w:szCs w:val="24"/>
        </w:rPr>
        <w:t xml:space="preserve">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AD6A9F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81263F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r w:rsidR="00D66370">
        <w:rPr>
          <w:rFonts w:ascii="Times New Roman" w:hAnsi="Times New Roman" w:cs="Times New Roman"/>
          <w:sz w:val="24"/>
          <w:szCs w:val="24"/>
        </w:rPr>
        <w:t>договора (</w:t>
      </w:r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AD6A9F" w:rsidRPr="00B208E7" w:rsidRDefault="00D66370" w:rsidP="00AD6A9F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A5FC3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ИКЗ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2617703038160771701001001400</w:t>
      </w:r>
      <w:r w:rsidR="00AD6A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 w:rsidR="00D6637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000244</w:t>
      </w:r>
    </w:p>
    <w:p w:rsid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A9F" w:rsidRPr="00AD6A9F" w:rsidRDefault="00AD6A9F" w:rsidP="00AD6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и программирование </w:t>
      </w:r>
      <w:proofErr w:type="spellStart"/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радиоканальных</w:t>
      </w:r>
      <w:proofErr w:type="spellEnd"/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тревожных кнопок RR701-T</w:t>
      </w:r>
    </w:p>
    <w:p w:rsidR="00AD6A9F" w:rsidRPr="00AD6A9F" w:rsidRDefault="00AD6A9F" w:rsidP="00AD6A9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6A9F" w:rsidRPr="00AD6A9F" w:rsidRDefault="00AD6A9F" w:rsidP="00AD6A9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Место поставки товара: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г. Москва, пр-т Мира, д. 119, стр. 36</w:t>
      </w:r>
      <w:r w:rsidRPr="00AD6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Срок поставки</w:t>
      </w:r>
      <w:r w:rsidRPr="00AD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товара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06.07.2026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.</w:t>
      </w:r>
      <w:proofErr w:type="gramEnd"/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Цель закупки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Дооснащение объекта Заказчика тревожными радиокнопками, обеспечивающими взаимодействие с имеющимся приемно-контрольным оборудованием и их программирование для работы в существующей системе.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Вид, характеристики, комплектация и количество</w:t>
      </w:r>
      <w:r w:rsidRPr="00AD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товара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Перечень товара, требуемого к поставке </w:t>
      </w:r>
      <w:r w:rsidRPr="00AD6A9F">
        <w:rPr>
          <w:rFonts w:ascii="Times New Roman" w:eastAsia="MS Mincho" w:hAnsi="Times New Roman" w:cs="Times New Roman"/>
          <w:sz w:val="24"/>
          <w:szCs w:val="24"/>
          <w:lang w:eastAsia="ru-RU"/>
        </w:rPr>
        <w:t>и его характеристики, количество товара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Кнопка тревожной сигнализации </w:t>
      </w:r>
      <w:proofErr w:type="spellStart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радиоканальная</w:t>
      </w:r>
      <w:proofErr w:type="spellEnd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RR701-T – 6 штук.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товара: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рабочая </w:t>
      </w:r>
      <w:proofErr w:type="gramStart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частота:  433</w:t>
      </w:r>
      <w:proofErr w:type="gramEnd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,92 МГц ± 0,2%,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дальность (в прямой видимости): не менее 1000 м,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излучаемая мощность: 10 мВт,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напряжение питания: от встроенного элемента питания 12 В, 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диапазон рабочих температур: от - 20 до + 40 °С.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эквивалента не допускается в связи с необходимостью обеспечения взаимодействия товара с оборудованием, используемым Заказчиком.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Комплектация товара (на каждую кнопку):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радиокнопка RR701-T,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батарея питания,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карабин или цепочка для ношения,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на русском языке.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5. Требования к программированию товара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5.1. В течение 1 (одного) рабочего дня с момента поставки товара Поставщик должен произвести программирование каждой поставленной 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 тревожной сигнализации для работы со следующим оборудованием Заказчика:</w:t>
      </w:r>
      <w:r w:rsidRPr="00AD6A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 Ринг-701(</w:t>
      </w:r>
      <w:r w:rsidRPr="00AD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RR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-701), производитель </w:t>
      </w:r>
      <w:proofErr w:type="spellStart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Альтоника</w:t>
      </w:r>
      <w:proofErr w:type="spellEnd"/>
      <w:r w:rsidRPr="00AD6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5.2. Программирование включает: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5.2.1. «Обучение» приемного оборудования Заказчика для регистрации каждой кнопки на свободном радиоканале;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5.2.2. Проверку прохождения сигнала от каждой кнопки до приемника и фиксацию тревоги на пульте и в системе;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5.2.3. Демонстрацию работоспособности Заказчику.</w:t>
      </w:r>
    </w:p>
    <w:p w:rsidR="00AD6A9F" w:rsidRPr="00AD6A9F" w:rsidRDefault="00AD6A9F" w:rsidP="00AD6A9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5.3. Работы по программированию выполняются по адресу, указанному в п. 1 настоящего технического задания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рабочие дни, время московское: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10:00 до 17:00. Поставщик направляет Заказчику уведомление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времени, дате выполнения работ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и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нформацию для оформления пропуска на объект (ФИО, паспортные данные (серия и номер паспорта, дата выдачи документа) с согласием на обработку персональных данных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менее чем за 1 (один) календарный день по электронной почте </w:t>
      </w:r>
      <w:hyperlink r:id="rId6" w:history="1"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zakupki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@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museikino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.</w:t>
        </w:r>
        <w:proofErr w:type="spellStart"/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ru</w:t>
        </w:r>
        <w:proofErr w:type="spellEnd"/>
      </w:hyperlink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Проезд транспорта к месту осуществления работ осуществляется в соответствии с условиями, установленными в п. 7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настоящего технического задания.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lastRenderedPageBreak/>
        <w:t>6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 Требования к качеству</w:t>
      </w:r>
      <w:r w:rsidRPr="00AD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товара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: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6.1. </w:t>
      </w:r>
      <w:r w:rsidRPr="00AD6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Поставляем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ый</w:t>
      </w:r>
      <w:r w:rsidRPr="00AD6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товар</w:t>
      </w:r>
      <w:r w:rsidRPr="00AD6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дол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жен</w:t>
      </w:r>
      <w:r w:rsidRPr="00AD6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быть новым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AD6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6.2. </w:t>
      </w:r>
      <w:r w:rsidRPr="00AD6A9F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Поставляемый товар должен сопровождаться сертификатами соответствия (декларациями), иными необходимыми документами о качестве, в случае если это предусмотрено действующим законодательством РФ.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7. Требования к поставке</w:t>
      </w:r>
      <w:r w:rsidRPr="00AD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товара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: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7.1. Способ доставки товара до Заказчика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Поставщиком самостоятельно. Расходы по доставке и погрузке-разгрузке товара Заказчиком не возмещаются. 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7.2. </w:t>
      </w:r>
      <w:r w:rsidRPr="00AD6A9F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ru-RU"/>
        </w:rPr>
        <w:t>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работах, не иметь механических повреждений и следов воздействия влаги и иных жидкостей.</w:t>
      </w:r>
      <w:r w:rsidRPr="00AD6A9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Поставка товара должна осуществляться в оригинальной заводской упаковке.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7.3. Поставка осуществляется единовременно в рабочие дни, время московское: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10:00 до 17:00. Поставщик направляет Заказчику уведомление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времени и дате доставки товара в место доставки</w:t>
      </w: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менее чем за 1 (один) календарный день по электронной почте </w:t>
      </w:r>
      <w:hyperlink r:id="rId7" w:history="1"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zakupki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@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museikino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.</w:t>
        </w:r>
        <w:proofErr w:type="spellStart"/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ru</w:t>
        </w:r>
        <w:proofErr w:type="spellEnd"/>
      </w:hyperlink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Проезд транспорта до места доставки товара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Поставщика заявки. Поставщик не менее чем за 1 (один) рабочий день направляет Заказчику заявку на электронную почту </w:t>
      </w:r>
      <w:hyperlink r:id="rId8" w:history="1"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zakupki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@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museikino</w:t>
        </w:r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x-none"/>
          </w:rPr>
          <w:t>.</w:t>
        </w:r>
        <w:proofErr w:type="spellStart"/>
        <w:r w:rsidRPr="00AD6A9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x-none"/>
          </w:rPr>
          <w:t>ru</w:t>
        </w:r>
        <w:proofErr w:type="spellEnd"/>
      </w:hyperlink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следующей информации: марка, модель и </w:t>
      </w:r>
      <w:proofErr w:type="spellStart"/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гос.номер</w:t>
      </w:r>
      <w:proofErr w:type="spellEnd"/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Поставщика и подписывается </w:t>
      </w:r>
      <w:proofErr w:type="gramStart"/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лицом</w:t>
      </w:r>
      <w:proofErr w:type="gramEnd"/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имеющим право действовать от его имени.</w:t>
      </w:r>
    </w:p>
    <w:p w:rsidR="00AD6A9F" w:rsidRPr="00AD6A9F" w:rsidRDefault="00AD6A9F" w:rsidP="00AD6A9F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В связи с тем, что место доставки товара расположено в зоне Особо Охраняемой Природной Территории (ООПТ) Природно-исторический парк "Останкино" (ПИП Останкино) Поставщик самостоятельно осуществляет оформление документов, необходимых для проезда транспортных средств в вышеуказанную ООПТ. За нарушение действующего Законодательства РФ в области охраны природы несёт Поставщик.</w:t>
      </w: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Непосредственно после разгрузки Поставщик обязан безотлагательно убрать и вывезти весь мусор, который может образоваться в процессе доставки и разгрузки товара.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Расходы, связанные с транспортировкой, погрузочно-разгрузочными работами несоответствующего условиям настоящего технического задания товара, несет Поставщик.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A9F" w:rsidRPr="00AD6A9F" w:rsidRDefault="00AD6A9F" w:rsidP="00AD6A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Требования к гарантии качества товара, а также требования к гарантийному сроку и объему предоставления гарантий 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его 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качества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 (гарантийные обязательства)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:</w:t>
      </w:r>
      <w:r w:rsidRPr="00AD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 </w:t>
      </w:r>
    </w:p>
    <w:p w:rsidR="00AD6A9F" w:rsidRPr="00AD6A9F" w:rsidRDefault="00AD6A9F" w:rsidP="00AD6A9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Претензии Заказчика к качеству товара могут предъявляться в течение гарантийного срока на товар, который составляет не менее 12 (двенадцати) месяцев с момента передачи товара Заказчику и подписания им товарной накладной. </w:t>
      </w:r>
    </w:p>
    <w:p w:rsidR="00676AD3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Если в процессе использования товара в течение гарантийного срока обнаружатся недостатки товара, то они подлежат устранению силами и средствами Поставщика или указанным Поставщиком третьим лицом за счет Поставщика. Период исполнения гарантийных обязательств по устранению недостатков товара не может превышать 3 (три) рабочих дня с момента получения Поставщиком уведомления от Заказчика о недостатках товара.</w:t>
      </w:r>
    </w:p>
    <w:p w:rsidR="00AD6A9F" w:rsidRPr="00AD6A9F" w:rsidRDefault="00AD6A9F" w:rsidP="00AD6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370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AD6A9F" w:rsidRPr="00AD6A9F" w:rsidRDefault="00AD6A9F" w:rsidP="00AD6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и программирование </w:t>
      </w:r>
      <w:proofErr w:type="spellStart"/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радиоканальных</w:t>
      </w:r>
      <w:proofErr w:type="spellEnd"/>
      <w:r w:rsidRPr="00AD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тревожных кнопок RR701-T</w:t>
      </w:r>
      <w:bookmarkStart w:id="20" w:name="_GoBack"/>
      <w:bookmarkEnd w:id="20"/>
    </w:p>
    <w:p w:rsidR="004E0E8D" w:rsidRPr="00676AD3" w:rsidRDefault="004E0E8D" w:rsidP="004E0E8D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ИКЗ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2617703038160771701001001400</w:t>
      </w:r>
      <w:r w:rsidR="00AD6A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000244</w:t>
      </w:r>
    </w:p>
    <w:p w:rsidR="00676AD3" w:rsidRPr="00676AD3" w:rsidRDefault="00676AD3" w:rsidP="004E0E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AD6A9F" w:rsidRDefault="00AD6A9F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Style w:val="1"/>
        <w:tblW w:w="10052" w:type="dxa"/>
        <w:tblLook w:val="04A0" w:firstRow="1" w:lastRow="0" w:firstColumn="1" w:lastColumn="0" w:noHBand="0" w:noVBand="1"/>
      </w:tblPr>
      <w:tblGrid>
        <w:gridCol w:w="846"/>
        <w:gridCol w:w="3260"/>
        <w:gridCol w:w="1982"/>
        <w:gridCol w:w="1982"/>
        <w:gridCol w:w="1982"/>
      </w:tblGrid>
      <w:tr w:rsidR="00AD6A9F" w:rsidRPr="00AD6A9F" w:rsidTr="00910676">
        <w:tc>
          <w:tcPr>
            <w:tcW w:w="846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за ед., руб. 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D6A9F" w:rsidRPr="00AD6A9F" w:rsidTr="00910676">
        <w:tc>
          <w:tcPr>
            <w:tcW w:w="846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Кнопка тревожной сигнализации </w:t>
            </w:r>
            <w:proofErr w:type="spellStart"/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радиоканальная</w:t>
            </w:r>
            <w:proofErr w:type="spellEnd"/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RR701-T – 6</w:t>
            </w: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товара (на каждую кнопку):</w:t>
            </w: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радиокнопка RR701-T,</w:t>
            </w: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батарея питания,</w:t>
            </w: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карабин или цепочка для ношения,</w:t>
            </w:r>
          </w:p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инструкция на русском языке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A9F" w:rsidRPr="00AD6A9F" w:rsidTr="00910676">
        <w:tc>
          <w:tcPr>
            <w:tcW w:w="846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6A9F" w:rsidRPr="00AD6A9F" w:rsidRDefault="00AD6A9F" w:rsidP="00AD6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proofErr w:type="spellStart"/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радиоканальных</w:t>
            </w:r>
            <w:proofErr w:type="spellEnd"/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тревожных кнопок RR701-T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AD6A9F" w:rsidRPr="00AD6A9F" w:rsidRDefault="00AD6A9F" w:rsidP="00AD6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6A9F" w:rsidRPr="00676AD3" w:rsidRDefault="00AD6A9F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A5FC3" w:rsidRPr="0043475E" w:rsidRDefault="00BA5FC3" w:rsidP="00BA5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1333" w:rsidSect="00AD6A9F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1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1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0B1947"/>
    <w:rsid w:val="002A09CC"/>
    <w:rsid w:val="0034639F"/>
    <w:rsid w:val="004E0E8D"/>
    <w:rsid w:val="00574F02"/>
    <w:rsid w:val="005B0976"/>
    <w:rsid w:val="00676AD3"/>
    <w:rsid w:val="0081263F"/>
    <w:rsid w:val="00873626"/>
    <w:rsid w:val="008B09A3"/>
    <w:rsid w:val="008B0F1B"/>
    <w:rsid w:val="00936819"/>
    <w:rsid w:val="00AD6A9F"/>
    <w:rsid w:val="00B0294D"/>
    <w:rsid w:val="00BA5FC3"/>
    <w:rsid w:val="00CB16DA"/>
    <w:rsid w:val="00D66370"/>
    <w:rsid w:val="00DB432D"/>
    <w:rsid w:val="00F4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6511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D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39"/>
    <w:rsid w:val="00AD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useik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useiki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7447</Words>
  <Characters>42450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49798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7</cp:revision>
  <cp:lastPrinted>2026-06-23T09:37:00Z</cp:lastPrinted>
  <dcterms:created xsi:type="dcterms:W3CDTF">2026-06-22T07:54:00Z</dcterms:created>
  <dcterms:modified xsi:type="dcterms:W3CDTF">2026-06-26T10:55:00Z</dcterms:modified>
</cp:coreProperties>
</file>