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2AE" w:rsidRPr="00873003" w:rsidRDefault="006B22AE" w:rsidP="006B22AE">
      <w:pPr>
        <w:ind w:firstLine="567"/>
        <w:jc w:val="center"/>
        <w:rPr>
          <w:b/>
          <w:color w:val="000000"/>
          <w:sz w:val="20"/>
          <w:szCs w:val="20"/>
        </w:rPr>
      </w:pPr>
      <w:r w:rsidRPr="00873003">
        <w:rPr>
          <w:b/>
          <w:color w:val="000000"/>
          <w:sz w:val="20"/>
          <w:szCs w:val="20"/>
        </w:rPr>
        <w:t>ОБОСНОВАНИЕ НАЧАЛЬНОЙ (МАКСИМАЛЬНОЙ) ЦЕНЫ КОНТРАКТА</w:t>
      </w:r>
    </w:p>
    <w:p w:rsidR="006B22AE" w:rsidRPr="00873003" w:rsidRDefault="006B22AE" w:rsidP="006B22AE">
      <w:pPr>
        <w:ind w:firstLine="567"/>
        <w:jc w:val="center"/>
        <w:rPr>
          <w:b/>
          <w:color w:val="000000"/>
          <w:sz w:val="20"/>
          <w:szCs w:val="20"/>
        </w:rPr>
      </w:pP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 xml:space="preserve">Используемый метод определения начальной (максимальной) цены контракта: </w:t>
      </w:r>
      <w:r w:rsidRPr="00873003">
        <w:rPr>
          <w:i/>
          <w:sz w:val="20"/>
          <w:szCs w:val="20"/>
          <w:u w:val="single"/>
        </w:rPr>
        <w:t>метод сопоставления рыночных цен</w:t>
      </w:r>
      <w:r w:rsidRPr="00873003">
        <w:rPr>
          <w:sz w:val="20"/>
          <w:szCs w:val="20"/>
        </w:rPr>
        <w:t>.</w:t>
      </w: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 xml:space="preserve">Обоснование выбранного метода обоснования начальной (максимальной) цены контракта: </w:t>
      </w:r>
      <w:r w:rsidRPr="00873003">
        <w:rPr>
          <w:i/>
          <w:sz w:val="20"/>
          <w:szCs w:val="20"/>
          <w:u w:val="single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</w:t>
      </w:r>
      <w:r w:rsidRPr="00873003">
        <w:rPr>
          <w:sz w:val="20"/>
          <w:szCs w:val="20"/>
        </w:rPr>
        <w:t>.</w:t>
      </w:r>
    </w:p>
    <w:p w:rsidR="006B22AE" w:rsidRPr="00873003" w:rsidRDefault="006B22AE" w:rsidP="006B22AE">
      <w:pPr>
        <w:rPr>
          <w:sz w:val="20"/>
          <w:szCs w:val="20"/>
        </w:rPr>
      </w:pP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 xml:space="preserve">Информация о ценах товаров получена Заказчиком по общедоступным результатам изучения рынка, среди </w:t>
      </w:r>
      <w:r w:rsidR="00520C94" w:rsidRPr="00873003">
        <w:rPr>
          <w:sz w:val="20"/>
          <w:szCs w:val="20"/>
        </w:rPr>
        <w:t>организаций,</w:t>
      </w:r>
      <w:r w:rsidRPr="00873003">
        <w:rPr>
          <w:sz w:val="20"/>
          <w:szCs w:val="20"/>
        </w:rPr>
        <w:t xml:space="preserve"> занимающихся поставкой </w:t>
      </w:r>
      <w:r w:rsidR="002E1C92">
        <w:rPr>
          <w:sz w:val="20"/>
          <w:szCs w:val="20"/>
        </w:rPr>
        <w:t>сувенирной продукции с нанесением печати</w:t>
      </w:r>
      <w:r w:rsidR="0003444E">
        <w:rPr>
          <w:sz w:val="20"/>
          <w:szCs w:val="20"/>
        </w:rPr>
        <w:t>.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В целях определения однородности совокупности значений выявленных цен, используемых в расчете НМЦК, коэффициент вариации определен следующим образом:</w:t>
      </w:r>
    </w:p>
    <w:p w:rsidR="006B22AE" w:rsidRPr="00873003" w:rsidRDefault="00FE3190" w:rsidP="006B22AE">
      <w:pPr>
        <w:jc w:val="left"/>
        <w:rPr>
          <w:sz w:val="20"/>
          <w:szCs w:val="20"/>
        </w:rPr>
      </w:pPr>
      <w:r w:rsidRPr="00873003">
        <w:rPr>
          <w:noProof/>
          <w:sz w:val="20"/>
          <w:szCs w:val="20"/>
        </w:rPr>
        <w:drawing>
          <wp:inline distT="0" distB="0" distL="0" distR="0">
            <wp:extent cx="1614805" cy="563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где: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 xml:space="preserve">V – коэффициент вариации;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3190" w:rsidRPr="00873003">
        <w:rPr>
          <w:noProof/>
          <w:sz w:val="20"/>
          <w:szCs w:val="20"/>
        </w:rPr>
        <w:drawing>
          <wp:inline distT="0" distB="0" distL="0" distR="0">
            <wp:extent cx="2030730" cy="706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003">
        <w:rPr>
          <w:sz w:val="20"/>
          <w:szCs w:val="20"/>
        </w:rPr>
        <w:t>– среднее квадратичное отклонение;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цена единицы товара, работы, услуги, указанная в источнике с номером i;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&lt;ц&gt;– средняя арифметическая величина цены единицы товара, работы, услуги;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n – количество значений, используемых в расчете.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 xml:space="preserve">Для расчета среднеквадратичного отклонения и коэффициента вариации необходимо посчитать среднее значение цены, полученной из анализа ценовой информации по каждой позиции.                                                                                                   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* Расчет начальной (максимальной) цены контракта производится по формуле:</w:t>
      </w:r>
    </w:p>
    <w:p w:rsidR="006B22AE" w:rsidRPr="00873003" w:rsidRDefault="006B22AE" w:rsidP="006B22AE">
      <w:pPr>
        <w:jc w:val="left"/>
        <w:rPr>
          <w:sz w:val="20"/>
          <w:szCs w:val="20"/>
        </w:rPr>
      </w:pPr>
    </w:p>
    <w:p w:rsidR="006B22AE" w:rsidRPr="00FE3190" w:rsidRDefault="00FE3190" w:rsidP="006B22AE">
      <w:pPr>
        <w:jc w:val="left"/>
        <w:rPr>
          <w:b/>
          <w:i/>
          <w:sz w:val="20"/>
          <w:szCs w:val="20"/>
          <w:lang w:val="en-US"/>
        </w:rPr>
      </w:pPr>
      <m:oMathPara>
        <m:oMath>
          <m:r>
            <w:rPr>
              <w:rFonts w:ascii="Cambria Math" w:hAnsi="Cambria Math"/>
            </w:rPr>
            <m:t>НМЦК</m:t>
          </m:r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hAnsi="Cambria Math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w:rPr>
                      <w:rFonts w:ascii="Cambria Math"/>
                      <w:lang w:val="en-US"/>
                    </w:rPr>
                    <m:t xml:space="preserve">  = </m:t>
                  </m:r>
                </m:sub>
              </m:sSub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w:rPr>
                  <w:rFonts w:ascii="Cambria Math" w:hAnsi="Cambria Math"/>
                </w:rPr>
                <m:t>V</m:t>
              </m:r>
              <m:r>
                <w:rPr>
                  <w:rFonts w:hAnsi="Cambria Math"/>
                </w:rPr>
                <m:t>*</m:t>
              </m:r>
              <m:r>
                <w:rPr>
                  <w:rFonts w:ascii="Cambria Math" w:hAnsi="Cambria Math"/>
                </w:rPr>
                <m:t>НМЦср</m:t>
              </m:r>
              <m:r>
                <w:rPr>
                  <w:rFonts w:ascii="Cambria Math"/>
                </w:rPr>
                <m:t>.</m:t>
              </m:r>
              <m:r>
                <w:rPr>
                  <w:rFonts w:ascii="Cambria Math" w:hAnsi="Cambria Math"/>
                </w:rPr>
                <m:t>ед</m:t>
              </m:r>
              <m:r>
                <w:rPr>
                  <w:rFonts w:ascii="Cambria Math"/>
                </w:rPr>
                <m:t>.</m:t>
              </m:r>
            </m:e>
          </m:nary>
        </m:oMath>
      </m:oMathPara>
    </w:p>
    <w:p w:rsidR="006B22AE" w:rsidRPr="00873003" w:rsidRDefault="006B22AE" w:rsidP="006B22AE">
      <w:pPr>
        <w:jc w:val="left"/>
        <w:rPr>
          <w:sz w:val="20"/>
          <w:szCs w:val="20"/>
        </w:rPr>
      </w:pPr>
      <w:r w:rsidRPr="00873003">
        <w:rPr>
          <w:sz w:val="20"/>
          <w:szCs w:val="20"/>
        </w:rPr>
        <w:t>где:</w:t>
      </w: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>НМЦК, определяемая методом сопоставимых рыночных цен (анализа рынка);</w:t>
      </w: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>v – количество товаров;</w:t>
      </w: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>n – количество значений, используемых в расчете;</w:t>
      </w:r>
    </w:p>
    <w:p w:rsidR="006B22AE" w:rsidRPr="00873003" w:rsidRDefault="006B22AE" w:rsidP="006B22AE">
      <w:pPr>
        <w:rPr>
          <w:sz w:val="20"/>
          <w:szCs w:val="20"/>
        </w:rPr>
      </w:pPr>
      <w:r w:rsidRPr="00873003">
        <w:rPr>
          <w:sz w:val="20"/>
          <w:szCs w:val="20"/>
        </w:rPr>
        <w:t>i – номер источника ценовой информации;</w:t>
      </w:r>
    </w:p>
    <w:p w:rsidR="006B22AE" w:rsidRPr="00873003" w:rsidRDefault="006B22AE" w:rsidP="00873003">
      <w:pPr>
        <w:rPr>
          <w:sz w:val="20"/>
          <w:szCs w:val="20"/>
        </w:rPr>
      </w:pPr>
      <w:proofErr w:type="spellStart"/>
      <w:r w:rsidRPr="00873003">
        <w:rPr>
          <w:sz w:val="20"/>
          <w:szCs w:val="20"/>
        </w:rPr>
        <w:t>Цi</w:t>
      </w:r>
      <w:proofErr w:type="spellEnd"/>
      <w:r w:rsidRPr="00873003">
        <w:rPr>
          <w:sz w:val="20"/>
          <w:szCs w:val="20"/>
        </w:rPr>
        <w:t xml:space="preserve"> – цена единицы товара, представленная в источнике с номером i, скорректированная с учетом коэффициентов (индексов), применяемых для пересчета цен товаров с учетом различий в характеристиках товаров, коммерческих и (или) финансовых условий поставок </w:t>
      </w:r>
      <w:r w:rsidR="00873003" w:rsidRPr="00873003">
        <w:rPr>
          <w:sz w:val="20"/>
          <w:szCs w:val="20"/>
        </w:rPr>
        <w:t>товаров.</w:t>
      </w:r>
    </w:p>
    <w:p w:rsidR="009B4F06" w:rsidRDefault="009B4F06" w:rsidP="006B22AE">
      <w:pPr>
        <w:pStyle w:val="ConsPlusNormal"/>
        <w:rPr>
          <w:rFonts w:ascii="Times New Roman" w:hAnsi="Times New Roman" w:cs="Times New Roman"/>
          <w:color w:val="000000"/>
        </w:rPr>
      </w:pPr>
    </w:p>
    <w:p w:rsidR="00015D24" w:rsidRDefault="00015D24" w:rsidP="006B22AE">
      <w:pPr>
        <w:pStyle w:val="ConsPlusNormal"/>
        <w:rPr>
          <w:rFonts w:ascii="Times New Roman" w:hAnsi="Times New Roman" w:cs="Times New Roman"/>
          <w:color w:val="000000"/>
        </w:rPr>
      </w:pPr>
    </w:p>
    <w:p w:rsidR="006B22AE" w:rsidRPr="00873003" w:rsidRDefault="006B22AE" w:rsidP="006B22AE">
      <w:pPr>
        <w:pStyle w:val="ConsPlusNormal"/>
        <w:rPr>
          <w:rFonts w:ascii="Times New Roman" w:hAnsi="Times New Roman" w:cs="Times New Roman"/>
          <w:color w:val="000000"/>
        </w:rPr>
      </w:pPr>
      <w:r w:rsidRPr="00873003">
        <w:rPr>
          <w:rFonts w:ascii="Times New Roman" w:hAnsi="Times New Roman" w:cs="Times New Roman"/>
          <w:color w:val="000000"/>
        </w:rPr>
        <w:t>Таблица 1</w:t>
      </w:r>
    </w:p>
    <w:p w:rsidR="006B22AE" w:rsidRPr="00AF7195" w:rsidRDefault="006B22AE" w:rsidP="00873003">
      <w:pPr>
        <w:ind w:left="426" w:right="139"/>
        <w:rPr>
          <w:rFonts w:eastAsia="Calibri"/>
          <w:color w:val="000000"/>
          <w:sz w:val="20"/>
          <w:szCs w:val="20"/>
          <w:lang w:eastAsia="en-US"/>
        </w:rPr>
      </w:pPr>
      <w:r w:rsidRPr="00873003">
        <w:rPr>
          <w:rFonts w:eastAsia="Calibri"/>
          <w:sz w:val="20"/>
          <w:szCs w:val="20"/>
          <w:lang w:eastAsia="en-US"/>
        </w:rPr>
        <w:t xml:space="preserve">В целях определения однородности </w:t>
      </w:r>
      <w:r w:rsidRPr="00AF7195">
        <w:rPr>
          <w:rFonts w:eastAsia="Calibri"/>
          <w:sz w:val="20"/>
          <w:szCs w:val="20"/>
          <w:lang w:eastAsia="en-US"/>
        </w:rPr>
        <w:t xml:space="preserve">совокупности значений выявленных цен, используемых в расчете НМЦ, был рассчитан коэффициент вариации цены. Совокупность значений, используемых в расчете, при определении НМЦ, является однородной, т.к. коэффициент вариации цены не </w:t>
      </w:r>
      <w:r w:rsidR="00873003" w:rsidRPr="00AF7195">
        <w:rPr>
          <w:rFonts w:eastAsia="Calibri"/>
          <w:color w:val="000000"/>
          <w:sz w:val="20"/>
          <w:szCs w:val="20"/>
          <w:lang w:eastAsia="en-US"/>
        </w:rPr>
        <w:t>превышает 33%.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34"/>
        <w:gridCol w:w="1371"/>
        <w:gridCol w:w="1124"/>
        <w:gridCol w:w="656"/>
        <w:gridCol w:w="1352"/>
        <w:gridCol w:w="1352"/>
        <w:gridCol w:w="1352"/>
        <w:gridCol w:w="931"/>
        <w:gridCol w:w="684"/>
        <w:gridCol w:w="1801"/>
        <w:gridCol w:w="1097"/>
        <w:gridCol w:w="1181"/>
      </w:tblGrid>
      <w:tr w:rsidR="00EB27B4" w:rsidRPr="00E22B14" w:rsidTr="00E22B14">
        <w:trPr>
          <w:trHeight w:val="585"/>
        </w:trPr>
        <w:tc>
          <w:tcPr>
            <w:tcW w:w="770" w:type="pct"/>
            <w:gridSpan w:val="2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Начальная (максимальная) цена договора, руб.</w:t>
            </w:r>
          </w:p>
        </w:tc>
        <w:tc>
          <w:tcPr>
            <w:tcW w:w="450" w:type="pct"/>
            <w:vMerge w:val="restart"/>
            <w:shd w:val="clear" w:color="000000" w:fill="FFFFFF"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ОКПД 2</w:t>
            </w:r>
          </w:p>
        </w:tc>
        <w:tc>
          <w:tcPr>
            <w:tcW w:w="584" w:type="pct"/>
            <w:gridSpan w:val="2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Объем</w:t>
            </w:r>
          </w:p>
        </w:tc>
        <w:tc>
          <w:tcPr>
            <w:tcW w:w="1330" w:type="pct"/>
            <w:gridSpan w:val="3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Источник информации о цене</w:t>
            </w:r>
          </w:p>
        </w:tc>
        <w:tc>
          <w:tcPr>
            <w:tcW w:w="1120" w:type="pct"/>
            <w:gridSpan w:val="3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Однородность совокупности значений</w:t>
            </w:r>
          </w:p>
        </w:tc>
        <w:tc>
          <w:tcPr>
            <w:tcW w:w="360" w:type="pct"/>
            <w:vMerge w:val="restart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2B14">
              <w:rPr>
                <w:color w:val="000000"/>
                <w:sz w:val="22"/>
                <w:szCs w:val="22"/>
              </w:rPr>
              <w:t>Коэфф</w:t>
            </w:r>
            <w:proofErr w:type="spellEnd"/>
            <w:r w:rsidRPr="00E22B14">
              <w:rPr>
                <w:color w:val="000000"/>
                <w:sz w:val="22"/>
                <w:szCs w:val="22"/>
              </w:rPr>
              <w:t>. вариации V=</w:t>
            </w:r>
          </w:p>
        </w:tc>
        <w:tc>
          <w:tcPr>
            <w:tcW w:w="387" w:type="pct"/>
            <w:vMerge w:val="restar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Рыночная стоимость</w:t>
            </w:r>
          </w:p>
        </w:tc>
      </w:tr>
      <w:tr w:rsidR="00C0199E" w:rsidRPr="00E22B14" w:rsidTr="00E22B14">
        <w:trPr>
          <w:trHeight w:val="898"/>
        </w:trPr>
        <w:tc>
          <w:tcPr>
            <w:tcW w:w="168" w:type="pct"/>
            <w:shd w:val="clear" w:color="000000" w:fill="FFFFFF"/>
            <w:hideMark/>
          </w:tcPr>
          <w:p w:rsidR="00EB27B4" w:rsidRPr="00E22B14" w:rsidRDefault="00EB27B4" w:rsidP="00D418D2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№ п/п</w:t>
            </w:r>
          </w:p>
          <w:p w:rsidR="00EB27B4" w:rsidRPr="00E22B14" w:rsidRDefault="00EB27B4" w:rsidP="00D418D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Наименование товара, работ, услуг</w:t>
            </w:r>
          </w:p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000000" w:fill="FFFFFF"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9" w:type="pc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2B14">
              <w:rPr>
                <w:color w:val="000000"/>
                <w:sz w:val="22"/>
                <w:szCs w:val="22"/>
              </w:rPr>
              <w:t>Ед.измер</w:t>
            </w:r>
            <w:proofErr w:type="spellEnd"/>
            <w:r w:rsidRPr="00E22B1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5" w:type="pct"/>
            <w:shd w:val="clear" w:color="000000" w:fill="FFFFFF"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443" w:type="pct"/>
            <w:hideMark/>
          </w:tcPr>
          <w:p w:rsidR="00FE62E1" w:rsidRPr="00E22B14" w:rsidRDefault="00EB27B4" w:rsidP="003250BA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 xml:space="preserve">Источник №1 </w:t>
            </w:r>
          </w:p>
          <w:p w:rsidR="00EB27B4" w:rsidRPr="00E22B14" w:rsidRDefault="00EB27B4" w:rsidP="003250BA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 xml:space="preserve">от </w:t>
            </w:r>
            <w:r w:rsidR="00492CF7" w:rsidRPr="00E22B14">
              <w:rPr>
                <w:sz w:val="22"/>
                <w:szCs w:val="22"/>
              </w:rPr>
              <w:t>15.08</w:t>
            </w:r>
            <w:r w:rsidRPr="00E22B14">
              <w:rPr>
                <w:sz w:val="22"/>
                <w:szCs w:val="22"/>
              </w:rPr>
              <w:t>.2026г.</w:t>
            </w:r>
          </w:p>
          <w:p w:rsidR="00EB27B4" w:rsidRPr="00E22B14" w:rsidRDefault="00EB27B4" w:rsidP="006E00D6">
            <w:pPr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hideMark/>
          </w:tcPr>
          <w:p w:rsidR="00FE62E1" w:rsidRPr="00E22B14" w:rsidRDefault="00EB27B4" w:rsidP="00D418D2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Источник №2</w:t>
            </w:r>
            <w:r w:rsidR="00FE62E1" w:rsidRPr="00E22B14">
              <w:rPr>
                <w:sz w:val="22"/>
                <w:szCs w:val="22"/>
              </w:rPr>
              <w:t xml:space="preserve"> </w:t>
            </w:r>
          </w:p>
          <w:p w:rsidR="00EB27B4" w:rsidRPr="00E22B14" w:rsidRDefault="00FE62E1" w:rsidP="00D418D2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 xml:space="preserve">от </w:t>
            </w:r>
          </w:p>
          <w:p w:rsidR="00EB27B4" w:rsidRPr="00E22B14" w:rsidRDefault="00492CF7" w:rsidP="001727D0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03.08</w:t>
            </w:r>
            <w:r w:rsidR="00EB27B4" w:rsidRPr="00E22B14">
              <w:rPr>
                <w:sz w:val="22"/>
                <w:szCs w:val="22"/>
              </w:rPr>
              <w:t>.2026г.</w:t>
            </w:r>
          </w:p>
        </w:tc>
        <w:tc>
          <w:tcPr>
            <w:tcW w:w="443" w:type="pct"/>
            <w:hideMark/>
          </w:tcPr>
          <w:p w:rsidR="00EB27B4" w:rsidRPr="00E22B14" w:rsidRDefault="00EB27B4" w:rsidP="00FE62E1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Источник №3</w:t>
            </w:r>
          </w:p>
          <w:p w:rsidR="00EB27B4" w:rsidRPr="00E22B14" w:rsidRDefault="00EB27B4" w:rsidP="001727D0">
            <w:pPr>
              <w:spacing w:after="0"/>
              <w:jc w:val="center"/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 xml:space="preserve">от </w:t>
            </w:r>
            <w:r w:rsidR="00492CF7" w:rsidRPr="00E22B14">
              <w:rPr>
                <w:sz w:val="22"/>
                <w:szCs w:val="22"/>
              </w:rPr>
              <w:t>05.08</w:t>
            </w:r>
            <w:r w:rsidRPr="00E22B14">
              <w:rPr>
                <w:sz w:val="22"/>
                <w:szCs w:val="22"/>
              </w:rPr>
              <w:t>.2026г.</w:t>
            </w:r>
          </w:p>
        </w:tc>
        <w:tc>
          <w:tcPr>
            <w:tcW w:w="305" w:type="pc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2B14">
              <w:rPr>
                <w:color w:val="000000"/>
                <w:sz w:val="22"/>
                <w:szCs w:val="22"/>
              </w:rPr>
              <w:t>Средн</w:t>
            </w:r>
            <w:proofErr w:type="spellEnd"/>
            <w:r w:rsidRPr="00E22B14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22B14">
              <w:rPr>
                <w:color w:val="000000"/>
                <w:sz w:val="22"/>
                <w:szCs w:val="22"/>
              </w:rPr>
              <w:t>арифм</w:t>
            </w:r>
            <w:proofErr w:type="spellEnd"/>
            <w:r w:rsidRPr="00E22B1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4" w:type="pc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Кол-во знач.</w:t>
            </w:r>
          </w:p>
        </w:tc>
        <w:tc>
          <w:tcPr>
            <w:tcW w:w="591" w:type="pct"/>
            <w:shd w:val="clear" w:color="000000" w:fill="FFFFFF"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22B14">
              <w:rPr>
                <w:color w:val="000000"/>
                <w:sz w:val="22"/>
                <w:szCs w:val="22"/>
              </w:rPr>
              <w:t>Сред.квадр.откл</w:t>
            </w:r>
            <w:proofErr w:type="spellEnd"/>
            <w:r w:rsidRPr="00E22B14">
              <w:rPr>
                <w:color w:val="000000"/>
                <w:sz w:val="22"/>
                <w:szCs w:val="22"/>
              </w:rPr>
              <w:t>. σ=</w:t>
            </w:r>
          </w:p>
        </w:tc>
        <w:tc>
          <w:tcPr>
            <w:tcW w:w="360" w:type="pct"/>
            <w:vMerge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7" w:type="pct"/>
            <w:vMerge/>
            <w:hideMark/>
          </w:tcPr>
          <w:p w:rsidR="00EB27B4" w:rsidRPr="00E22B14" w:rsidRDefault="00EB27B4" w:rsidP="00D418D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22B14" w:rsidRPr="00E22B14" w:rsidTr="00E22B14">
        <w:trPr>
          <w:trHeight w:val="184"/>
        </w:trPr>
        <w:tc>
          <w:tcPr>
            <w:tcW w:w="168" w:type="pct"/>
            <w:shd w:val="clear" w:color="000000" w:fill="FFFFFF"/>
            <w:hideMark/>
          </w:tcPr>
          <w:p w:rsidR="00E22B14" w:rsidRPr="00E22B14" w:rsidRDefault="00E22B14" w:rsidP="00E22B14">
            <w:pPr>
              <w:jc w:val="left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01" w:type="pct"/>
            <w:noWrap/>
            <w:hideMark/>
          </w:tcPr>
          <w:p w:rsidR="00E22B14" w:rsidRPr="00E22B14" w:rsidRDefault="00E22B14" w:rsidP="00E22B14">
            <w:pPr>
              <w:spacing w:line="0" w:lineRule="atLeast"/>
              <w:contextualSpacing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Блокнот</w:t>
            </w:r>
          </w:p>
        </w:tc>
        <w:tc>
          <w:tcPr>
            <w:tcW w:w="450" w:type="pct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17.23.13.191</w:t>
            </w:r>
          </w:p>
        </w:tc>
        <w:tc>
          <w:tcPr>
            <w:tcW w:w="369" w:type="pct"/>
            <w:shd w:val="clear" w:color="000000" w:fill="FFFFFF"/>
            <w:hideMark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5" w:type="pct"/>
            <w:shd w:val="clear" w:color="000000" w:fill="FFFFFF"/>
            <w:hideMark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305" w:type="pct"/>
            <w:shd w:val="clear" w:color="000000" w:fill="FFFFFF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300,00</w:t>
            </w:r>
          </w:p>
        </w:tc>
        <w:tc>
          <w:tcPr>
            <w:tcW w:w="224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pct"/>
            <w:shd w:val="clear" w:color="000000" w:fill="FFFFFF"/>
            <w:vAlign w:val="center"/>
          </w:tcPr>
          <w:p w:rsidR="00E22B14" w:rsidRDefault="00E22B14" w:rsidP="00E22B1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67,82</w:t>
            </w:r>
          </w:p>
        </w:tc>
        <w:tc>
          <w:tcPr>
            <w:tcW w:w="360" w:type="pct"/>
            <w:vAlign w:val="center"/>
          </w:tcPr>
          <w:p w:rsidR="00E22B14" w:rsidRDefault="00E22B14" w:rsidP="00E22B1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22,61</w:t>
            </w:r>
          </w:p>
        </w:tc>
        <w:tc>
          <w:tcPr>
            <w:tcW w:w="387" w:type="pct"/>
            <w:shd w:val="clear" w:color="000000" w:fill="FFFFFF"/>
            <w:vAlign w:val="center"/>
          </w:tcPr>
          <w:p w:rsid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30000,00</w:t>
            </w:r>
          </w:p>
        </w:tc>
      </w:tr>
      <w:tr w:rsidR="00E22B14" w:rsidRPr="00E22B14" w:rsidTr="00E22B14">
        <w:trPr>
          <w:trHeight w:val="184"/>
        </w:trPr>
        <w:tc>
          <w:tcPr>
            <w:tcW w:w="168" w:type="pct"/>
            <w:shd w:val="clear" w:color="000000" w:fill="FFFFFF"/>
          </w:tcPr>
          <w:p w:rsidR="00E22B14" w:rsidRPr="00E22B14" w:rsidRDefault="00E22B14" w:rsidP="00E22B14">
            <w:pPr>
              <w:jc w:val="left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1" w:type="pct"/>
            <w:noWrap/>
          </w:tcPr>
          <w:p w:rsidR="00E22B14" w:rsidRPr="00E22B14" w:rsidRDefault="00E22B14" w:rsidP="00E22B14">
            <w:pPr>
              <w:spacing w:line="0" w:lineRule="atLeast"/>
              <w:contextualSpacing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 xml:space="preserve">Ручка </w:t>
            </w:r>
          </w:p>
        </w:tc>
        <w:tc>
          <w:tcPr>
            <w:tcW w:w="450" w:type="pct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32.99.12.110</w:t>
            </w:r>
          </w:p>
        </w:tc>
        <w:tc>
          <w:tcPr>
            <w:tcW w:w="369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5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05" w:type="pct"/>
            <w:shd w:val="clear" w:color="000000" w:fill="FFFFFF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60,00</w:t>
            </w:r>
          </w:p>
        </w:tc>
        <w:tc>
          <w:tcPr>
            <w:tcW w:w="224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pct"/>
            <w:shd w:val="clear" w:color="000000" w:fill="FFFFFF"/>
            <w:vAlign w:val="center"/>
          </w:tcPr>
          <w:p w:rsid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7,55</w:t>
            </w:r>
          </w:p>
        </w:tc>
        <w:tc>
          <w:tcPr>
            <w:tcW w:w="360" w:type="pct"/>
            <w:vAlign w:val="center"/>
          </w:tcPr>
          <w:p w:rsidR="00E22B14" w:rsidRDefault="00E22B14" w:rsidP="00E22B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12,58</w:t>
            </w:r>
          </w:p>
        </w:tc>
        <w:tc>
          <w:tcPr>
            <w:tcW w:w="387" w:type="pct"/>
            <w:shd w:val="clear" w:color="000000" w:fill="FFFFFF"/>
            <w:vAlign w:val="center"/>
          </w:tcPr>
          <w:p w:rsid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6000,00</w:t>
            </w:r>
          </w:p>
        </w:tc>
      </w:tr>
      <w:tr w:rsidR="00E22B14" w:rsidRPr="00E22B14" w:rsidTr="00E22B14">
        <w:trPr>
          <w:trHeight w:val="184"/>
        </w:trPr>
        <w:tc>
          <w:tcPr>
            <w:tcW w:w="168" w:type="pct"/>
            <w:shd w:val="clear" w:color="000000" w:fill="FFFFFF"/>
          </w:tcPr>
          <w:p w:rsidR="00E22B14" w:rsidRPr="00E22B14" w:rsidRDefault="00E22B14" w:rsidP="00E22B14">
            <w:pPr>
              <w:jc w:val="left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1" w:type="pct"/>
            <w:noWrap/>
          </w:tcPr>
          <w:p w:rsidR="00E22B14" w:rsidRPr="00E22B14" w:rsidRDefault="00E22B14" w:rsidP="00E22B14">
            <w:pPr>
              <w:spacing w:line="0" w:lineRule="atLeast"/>
              <w:contextualSpacing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Футболка поло</w:t>
            </w:r>
          </w:p>
        </w:tc>
        <w:tc>
          <w:tcPr>
            <w:tcW w:w="450" w:type="pct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14.14.30.110</w:t>
            </w:r>
          </w:p>
        </w:tc>
        <w:tc>
          <w:tcPr>
            <w:tcW w:w="369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15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443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05" w:type="pct"/>
            <w:shd w:val="clear" w:color="000000" w:fill="FFFFFF"/>
          </w:tcPr>
          <w:p w:rsidR="00E22B14" w:rsidRPr="00E22B14" w:rsidRDefault="00E22B14" w:rsidP="00E22B14">
            <w:pPr>
              <w:rPr>
                <w:sz w:val="22"/>
                <w:szCs w:val="22"/>
              </w:rPr>
            </w:pPr>
            <w:r w:rsidRPr="00E22B14">
              <w:rPr>
                <w:sz w:val="22"/>
                <w:szCs w:val="22"/>
              </w:rPr>
              <w:t>1000,00</w:t>
            </w:r>
          </w:p>
        </w:tc>
        <w:tc>
          <w:tcPr>
            <w:tcW w:w="224" w:type="pct"/>
            <w:shd w:val="clear" w:color="000000" w:fill="FFFFFF"/>
          </w:tcPr>
          <w:p w:rsidR="00E22B14" w:rsidRPr="00E22B14" w:rsidRDefault="00E22B14" w:rsidP="00E22B14">
            <w:pPr>
              <w:jc w:val="center"/>
              <w:rPr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pct"/>
            <w:shd w:val="clear" w:color="000000" w:fill="FFFFFF"/>
            <w:vAlign w:val="center"/>
          </w:tcPr>
          <w:p w:rsid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99,50</w:t>
            </w:r>
          </w:p>
        </w:tc>
        <w:tc>
          <w:tcPr>
            <w:tcW w:w="360" w:type="pct"/>
            <w:vAlign w:val="center"/>
          </w:tcPr>
          <w:p w:rsidR="00E22B14" w:rsidRDefault="00E22B14" w:rsidP="00E22B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9,95</w:t>
            </w:r>
          </w:p>
        </w:tc>
        <w:tc>
          <w:tcPr>
            <w:tcW w:w="387" w:type="pct"/>
            <w:shd w:val="clear" w:color="000000" w:fill="FFFFFF"/>
            <w:vAlign w:val="center"/>
          </w:tcPr>
          <w:p w:rsidR="00E22B14" w:rsidRDefault="00E22B14" w:rsidP="00E22B1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100000,00</w:t>
            </w:r>
          </w:p>
        </w:tc>
      </w:tr>
      <w:tr w:rsidR="00581423" w:rsidRPr="00E22B14" w:rsidTr="00492CF7">
        <w:trPr>
          <w:trHeight w:val="146"/>
        </w:trPr>
        <w:tc>
          <w:tcPr>
            <w:tcW w:w="5000" w:type="pct"/>
            <w:gridSpan w:val="13"/>
            <w:shd w:val="clear" w:color="000000" w:fill="FFFFFF"/>
          </w:tcPr>
          <w:p w:rsidR="00581423" w:rsidRPr="00E22B14" w:rsidRDefault="00581423" w:rsidP="00946DDD">
            <w:pPr>
              <w:tabs>
                <w:tab w:val="left" w:pos="1475"/>
                <w:tab w:val="center" w:pos="7388"/>
              </w:tabs>
              <w:jc w:val="left"/>
              <w:rPr>
                <w:color w:val="000000"/>
                <w:sz w:val="22"/>
                <w:szCs w:val="22"/>
              </w:rPr>
            </w:pPr>
            <w:r w:rsidRPr="00E22B14">
              <w:rPr>
                <w:color w:val="000000"/>
                <w:sz w:val="22"/>
                <w:szCs w:val="22"/>
              </w:rPr>
              <w:t>ИТОГО</w:t>
            </w:r>
            <w:r w:rsidRPr="00E22B14">
              <w:rPr>
                <w:color w:val="000000"/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r w:rsidR="00E22B14">
              <w:rPr>
                <w:color w:val="000000"/>
                <w:sz w:val="22"/>
                <w:szCs w:val="22"/>
              </w:rPr>
              <w:t xml:space="preserve">     </w:t>
            </w:r>
            <w:bookmarkStart w:id="0" w:name="_GoBack"/>
            <w:r w:rsidR="00E22B14" w:rsidRPr="00E22B14">
              <w:rPr>
                <w:b/>
                <w:color w:val="000000"/>
                <w:sz w:val="22"/>
                <w:szCs w:val="22"/>
              </w:rPr>
              <w:t>136 000,00</w:t>
            </w:r>
            <w:r w:rsidR="00F35FD5" w:rsidRPr="00E22B14">
              <w:rPr>
                <w:color w:val="000000"/>
                <w:sz w:val="22"/>
                <w:szCs w:val="22"/>
              </w:rPr>
              <w:t xml:space="preserve">             </w:t>
            </w:r>
            <w:bookmarkEnd w:id="0"/>
          </w:p>
        </w:tc>
      </w:tr>
    </w:tbl>
    <w:p w:rsidR="006B22AE" w:rsidRPr="00873003" w:rsidRDefault="006B22AE" w:rsidP="00F3154D">
      <w:pPr>
        <w:rPr>
          <w:b/>
          <w:u w:val="single"/>
        </w:rPr>
      </w:pPr>
    </w:p>
    <w:p w:rsidR="006B22AE" w:rsidRPr="00873003" w:rsidRDefault="006B22AE" w:rsidP="00F3154D">
      <w:pPr>
        <w:rPr>
          <w:b/>
          <w:u w:val="single"/>
        </w:rPr>
      </w:pPr>
    </w:p>
    <w:p w:rsidR="00140FCB" w:rsidRPr="00873003" w:rsidRDefault="00140FCB" w:rsidP="00F3154D">
      <w:pPr>
        <w:rPr>
          <w:b/>
          <w:u w:val="single"/>
        </w:rPr>
      </w:pPr>
    </w:p>
    <w:sectPr w:rsidR="00140FCB" w:rsidRPr="00873003" w:rsidSect="00F3154D">
      <w:footerReference w:type="even" r:id="rId8"/>
      <w:footerReference w:type="default" r:id="rId9"/>
      <w:pgSz w:w="16838" w:h="11906" w:orient="landscape"/>
      <w:pgMar w:top="567" w:right="1134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325" w:rsidRDefault="000B1325">
      <w:pPr>
        <w:spacing w:after="0"/>
      </w:pPr>
      <w:r>
        <w:separator/>
      </w:r>
    </w:p>
  </w:endnote>
  <w:endnote w:type="continuationSeparator" w:id="0">
    <w:p w:rsidR="000B1325" w:rsidRDefault="000B13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90D" w:rsidRDefault="0008490D" w:rsidP="00F81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8490D" w:rsidRDefault="0008490D" w:rsidP="00F81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490D" w:rsidRDefault="0008490D" w:rsidP="00F81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2B14">
      <w:rPr>
        <w:rStyle w:val="a5"/>
        <w:noProof/>
      </w:rPr>
      <w:t>2</w:t>
    </w:r>
    <w:r>
      <w:rPr>
        <w:rStyle w:val="a5"/>
      </w:rPr>
      <w:fldChar w:fldCharType="end"/>
    </w:r>
  </w:p>
  <w:p w:rsidR="0008490D" w:rsidRDefault="0008490D" w:rsidP="00F81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325" w:rsidRDefault="000B1325">
      <w:pPr>
        <w:spacing w:after="0"/>
      </w:pPr>
      <w:r>
        <w:separator/>
      </w:r>
    </w:p>
  </w:footnote>
  <w:footnote w:type="continuationSeparator" w:id="0">
    <w:p w:rsidR="000B1325" w:rsidRDefault="000B13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F2"/>
    <w:rsid w:val="00001F68"/>
    <w:rsid w:val="000066F2"/>
    <w:rsid w:val="00011714"/>
    <w:rsid w:val="00015D24"/>
    <w:rsid w:val="0001644A"/>
    <w:rsid w:val="00023E7E"/>
    <w:rsid w:val="000269D2"/>
    <w:rsid w:val="0003444E"/>
    <w:rsid w:val="000607D2"/>
    <w:rsid w:val="00061EBF"/>
    <w:rsid w:val="00062B9B"/>
    <w:rsid w:val="000818DD"/>
    <w:rsid w:val="00082908"/>
    <w:rsid w:val="000831D2"/>
    <w:rsid w:val="000842CB"/>
    <w:rsid w:val="0008490D"/>
    <w:rsid w:val="00085944"/>
    <w:rsid w:val="000876F2"/>
    <w:rsid w:val="000923F1"/>
    <w:rsid w:val="00093625"/>
    <w:rsid w:val="000A1184"/>
    <w:rsid w:val="000A2A97"/>
    <w:rsid w:val="000A5BBB"/>
    <w:rsid w:val="000B1325"/>
    <w:rsid w:val="000B6AF9"/>
    <w:rsid w:val="000C6D20"/>
    <w:rsid w:val="000E1521"/>
    <w:rsid w:val="000E309E"/>
    <w:rsid w:val="000E3E96"/>
    <w:rsid w:val="000E4DB4"/>
    <w:rsid w:val="000F0465"/>
    <w:rsid w:val="000F6B93"/>
    <w:rsid w:val="000F6FB0"/>
    <w:rsid w:val="00100145"/>
    <w:rsid w:val="00102199"/>
    <w:rsid w:val="0010463A"/>
    <w:rsid w:val="00112236"/>
    <w:rsid w:val="00117A13"/>
    <w:rsid w:val="0012384B"/>
    <w:rsid w:val="00123AC0"/>
    <w:rsid w:val="00125B0F"/>
    <w:rsid w:val="001275DF"/>
    <w:rsid w:val="00133EAB"/>
    <w:rsid w:val="00140FCB"/>
    <w:rsid w:val="00153A94"/>
    <w:rsid w:val="00166CD7"/>
    <w:rsid w:val="001727D0"/>
    <w:rsid w:val="00181622"/>
    <w:rsid w:val="00185139"/>
    <w:rsid w:val="001874D3"/>
    <w:rsid w:val="00195D8D"/>
    <w:rsid w:val="001A16E9"/>
    <w:rsid w:val="001B6609"/>
    <w:rsid w:val="001D0D36"/>
    <w:rsid w:val="001E67D0"/>
    <w:rsid w:val="001F52A4"/>
    <w:rsid w:val="001F7F4F"/>
    <w:rsid w:val="0020609C"/>
    <w:rsid w:val="00210D7B"/>
    <w:rsid w:val="00213E5E"/>
    <w:rsid w:val="00214AAE"/>
    <w:rsid w:val="0021657E"/>
    <w:rsid w:val="00225445"/>
    <w:rsid w:val="00236709"/>
    <w:rsid w:val="00240332"/>
    <w:rsid w:val="002435D4"/>
    <w:rsid w:val="0024386A"/>
    <w:rsid w:val="002630AE"/>
    <w:rsid w:val="00276C7A"/>
    <w:rsid w:val="002809FE"/>
    <w:rsid w:val="002A23E1"/>
    <w:rsid w:val="002B104B"/>
    <w:rsid w:val="002B12B6"/>
    <w:rsid w:val="002B3DA2"/>
    <w:rsid w:val="002C3FC8"/>
    <w:rsid w:val="002C7F7B"/>
    <w:rsid w:val="002D3ED4"/>
    <w:rsid w:val="002E05F5"/>
    <w:rsid w:val="002E176D"/>
    <w:rsid w:val="002E18DB"/>
    <w:rsid w:val="002E1C92"/>
    <w:rsid w:val="002E4320"/>
    <w:rsid w:val="002F36C1"/>
    <w:rsid w:val="0031010E"/>
    <w:rsid w:val="00311F11"/>
    <w:rsid w:val="00313068"/>
    <w:rsid w:val="00316C03"/>
    <w:rsid w:val="00321509"/>
    <w:rsid w:val="003250BA"/>
    <w:rsid w:val="00326753"/>
    <w:rsid w:val="00335BD6"/>
    <w:rsid w:val="00344BF5"/>
    <w:rsid w:val="00361E35"/>
    <w:rsid w:val="00374113"/>
    <w:rsid w:val="00377D93"/>
    <w:rsid w:val="00386290"/>
    <w:rsid w:val="0039085D"/>
    <w:rsid w:val="003956DD"/>
    <w:rsid w:val="003B507F"/>
    <w:rsid w:val="003C0180"/>
    <w:rsid w:val="003C54EF"/>
    <w:rsid w:val="003C58C7"/>
    <w:rsid w:val="003D7BC0"/>
    <w:rsid w:val="003E2B45"/>
    <w:rsid w:val="003E3395"/>
    <w:rsid w:val="003F133D"/>
    <w:rsid w:val="0040369C"/>
    <w:rsid w:val="00410E38"/>
    <w:rsid w:val="00411BC3"/>
    <w:rsid w:val="00437416"/>
    <w:rsid w:val="00441B6D"/>
    <w:rsid w:val="00444C59"/>
    <w:rsid w:val="00447C44"/>
    <w:rsid w:val="00464909"/>
    <w:rsid w:val="004653B4"/>
    <w:rsid w:val="0046660C"/>
    <w:rsid w:val="00470E40"/>
    <w:rsid w:val="00492CF7"/>
    <w:rsid w:val="00496FC9"/>
    <w:rsid w:val="004A0499"/>
    <w:rsid w:val="004A3AC3"/>
    <w:rsid w:val="004B2C74"/>
    <w:rsid w:val="004B451B"/>
    <w:rsid w:val="004B5AEE"/>
    <w:rsid w:val="004D6F21"/>
    <w:rsid w:val="004D7279"/>
    <w:rsid w:val="004E27BB"/>
    <w:rsid w:val="004E4FBB"/>
    <w:rsid w:val="004F2112"/>
    <w:rsid w:val="004F2407"/>
    <w:rsid w:val="004F4B7E"/>
    <w:rsid w:val="004F556B"/>
    <w:rsid w:val="004F5A5C"/>
    <w:rsid w:val="004F7832"/>
    <w:rsid w:val="00501C4B"/>
    <w:rsid w:val="00504357"/>
    <w:rsid w:val="005158E4"/>
    <w:rsid w:val="00520C94"/>
    <w:rsid w:val="00522EB6"/>
    <w:rsid w:val="00526B2D"/>
    <w:rsid w:val="00537A7C"/>
    <w:rsid w:val="00547F9F"/>
    <w:rsid w:val="005763C8"/>
    <w:rsid w:val="00577DA0"/>
    <w:rsid w:val="005807AC"/>
    <w:rsid w:val="00581423"/>
    <w:rsid w:val="00593557"/>
    <w:rsid w:val="005B35E6"/>
    <w:rsid w:val="005C2013"/>
    <w:rsid w:val="005C2FB7"/>
    <w:rsid w:val="005C317B"/>
    <w:rsid w:val="005D476B"/>
    <w:rsid w:val="005E059D"/>
    <w:rsid w:val="005E5817"/>
    <w:rsid w:val="005F46A2"/>
    <w:rsid w:val="0060132C"/>
    <w:rsid w:val="0060462B"/>
    <w:rsid w:val="00612215"/>
    <w:rsid w:val="006219D0"/>
    <w:rsid w:val="00630330"/>
    <w:rsid w:val="0063150B"/>
    <w:rsid w:val="00636CF3"/>
    <w:rsid w:val="00655D5C"/>
    <w:rsid w:val="006617ED"/>
    <w:rsid w:val="006659BA"/>
    <w:rsid w:val="006664F6"/>
    <w:rsid w:val="006750DA"/>
    <w:rsid w:val="0067729E"/>
    <w:rsid w:val="00684389"/>
    <w:rsid w:val="00691F6D"/>
    <w:rsid w:val="006A3F55"/>
    <w:rsid w:val="006B22AE"/>
    <w:rsid w:val="006C3186"/>
    <w:rsid w:val="006D03D5"/>
    <w:rsid w:val="006E00D6"/>
    <w:rsid w:val="006E0483"/>
    <w:rsid w:val="006E5D22"/>
    <w:rsid w:val="006F69D2"/>
    <w:rsid w:val="007025CE"/>
    <w:rsid w:val="00702A82"/>
    <w:rsid w:val="00704765"/>
    <w:rsid w:val="007253CA"/>
    <w:rsid w:val="0073199B"/>
    <w:rsid w:val="00732536"/>
    <w:rsid w:val="00737BCF"/>
    <w:rsid w:val="00740691"/>
    <w:rsid w:val="007412F6"/>
    <w:rsid w:val="007770D1"/>
    <w:rsid w:val="00783E84"/>
    <w:rsid w:val="00786D65"/>
    <w:rsid w:val="007913D5"/>
    <w:rsid w:val="007A0B57"/>
    <w:rsid w:val="007B5DD9"/>
    <w:rsid w:val="007C139D"/>
    <w:rsid w:val="007E7E50"/>
    <w:rsid w:val="007F19F7"/>
    <w:rsid w:val="00802020"/>
    <w:rsid w:val="008065D4"/>
    <w:rsid w:val="008101D5"/>
    <w:rsid w:val="00824C0F"/>
    <w:rsid w:val="00833D01"/>
    <w:rsid w:val="008550CC"/>
    <w:rsid w:val="008625B1"/>
    <w:rsid w:val="00873003"/>
    <w:rsid w:val="00875B93"/>
    <w:rsid w:val="00881F55"/>
    <w:rsid w:val="00892B51"/>
    <w:rsid w:val="00896C64"/>
    <w:rsid w:val="008A21F1"/>
    <w:rsid w:val="008A4100"/>
    <w:rsid w:val="008A4372"/>
    <w:rsid w:val="008B284C"/>
    <w:rsid w:val="008C29BD"/>
    <w:rsid w:val="008C61D1"/>
    <w:rsid w:val="008C77FE"/>
    <w:rsid w:val="008E7927"/>
    <w:rsid w:val="008F366D"/>
    <w:rsid w:val="00922FBF"/>
    <w:rsid w:val="00923B86"/>
    <w:rsid w:val="00931BA2"/>
    <w:rsid w:val="00945286"/>
    <w:rsid w:val="00946DDD"/>
    <w:rsid w:val="00954F6C"/>
    <w:rsid w:val="00965E09"/>
    <w:rsid w:val="009760F1"/>
    <w:rsid w:val="00976464"/>
    <w:rsid w:val="00976D91"/>
    <w:rsid w:val="009807CF"/>
    <w:rsid w:val="00982C34"/>
    <w:rsid w:val="00987FC4"/>
    <w:rsid w:val="009931A3"/>
    <w:rsid w:val="009A049F"/>
    <w:rsid w:val="009A688E"/>
    <w:rsid w:val="009B4ADF"/>
    <w:rsid w:val="009B4F06"/>
    <w:rsid w:val="009B5178"/>
    <w:rsid w:val="009B5612"/>
    <w:rsid w:val="009B6386"/>
    <w:rsid w:val="009E572C"/>
    <w:rsid w:val="009E632A"/>
    <w:rsid w:val="009F3D46"/>
    <w:rsid w:val="009F725C"/>
    <w:rsid w:val="00A25221"/>
    <w:rsid w:val="00A3046C"/>
    <w:rsid w:val="00A47279"/>
    <w:rsid w:val="00A4739C"/>
    <w:rsid w:val="00A552A3"/>
    <w:rsid w:val="00A815EE"/>
    <w:rsid w:val="00A97A37"/>
    <w:rsid w:val="00AA429E"/>
    <w:rsid w:val="00AA7B49"/>
    <w:rsid w:val="00AC7CA8"/>
    <w:rsid w:val="00AE1373"/>
    <w:rsid w:val="00AE1FBA"/>
    <w:rsid w:val="00AE53C4"/>
    <w:rsid w:val="00AE7BE8"/>
    <w:rsid w:val="00AF7195"/>
    <w:rsid w:val="00B005E3"/>
    <w:rsid w:val="00B02C98"/>
    <w:rsid w:val="00B15479"/>
    <w:rsid w:val="00B21E4D"/>
    <w:rsid w:val="00B27CCA"/>
    <w:rsid w:val="00B53B82"/>
    <w:rsid w:val="00B55BC5"/>
    <w:rsid w:val="00B55F54"/>
    <w:rsid w:val="00B63FD5"/>
    <w:rsid w:val="00B64A3F"/>
    <w:rsid w:val="00B70372"/>
    <w:rsid w:val="00B704A9"/>
    <w:rsid w:val="00B72080"/>
    <w:rsid w:val="00B74D43"/>
    <w:rsid w:val="00B80D99"/>
    <w:rsid w:val="00B8525E"/>
    <w:rsid w:val="00B8657B"/>
    <w:rsid w:val="00B87BF9"/>
    <w:rsid w:val="00BA416C"/>
    <w:rsid w:val="00BB14ED"/>
    <w:rsid w:val="00BB24C0"/>
    <w:rsid w:val="00BB4443"/>
    <w:rsid w:val="00BB4B90"/>
    <w:rsid w:val="00BC6CA7"/>
    <w:rsid w:val="00BC6D62"/>
    <w:rsid w:val="00BF0697"/>
    <w:rsid w:val="00BF765A"/>
    <w:rsid w:val="00C01973"/>
    <w:rsid w:val="00C0199E"/>
    <w:rsid w:val="00C104AA"/>
    <w:rsid w:val="00C11593"/>
    <w:rsid w:val="00C1272E"/>
    <w:rsid w:val="00C17EB3"/>
    <w:rsid w:val="00C20D06"/>
    <w:rsid w:val="00C272DC"/>
    <w:rsid w:val="00C27BA1"/>
    <w:rsid w:val="00C36E41"/>
    <w:rsid w:val="00C37F7D"/>
    <w:rsid w:val="00C410F2"/>
    <w:rsid w:val="00C66D88"/>
    <w:rsid w:val="00C82A9C"/>
    <w:rsid w:val="00C82C8E"/>
    <w:rsid w:val="00C831CB"/>
    <w:rsid w:val="00C86B5F"/>
    <w:rsid w:val="00CA4556"/>
    <w:rsid w:val="00CD7735"/>
    <w:rsid w:val="00CE110C"/>
    <w:rsid w:val="00D03227"/>
    <w:rsid w:val="00D15E0C"/>
    <w:rsid w:val="00D22542"/>
    <w:rsid w:val="00D23A30"/>
    <w:rsid w:val="00D341F7"/>
    <w:rsid w:val="00D418D2"/>
    <w:rsid w:val="00D442A8"/>
    <w:rsid w:val="00D46189"/>
    <w:rsid w:val="00D546AA"/>
    <w:rsid w:val="00D6236F"/>
    <w:rsid w:val="00D66390"/>
    <w:rsid w:val="00D82D07"/>
    <w:rsid w:val="00D90029"/>
    <w:rsid w:val="00D92FD5"/>
    <w:rsid w:val="00D9488E"/>
    <w:rsid w:val="00D95405"/>
    <w:rsid w:val="00D95EE9"/>
    <w:rsid w:val="00D96A4F"/>
    <w:rsid w:val="00D96A50"/>
    <w:rsid w:val="00DA0ACE"/>
    <w:rsid w:val="00DB7335"/>
    <w:rsid w:val="00DE381A"/>
    <w:rsid w:val="00E01A8A"/>
    <w:rsid w:val="00E01FEF"/>
    <w:rsid w:val="00E05D35"/>
    <w:rsid w:val="00E11590"/>
    <w:rsid w:val="00E13A17"/>
    <w:rsid w:val="00E14403"/>
    <w:rsid w:val="00E22B14"/>
    <w:rsid w:val="00E27D70"/>
    <w:rsid w:val="00E31855"/>
    <w:rsid w:val="00E34C36"/>
    <w:rsid w:val="00E360E4"/>
    <w:rsid w:val="00E4500E"/>
    <w:rsid w:val="00E50612"/>
    <w:rsid w:val="00E53B7D"/>
    <w:rsid w:val="00E552A0"/>
    <w:rsid w:val="00E65A4A"/>
    <w:rsid w:val="00E670F9"/>
    <w:rsid w:val="00E72B2A"/>
    <w:rsid w:val="00E73327"/>
    <w:rsid w:val="00E753E9"/>
    <w:rsid w:val="00EA7898"/>
    <w:rsid w:val="00EB27B4"/>
    <w:rsid w:val="00EB58D6"/>
    <w:rsid w:val="00ED068F"/>
    <w:rsid w:val="00ED4165"/>
    <w:rsid w:val="00ED7762"/>
    <w:rsid w:val="00EE38D1"/>
    <w:rsid w:val="00EF39CB"/>
    <w:rsid w:val="00EF6F20"/>
    <w:rsid w:val="00F1330B"/>
    <w:rsid w:val="00F20A25"/>
    <w:rsid w:val="00F3154D"/>
    <w:rsid w:val="00F35FD5"/>
    <w:rsid w:val="00F40BB3"/>
    <w:rsid w:val="00F47D81"/>
    <w:rsid w:val="00F52A7E"/>
    <w:rsid w:val="00F54D35"/>
    <w:rsid w:val="00F7740B"/>
    <w:rsid w:val="00F81737"/>
    <w:rsid w:val="00F87A07"/>
    <w:rsid w:val="00F92E6C"/>
    <w:rsid w:val="00F9464E"/>
    <w:rsid w:val="00FB1AD1"/>
    <w:rsid w:val="00FB680B"/>
    <w:rsid w:val="00FC4053"/>
    <w:rsid w:val="00FC4C6C"/>
    <w:rsid w:val="00FD5672"/>
    <w:rsid w:val="00FE0D94"/>
    <w:rsid w:val="00FE1D69"/>
    <w:rsid w:val="00FE3190"/>
    <w:rsid w:val="00FE62E1"/>
    <w:rsid w:val="00FF387D"/>
    <w:rsid w:val="00FF3978"/>
    <w:rsid w:val="00FF4506"/>
    <w:rsid w:val="00FF4CF7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40A9D-D6CC-4637-9CA9-E2CA324F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0F2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1423"/>
    <w:pPr>
      <w:keepNext/>
      <w:keepLines/>
      <w:spacing w:before="360" w:after="80" w:line="259" w:lineRule="auto"/>
      <w:jc w:val="left"/>
      <w:outlineLvl w:val="0"/>
    </w:pPr>
    <w:rPr>
      <w:rFonts w:ascii="Cambria" w:hAnsi="Cambria"/>
      <w:color w:val="365F91"/>
      <w:kern w:val="2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10F2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rsid w:val="00C410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410F2"/>
  </w:style>
  <w:style w:type="paragraph" w:styleId="a6">
    <w:name w:val="Title"/>
    <w:basedOn w:val="a"/>
    <w:link w:val="a7"/>
    <w:qFormat/>
    <w:rsid w:val="00C410F2"/>
    <w:pPr>
      <w:widowControl w:val="0"/>
      <w:spacing w:after="0" w:line="320" w:lineRule="exact"/>
      <w:ind w:right="-46"/>
      <w:jc w:val="center"/>
    </w:pPr>
    <w:rPr>
      <w:b/>
      <w:bCs/>
      <w:noProof/>
      <w:lang w:val="x-none" w:eastAsia="x-none"/>
    </w:rPr>
  </w:style>
  <w:style w:type="character" w:customStyle="1" w:styleId="a7">
    <w:name w:val="Название Знак"/>
    <w:link w:val="a6"/>
    <w:rsid w:val="00C410F2"/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0269D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0269D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A0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F69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6F69D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315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c">
    <w:name w:val="footnote reference"/>
    <w:uiPriority w:val="99"/>
    <w:qFormat/>
    <w:rsid w:val="00F3154D"/>
    <w:rPr>
      <w:rFonts w:cs="Times New Roman"/>
      <w:vertAlign w:val="superscript"/>
    </w:rPr>
  </w:style>
  <w:style w:type="paragraph" w:styleId="ad">
    <w:name w:val="footnote text"/>
    <w:aliases w:val="Знак2,Знак21, Знак,Текст сноски Знак Знак,Текст сноски Знак Знак Знак Знак"/>
    <w:basedOn w:val="a"/>
    <w:link w:val="ae"/>
    <w:uiPriority w:val="99"/>
    <w:qFormat/>
    <w:rsid w:val="00F3154D"/>
    <w:pPr>
      <w:spacing w:after="0"/>
      <w:jc w:val="left"/>
    </w:pPr>
    <w:rPr>
      <w:sz w:val="20"/>
      <w:szCs w:val="20"/>
      <w:lang w:val="x-none" w:eastAsia="x-none"/>
    </w:rPr>
  </w:style>
  <w:style w:type="character" w:customStyle="1" w:styleId="ae">
    <w:name w:val="Текст сноски Знак"/>
    <w:aliases w:val="Знак2 Знак,Знак21 Знак, Знак Знак,Текст сноски Знак Знак Знак,Текст сноски Знак Знак Знак Знак Знак"/>
    <w:link w:val="ad"/>
    <w:uiPriority w:val="99"/>
    <w:rsid w:val="00F3154D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F3154D"/>
    <w:rPr>
      <w:rFonts w:ascii="Arial" w:eastAsia="Times New Roman" w:hAnsi="Arial" w:cs="Arial"/>
      <w:lang w:val="ru-RU" w:eastAsia="ru-RU" w:bidi="ar-SA"/>
    </w:rPr>
  </w:style>
  <w:style w:type="character" w:customStyle="1" w:styleId="fontstyle01">
    <w:name w:val="fontstyle01"/>
    <w:rsid w:val="001F52A4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  <w:style w:type="character" w:styleId="af">
    <w:name w:val="Hyperlink"/>
    <w:uiPriority w:val="99"/>
    <w:semiHidden/>
    <w:unhideWhenUsed/>
    <w:rsid w:val="00FE62E1"/>
    <w:rPr>
      <w:color w:val="0000FF"/>
      <w:u w:val="single"/>
    </w:rPr>
  </w:style>
  <w:style w:type="character" w:styleId="af0">
    <w:name w:val="Strong"/>
    <w:uiPriority w:val="22"/>
    <w:qFormat/>
    <w:rsid w:val="00FE62E1"/>
    <w:rPr>
      <w:b/>
      <w:bCs/>
    </w:rPr>
  </w:style>
  <w:style w:type="character" w:customStyle="1" w:styleId="10">
    <w:name w:val="Заголовок 1 Знак"/>
    <w:link w:val="1"/>
    <w:uiPriority w:val="9"/>
    <w:rsid w:val="00581423"/>
    <w:rPr>
      <w:rFonts w:ascii="Cambria" w:eastAsia="Times New Roman" w:hAnsi="Cambria" w:cs="Times New Roman"/>
      <w:color w:val="365F91"/>
      <w:kern w:val="2"/>
      <w:sz w:val="40"/>
      <w:szCs w:val="40"/>
      <w:lang w:eastAsia="en-US"/>
    </w:rPr>
  </w:style>
  <w:style w:type="table" w:styleId="af1">
    <w:name w:val="Table Grid"/>
    <w:basedOn w:val="a1"/>
    <w:uiPriority w:val="39"/>
    <w:rsid w:val="0058142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cp:lastModifiedBy>Хныкина АВ</cp:lastModifiedBy>
  <cp:revision>6</cp:revision>
  <cp:lastPrinted>2022-03-24T05:12:00Z</cp:lastPrinted>
  <dcterms:created xsi:type="dcterms:W3CDTF">2026-08-23T10:49:00Z</dcterms:created>
  <dcterms:modified xsi:type="dcterms:W3CDTF">2026-08-23T11:07:00Z</dcterms:modified>
</cp:coreProperties>
</file>