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5"/>
        <w:ind w:firstLine="709"/>
        <w:jc w:val="center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b/>
          <w:sz w:val="20"/>
          <w:szCs w:val="20"/>
          <w:highlight w:val="none"/>
        </w:rPr>
      </w:r>
      <w:r>
        <w:rPr>
          <w:rFonts w:ascii="PT Astra Serif" w:hAnsi="PT Astra Serif" w:eastAsia="PT Astra Serif" w:cs="PT Astra Serif"/>
          <w:b/>
          <w:sz w:val="20"/>
          <w:szCs w:val="20"/>
          <w:highlight w:val="none"/>
        </w:rPr>
      </w:r>
    </w:p>
    <w:p>
      <w:pPr>
        <w:pStyle w:val="845"/>
        <w:ind w:firstLine="709"/>
        <w:jc w:val="center"/>
        <w:rPr>
          <w:rFonts w:ascii="PT Astra Serif" w:hAnsi="PT Astra Serif" w:eastAsia="PT Astra Serif" w:cs="PT Astra Serif"/>
          <w:b/>
          <w:bCs/>
          <w:sz w:val="20"/>
          <w:szCs w:val="20"/>
          <w:highlight w:val="none"/>
        </w:rPr>
      </w:pPr>
      <w:r>
        <w:rPr>
          <w:rFonts w:ascii="PT Astra Serif" w:hAnsi="PT Astra Serif" w:eastAsia="PT Astra Serif" w:cs="PT Astra Serif"/>
          <w:b/>
          <w:sz w:val="20"/>
          <w:szCs w:val="20"/>
        </w:rPr>
        <w:t xml:space="preserve">Начальная (максимальная) цена государственного контракта,</w:t>
      </w:r>
      <w:r>
        <w:rPr>
          <w:rFonts w:ascii="PT Astra Serif" w:hAnsi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b/>
          <w:bCs/>
          <w:sz w:val="20"/>
          <w:szCs w:val="20"/>
          <w:highlight w:val="none"/>
        </w:rPr>
      </w:r>
    </w:p>
    <w:p>
      <w:pPr>
        <w:pStyle w:val="845"/>
        <w:ind w:firstLine="709"/>
        <w:jc w:val="center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b/>
          <w:sz w:val="20"/>
          <w:szCs w:val="20"/>
        </w:rPr>
        <w:t xml:space="preserve">обоснование начальной максимальной цены государственного контракта</w:t>
      </w:r>
      <w:r>
        <w:rPr>
          <w:rFonts w:ascii="PT Astra Serif" w:hAnsi="PT Astra Serif" w:cs="PT Astra Serif"/>
          <w:sz w:val="20"/>
          <w:szCs w:val="20"/>
        </w:rPr>
      </w:r>
      <w:r>
        <w:rPr>
          <w:rFonts w:ascii="PT Astra Serif" w:hAnsi="PT Astra Serif" w:cs="PT Astra Serif"/>
          <w:sz w:val="20"/>
          <w:szCs w:val="20"/>
        </w:rPr>
      </w:r>
    </w:p>
    <w:p>
      <w:pPr>
        <w:pStyle w:val="845"/>
        <w:ind w:firstLine="709"/>
        <w:jc w:val="center"/>
        <w:rPr>
          <w:rFonts w:ascii="PT Astra Serif" w:hAnsi="PT Astra Serif" w:cs="PT Astra Serif"/>
          <w:b/>
          <w:sz w:val="20"/>
          <w:szCs w:val="20"/>
        </w:rPr>
      </w:pPr>
      <w:r>
        <w:rPr>
          <w:rFonts w:ascii="PT Astra Serif" w:hAnsi="PT Astra Serif" w:eastAsia="PT Astra Serif" w:cs="PT Astra Serif"/>
          <w:b/>
          <w:sz w:val="20"/>
          <w:szCs w:val="20"/>
        </w:rPr>
      </w:r>
      <w:r>
        <w:rPr>
          <w:rFonts w:ascii="PT Astra Serif" w:hAnsi="PT Astra Serif" w:cs="PT Astra Serif"/>
          <w:b/>
          <w:sz w:val="20"/>
          <w:szCs w:val="20"/>
        </w:rPr>
      </w:r>
      <w:r>
        <w:rPr>
          <w:rFonts w:ascii="PT Astra Serif" w:hAnsi="PT Astra Serif" w:cs="PT Astra Serif"/>
          <w:b/>
          <w:sz w:val="20"/>
          <w:szCs w:val="20"/>
        </w:rPr>
      </w:r>
    </w:p>
    <w:tbl>
      <w:tblPr>
        <w:tblW w:w="4987" w:type="pct"/>
        <w:tblInd w:w="28" w:type="dxa"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4633"/>
        <w:gridCol w:w="11385"/>
      </w:tblGrid>
      <w:tr>
        <w:trPr>
          <w:trHeight w:val="585"/>
        </w:trPr>
        <w:tblPrEx/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32"/>
              <w:ind w:left="57" w:right="57" w:hanging="57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  <w:t xml:space="preserve">Наименование</w:t>
            </w:r>
            <w: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  <w:t xml:space="preserve"> объекта закупки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W w:w="1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32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Поставка плана эвакуации для пожарной безопасности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.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rPr>
          <w:trHeight w:val="699"/>
        </w:trPr>
        <w:tblPrEx/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32"/>
              <w:ind w:right="57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  <w:t xml:space="preserve">Используемый метод определения НМЦК с обоснованием: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W w:w="1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ind w:left="57" w:firstLine="11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</w:rPr>
            </w:r>
          </w:p>
          <w:p>
            <w:pPr>
              <w:pStyle w:val="832"/>
              <w:ind w:left="57" w:firstLine="11"/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Метод сопоставимых рыночных цен (анализ рынка) на основании информации, содержащейся в коммерческих предложениях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</w:rPr>
            </w:r>
          </w:p>
        </w:tc>
      </w:tr>
      <w:tr>
        <w:trPr>
          <w:trHeight w:val="2780"/>
        </w:trPr>
        <w:tblPrEx/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32"/>
              <w:ind w:left="57" w:right="57" w:hanging="57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  <w:t xml:space="preserve">Расчет НМЦК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W w:w="1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32"/>
              <w:ind w:left="57" w:right="181" w:firstLine="311"/>
              <w:jc w:val="both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 Для определения НМЦК Заказчиком использован метод сопоставимых рыночных цен (ст. 22 Федерального закона от 05.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04.2013 № 44-ФЗ «О контрактной системе в сфере закупок товаров, работ, услуг для обеспечения государственных и муниципальных нужд»). Расчёт НМЦК произведён с учётом методических рекомендаций, утверждённых Приказом Министерства экономического развития РФ от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 (далее – Методические рекомендации).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pStyle w:val="832"/>
              <w:tabs>
                <w:tab w:val="left" w:pos="11047" w:leader="none"/>
              </w:tabs>
              <w:ind w:right="114" w:firstLine="312"/>
              <w:jc w:val="both"/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НМЦК,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полученная расчётным путём как среднеарифметическое на основании имеющейся ценовой информации, составляет </w:t>
            </w:r>
            <w:r>
              <w:rPr>
                <w:rFonts w:ascii="PT Astra Serif" w:hAnsi="PT Astra Serif" w:eastAsia="PT Astra Serif" w:cs="PT Astra Serif"/>
                <w:b/>
                <w:bCs/>
                <w:color w:val="000000"/>
                <w:sz w:val="20"/>
                <w:szCs w:val="20"/>
              </w:rPr>
              <w:t xml:space="preserve">49 966,70</w:t>
            </w:r>
            <w: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  <w:t xml:space="preserve">руб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0"/>
                <w:szCs w:val="20"/>
              </w:rPr>
              <w:t xml:space="preserve">. </w:t>
            </w:r>
            <w: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  <w:highlight w:val="none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  <w:highlight w:val="none"/>
              </w:rPr>
            </w:r>
          </w:p>
          <w:p>
            <w:pPr>
              <w:pStyle w:val="832"/>
              <w:ind w:left="57" w:right="113" w:firstLine="311"/>
              <w:jc w:val="both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Информация о валюте, используемой для формирования цены контракта и расчётов с поставщиком (подрядчиком, исполнителем): рубль российский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pStyle w:val="832"/>
              <w:ind w:left="57" w:right="113" w:firstLine="311"/>
              <w:jc w:val="both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Расчёт приведён ниже.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rPr>
          <w:trHeight w:val="437"/>
        </w:trPr>
        <w:tblPrEx/>
        <w:tc>
          <w:tcPr>
            <w:tcW w:w="160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32"/>
              <w:ind w:left="57" w:right="-28" w:firstLine="11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/>
                <w:sz w:val="20"/>
                <w:szCs w:val="20"/>
              </w:rPr>
              <w:t xml:space="preserve">Дата подготовки обоснования: 06.08.2026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</w:tbl>
    <w:p/>
    <w:p>
      <w:pPr>
        <w:pStyle w:val="832"/>
      </w:pPr>
    </w:p>
    <w:p>
      <w:pPr>
        <w:pStyle w:val="832"/>
        <w:jc w:val="right"/>
      </w:pPr>
    </w:p>
    <w:tbl>
      <w:tblPr>
        <w:tblW w:w="0" w:type="auto"/>
        <w:jc w:val="center"/>
        <w:tblInd w:w="-3385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50"/>
        <w:gridCol w:w="4090"/>
        <w:gridCol w:w="822"/>
        <w:gridCol w:w="1064"/>
        <w:gridCol w:w="1276"/>
        <w:gridCol w:w="1134"/>
        <w:gridCol w:w="1134"/>
        <w:gridCol w:w="1276"/>
        <w:gridCol w:w="1134"/>
        <w:gridCol w:w="1417"/>
        <w:gridCol w:w="1515"/>
      </w:tblGrid>
      <w:tr>
        <w:trPr>
          <w:trHeight w:val="926"/>
        </w:trPr>
        <w:tblPrEx/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32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№ п/п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W w:w="40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32"/>
              <w:jc w:val="center"/>
              <w:rPr>
                <w:rFonts w:ascii="PT Astra Serif" w:hAnsi="PT Astra Serif" w:eastAsia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Наимено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вание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  <w:p>
            <w:pPr>
              <w:pStyle w:val="832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товара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pStyle w:val="832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pStyle w:val="832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Основные характеристики товара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W w:w="822" w:type="dxa"/>
            <w:vMerge w:val="restart"/>
            <w:tcBorders>
              <w:top w:val="single" w:color="000000" w:sz="4" w:space="0"/>
              <w:lef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32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Кол-во/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pStyle w:val="832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шт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W w:w="70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32"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Наименование источника информации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W w:w="293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32"/>
              <w:ind w:right="-107" w:firstLine="18"/>
              <w:jc w:val="center"/>
              <w:rPr>
                <w:rFonts w:ascii="PT Astra Serif" w:hAnsi="PT Astra Serif" w:cs="PT Astra Serif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color w:val="000000"/>
                <w:sz w:val="20"/>
                <w:szCs w:val="20"/>
              </w:rPr>
              <w:t xml:space="preserve">Н</w:t>
            </w:r>
            <w:r>
              <w:rPr>
                <w:rFonts w:ascii="PT Astra Serif" w:hAnsi="PT Astra Serif" w:eastAsia="PT Astra Serif" w:cs="PT Astra Serif"/>
                <w:b/>
                <w:bCs/>
                <w:color w:val="000000"/>
                <w:sz w:val="20"/>
                <w:szCs w:val="20"/>
              </w:rPr>
              <w:t xml:space="preserve">ачальная (максимальная) цена</w:t>
            </w:r>
            <w: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  <w:t xml:space="preserve">, руб</w:t>
            </w:r>
            <w:r>
              <w:rPr>
                <w:rFonts w:ascii="PT Astra Serif" w:hAnsi="PT Astra Serif" w:cs="PT Astra Serif"/>
                <w:b/>
                <w:bCs/>
                <w:sz w:val="20"/>
                <w:szCs w:val="20"/>
              </w:rPr>
            </w:r>
            <w:r>
              <w:rPr>
                <w:rFonts w:ascii="PT Astra Serif" w:hAnsi="PT Astra Serif" w:cs="PT Astra Serif"/>
                <w:b/>
                <w:bCs/>
                <w:sz w:val="20"/>
                <w:szCs w:val="20"/>
              </w:rPr>
            </w:r>
          </w:p>
        </w:tc>
      </w:tr>
      <w:tr>
        <w:trPr>
          <w:trHeight w:val="840"/>
        </w:trPr>
        <w:tblPrEx/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3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4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3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22" w:type="dxa"/>
            <w:vMerge w:val="continue"/>
            <w:tcBorders>
              <w:lef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32"/>
            </w:pPr>
          </w:p>
        </w:tc>
        <w:tc>
          <w:tcPr>
            <w:tcW w:w="23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32"/>
              <w:jc w:val="center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Коммерческое предложение  № 1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,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 руб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.</w:t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32"/>
              <w:jc w:val="center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Коммерческое предложение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 №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2,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 руб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.</w:t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32"/>
              <w:jc w:val="center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Коммерческое предложение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№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3,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 руб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.</w:t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</w:p>
        </w:tc>
        <w:tc>
          <w:tcPr>
            <w:tcW w:w="293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/>
        </w:tc>
      </w:tr>
      <w:tr>
        <w:trPr>
          <w:trHeight w:val="983"/>
        </w:trPr>
        <w:tblPrEx/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32"/>
            </w:pPr>
          </w:p>
        </w:tc>
        <w:tc>
          <w:tcPr>
            <w:tcW w:w="4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32"/>
            </w:pPr>
          </w:p>
        </w:tc>
        <w:tc>
          <w:tcPr>
            <w:tcW w:w="822" w:type="dxa"/>
            <w:vMerge w:val="continue"/>
            <w:tcBorders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32"/>
            </w:pP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32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eastAsia="PT Astra Serif" w:cs="PT Astra Serif"/>
                <w:sz w:val="16"/>
                <w:szCs w:val="16"/>
              </w:rPr>
              <w:t xml:space="preserve">цена за 1 единицу товара</w:t>
            </w:r>
            <w:r>
              <w:rPr>
                <w:rFonts w:ascii="PT Astra Serif" w:hAnsi="PT Astra Serif" w:cs="PT Astra Serif"/>
                <w:sz w:val="16"/>
                <w:szCs w:val="16"/>
              </w:rPr>
            </w:r>
            <w:r>
              <w:rPr>
                <w:rFonts w:ascii="PT Astra Serif" w:hAnsi="PT Astra Serif" w:cs="PT Astra Serif"/>
                <w:sz w:val="16"/>
                <w:szCs w:val="16"/>
              </w:rPr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32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eastAsia="PT Astra Serif" w:cs="PT Astra Serif"/>
                <w:sz w:val="16"/>
                <w:szCs w:val="16"/>
              </w:rPr>
              <w:t xml:space="preserve">сумма</w:t>
            </w:r>
            <w:r>
              <w:rPr>
                <w:rFonts w:ascii="PT Astra Serif" w:hAnsi="PT Astra Serif" w:cs="PT Astra Serif"/>
                <w:sz w:val="16"/>
                <w:szCs w:val="16"/>
              </w:rPr>
            </w:r>
            <w:r>
              <w:rPr>
                <w:rFonts w:ascii="PT Astra Serif" w:hAnsi="PT Astra Serif" w:cs="PT Astra Serif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32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eastAsia="PT Astra Serif" w:cs="PT Astra Serif"/>
                <w:sz w:val="16"/>
                <w:szCs w:val="16"/>
              </w:rPr>
              <w:t xml:space="preserve">цена за 1 единицу товара</w:t>
            </w:r>
            <w:r>
              <w:rPr>
                <w:rFonts w:ascii="PT Astra Serif" w:hAnsi="PT Astra Serif" w:cs="PT Astra Serif"/>
                <w:sz w:val="16"/>
                <w:szCs w:val="16"/>
              </w:rPr>
            </w:r>
            <w:r>
              <w:rPr>
                <w:rFonts w:ascii="PT Astra Serif" w:hAnsi="PT Astra Serif" w:cs="PT Astra Serif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32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eastAsia="PT Astra Serif" w:cs="PT Astra Serif"/>
                <w:sz w:val="16"/>
                <w:szCs w:val="16"/>
              </w:rPr>
              <w:t xml:space="preserve">сумма</w:t>
            </w:r>
            <w:r>
              <w:rPr>
                <w:rFonts w:ascii="PT Astra Serif" w:hAnsi="PT Astra Serif" w:cs="PT Astra Serif"/>
                <w:sz w:val="16"/>
                <w:szCs w:val="16"/>
              </w:rPr>
            </w:r>
            <w:r>
              <w:rPr>
                <w:rFonts w:ascii="PT Astra Serif" w:hAnsi="PT Astra Serif" w:cs="PT Astra Serif"/>
                <w:sz w:val="16"/>
                <w:szCs w:val="16"/>
              </w:rPr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32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eastAsia="PT Astra Serif" w:cs="PT Astra Serif"/>
                <w:sz w:val="16"/>
                <w:szCs w:val="16"/>
              </w:rPr>
              <w:t xml:space="preserve">цена за 1 единицу товара</w:t>
            </w:r>
            <w:r>
              <w:rPr>
                <w:rFonts w:ascii="PT Astra Serif" w:hAnsi="PT Astra Serif" w:cs="PT Astra Serif"/>
                <w:sz w:val="16"/>
                <w:szCs w:val="16"/>
              </w:rPr>
            </w:r>
            <w:r>
              <w:rPr>
                <w:rFonts w:ascii="PT Astra Serif" w:hAnsi="PT Astra Serif" w:cs="PT Astra Serif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32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eastAsia="PT Astra Serif" w:cs="PT Astra Serif"/>
                <w:sz w:val="16"/>
                <w:szCs w:val="16"/>
              </w:rPr>
              <w:t xml:space="preserve">сумма</w:t>
            </w:r>
            <w:r>
              <w:rPr>
                <w:rFonts w:ascii="PT Astra Serif" w:hAnsi="PT Astra Serif" w:cs="PT Astra Serif"/>
                <w:sz w:val="16"/>
                <w:szCs w:val="16"/>
              </w:rPr>
            </w:r>
            <w:r>
              <w:rPr>
                <w:rFonts w:ascii="PT Astra Serif" w:hAnsi="PT Astra Serif" w:cs="PT Astra Serif"/>
                <w:sz w:val="16"/>
                <w:szCs w:val="16"/>
              </w:rPr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32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eastAsia="PT Astra Serif" w:cs="PT Astra Serif"/>
                <w:sz w:val="16"/>
                <w:szCs w:val="16"/>
              </w:rPr>
              <w:t xml:space="preserve">цена за 1 единицу товара</w:t>
            </w:r>
            <w:r>
              <w:rPr>
                <w:rFonts w:ascii="PT Astra Serif" w:hAnsi="PT Astra Serif" w:cs="PT Astra Serif"/>
                <w:sz w:val="16"/>
                <w:szCs w:val="16"/>
              </w:rPr>
            </w:r>
            <w:r>
              <w:rPr>
                <w:rFonts w:ascii="PT Astra Serif" w:hAnsi="PT Astra Serif" w:cs="PT Astra Serif"/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eastAsia="PT Astra Serif" w:cs="PT Astra Serif"/>
                <w:sz w:val="16"/>
                <w:szCs w:val="16"/>
              </w:rPr>
              <w:t xml:space="preserve">сумма</w:t>
            </w:r>
            <w:r>
              <w:rPr>
                <w:rFonts w:ascii="PT Astra Serif" w:hAnsi="PT Astra Serif" w:cs="PT Astra Serif"/>
                <w:sz w:val="16"/>
                <w:szCs w:val="16"/>
              </w:rPr>
            </w:r>
            <w:r>
              <w:rPr>
                <w:rFonts w:ascii="PT Astra Serif" w:hAnsi="PT Astra Serif" w:cs="PT Astra Serif"/>
                <w:sz w:val="16"/>
                <w:szCs w:val="16"/>
              </w:rPr>
            </w:r>
          </w:p>
        </w:tc>
      </w:tr>
      <w:tr>
        <w:trPr>
          <w:trHeight w:val="1266"/>
        </w:trPr>
        <w:tblPrEx/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32"/>
              <w:jc w:val="right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1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W w:w="4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PT Astra Serif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eastAsia="ru-RU"/>
              </w:rPr>
              <w:t xml:space="preserve">План эвакуации </w:t>
            </w:r>
            <w:r>
              <w:rPr>
                <w:rFonts w:hint="default" w:ascii="Arimo" w:hAnsi="Arimo" w:eastAsia="Arimo" w:cs="Arimo"/>
                <w:color w:val="00000a"/>
                <w:sz w:val="20"/>
                <w:szCs w:val="20"/>
                <w:lang w:eastAsia="ru-RU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eastAsia="ru-RU"/>
              </w:rPr>
            </w:r>
            <w:r>
              <w:rPr>
                <w:rFonts w:ascii="PT Astra Serif" w:hAnsi="PT Astra Serif" w:cs="PT Astra Serif"/>
                <w:sz w:val="22"/>
                <w:szCs w:val="22"/>
                <w:highlight w:val="white"/>
              </w:rPr>
            </w:r>
          </w:p>
          <w:p>
            <w:pPr>
              <w:jc w:val="both"/>
              <w:rPr>
                <w:rFonts w:ascii="PT Astra Serif" w:hAnsi="PT Astra Serif" w:cs="PT Astra Serif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highlight w:val="none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a"/>
                <w:sz w:val="20"/>
                <w:szCs w:val="20"/>
                <w:lang w:eastAsia="ru-RU"/>
              </w:rPr>
              <w:t xml:space="preserve">фотолюминесцентный А2 (600х400мм) на пластике ПВХ 3мм</w:t>
            </w:r>
            <w:r>
              <w:rPr>
                <w:rFonts w:ascii="PT Astra Serif" w:hAnsi="PT Astra Serif" w:cs="PT Astra Serif"/>
                <w:sz w:val="22"/>
                <w:szCs w:val="22"/>
                <w:highlight w:val="white"/>
              </w:rPr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32"/>
              <w:contextualSpacing/>
              <w:jc w:val="center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cs="PT Astra Serif"/>
                <w:sz w:val="20"/>
                <w:szCs w:val="20"/>
              </w:rPr>
              <w:t xml:space="preserve">10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32"/>
              <w:jc w:val="center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  <w:lang w:eastAsia="ru-RU"/>
              </w:rPr>
              <w:t xml:space="preserve">5 000,00</w:t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32"/>
              <w:jc w:val="center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50 000,00</w:t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32"/>
              <w:jc w:val="center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4 840,00</w:t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32"/>
              <w:jc w:val="center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48 400,00</w:t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32"/>
              <w:jc w:val="center"/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5 1</w:t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50,00</w:t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32"/>
              <w:jc w:val="center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0"/>
                <w:szCs w:val="20"/>
              </w:rPr>
              <w:t xml:space="preserve">51 500,00</w:t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32"/>
              <w:jc w:val="center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4 996,67</w:t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32"/>
              <w:jc w:val="center"/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color w:val="000000"/>
                <w:sz w:val="20"/>
                <w:szCs w:val="20"/>
              </w:rPr>
              <w:t xml:space="preserve">49 966,70</w:t>
            </w:r>
            <w:r>
              <w:rPr>
                <w:rFonts w:ascii="PT Astra Serif" w:hAnsi="PT Astra Serif" w:cs="PT Astra Serif"/>
                <w:color w:val="000000"/>
                <w:sz w:val="20"/>
                <w:szCs w:val="20"/>
              </w:rPr>
            </w:r>
          </w:p>
        </w:tc>
      </w:tr>
    </w:tbl>
    <w:p>
      <w:pPr>
        <w:rPr>
          <w:rFonts w:ascii="PT Astra Serif" w:hAnsi="PT Astra Serif" w:eastAsia="PT Astra Serif" w:cs="PT Astra Serif"/>
          <w:color w:val="000000"/>
          <w:sz w:val="22"/>
          <w:szCs w:val="22"/>
          <w:highlight w:val="none"/>
        </w:rPr>
      </w:pPr>
      <w:r>
        <w:rPr>
          <w:rFonts w:ascii="PT Astra Serif" w:hAnsi="PT Astra Serif" w:eastAsia="PT Astra Serif" w:cs="PT Astra Serif"/>
          <w:color w:val="000000"/>
          <w:sz w:val="22"/>
          <w:szCs w:val="22"/>
          <w:highlight w:val="none"/>
        </w:rPr>
        <w:t xml:space="preserve">      </w:t>
      </w:r>
      <w:r>
        <w:rPr>
          <w:rFonts w:hint="default" w:ascii="Arimo" w:hAnsi="Arimo" w:eastAsia="Arimo" w:cs="Arimo"/>
          <w:color w:val="000000"/>
          <w:sz w:val="22"/>
          <w:szCs w:val="22"/>
          <w:highlight w:val="none"/>
        </w:rPr>
        <w:t xml:space="preserve">*</w:t>
      </w:r>
      <w:r>
        <w:rPr>
          <w:rFonts w:ascii="PT Astra Serif" w:hAnsi="PT Astra Serif" w:eastAsia="PT Astra Serif" w:cs="PT Astra Serif"/>
          <w:color w:val="000000"/>
          <w:sz w:val="22"/>
          <w:szCs w:val="22"/>
          <w:highlight w:val="none"/>
        </w:rPr>
        <w:t xml:space="preserve">Описание объекта закупки, требование к товару согласно ТЗ</w:t>
      </w:r>
      <w:r>
        <w:rPr>
          <w:rFonts w:ascii="PT Astra Serif" w:hAnsi="PT Astra Serif" w:eastAsia="PT Astra Serif" w:cs="PT Astra Serif"/>
          <w:color w:val="000000"/>
          <w:sz w:val="22"/>
          <w:szCs w:val="22"/>
          <w:highlight w:val="none"/>
        </w:rPr>
      </w:r>
    </w:p>
    <w:p>
      <w:pPr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color w:val="000000"/>
          <w:sz w:val="22"/>
          <w:szCs w:val="22"/>
          <w:highlight w:val="none"/>
        </w:rPr>
      </w:r>
      <w:r>
        <w:rPr>
          <w:rFonts w:ascii="PT Astra Serif" w:hAnsi="PT Astra Serif" w:eastAsia="PT Astra Serif" w:cs="PT Astra Serif"/>
          <w:color w:val="000000"/>
          <w:sz w:val="22"/>
          <w:szCs w:val="22"/>
          <w:highlight w:val="none"/>
        </w:rPr>
      </w:r>
    </w:p>
    <w:p>
      <w:pPr>
        <w:rPr>
          <w:rFonts w:ascii="PT Astra Serif" w:hAnsi="PT Astra Serif" w:eastAsia="PT Astra Serif" w:cs="PT Astra Serif"/>
          <w:color w:val="000000"/>
          <w:sz w:val="22"/>
          <w:szCs w:val="22"/>
          <w:highlight w:val="none"/>
        </w:rPr>
      </w:pPr>
      <w:r>
        <w:rPr>
          <w:rFonts w:ascii="Roboto" w:hAnsi="Roboto" w:eastAsia="Roboto" w:cs="Roboto"/>
          <w:color w:val="000000"/>
          <w:sz w:val="18"/>
        </w:rPr>
        <w:t xml:space="preserve">   </w:t>
      </w:r>
      <w:r>
        <w:rPr>
          <w:rFonts w:ascii="PT Astra Serif" w:hAnsi="PT Astra Serif" w:eastAsia="PT Astra Serif" w:cs="PT Astra Serif"/>
          <w:color w:val="000000"/>
          <w:sz w:val="22"/>
          <w:szCs w:val="22"/>
        </w:rPr>
        <w:t xml:space="preserve">Средняя арифметическая цена за единицу</w:t>
      </w:r>
      <w:r>
        <w:rPr>
          <w:rFonts w:ascii="PT Astra Serif" w:hAnsi="PT Astra Serif" w:eastAsia="PT Astra Serif" w:cs="PT Astra Serif"/>
          <w:color w:val="000000"/>
          <w:sz w:val="22"/>
          <w:szCs w:val="22"/>
        </w:rPr>
        <w:t xml:space="preserve">-  4 996,67</w:t>
      </w:r>
      <w:r>
        <w:rPr>
          <w:rFonts w:ascii="PT Astra Serif" w:hAnsi="PT Astra Serif" w:eastAsia="PT Astra Serif" w:cs="PT Astra Serif"/>
          <w:color w:val="000000"/>
          <w:sz w:val="22"/>
          <w:szCs w:val="22"/>
          <w:highlight w:val="none"/>
        </w:rPr>
      </w:r>
    </w:p>
    <w:p>
      <w:pPr>
        <w:rPr>
          <w:rFonts w:ascii="PT Astra Serif" w:hAnsi="PT Astra Serif" w:cs="PT Astra Serif"/>
          <w:color w:val="000000"/>
          <w:sz w:val="22"/>
          <w:szCs w:val="22"/>
        </w:rPr>
      </w:pPr>
      <w:r>
        <w:rPr>
          <w:rFonts w:ascii="PT Astra Serif" w:hAnsi="PT Astra Serif" w:eastAsia="PT Astra Serif" w:cs="PT Astra Serif"/>
          <w:color w:val="000000"/>
          <w:sz w:val="22"/>
          <w:szCs w:val="22"/>
        </w:rPr>
        <w:t xml:space="preserve">  Среднее квадратичное отклонение - 155,03</w:t>
      </w:r>
      <w:r>
        <w:rPr>
          <w:rFonts w:ascii="PT Astra Serif" w:hAnsi="PT Astra Serif" w:cs="PT Astra Serif"/>
          <w:color w:val="000000"/>
          <w:sz w:val="22"/>
          <w:szCs w:val="22"/>
        </w:rPr>
      </w:r>
    </w:p>
    <w:p>
      <w:pPr>
        <w:rPr>
          <w:rFonts w:ascii="PT Astra Serif" w:hAnsi="PT Astra Serif" w:cs="PT Astra Serif"/>
          <w:color w:val="000000"/>
          <w:sz w:val="22"/>
          <w:szCs w:val="22"/>
        </w:rPr>
      </w:pPr>
      <w:r>
        <w:rPr>
          <w:rFonts w:ascii="PT Astra Serif" w:hAnsi="PT Astra Serif" w:eastAsia="PT Astra Serif" w:cs="PT Astra Serif"/>
          <w:color w:val="000000"/>
          <w:sz w:val="22"/>
          <w:szCs w:val="22"/>
        </w:rPr>
        <w:t xml:space="preserve">  Коэффициент вариации цен -3,10 %</w:t>
      </w:r>
      <w:r>
        <w:rPr>
          <w:rFonts w:ascii="PT Astra Serif" w:hAnsi="PT Astra Serif" w:cs="PT Astra Serif"/>
          <w:color w:val="000000"/>
          <w:sz w:val="22"/>
          <w:szCs w:val="22"/>
        </w:rPr>
      </w:r>
      <w:r>
        <w:rPr>
          <w:rFonts w:ascii="PT Astra Serif" w:hAnsi="PT Astra Serif" w:cs="PT Astra Serif"/>
          <w:color w:val="000000"/>
          <w:sz w:val="22"/>
          <w:szCs w:val="22"/>
        </w:rPr>
      </w:r>
    </w:p>
    <w:p>
      <w:pPr>
        <w:pStyle w:val="832"/>
      </w:pPr>
    </w:p>
    <w:p>
      <w:pPr>
        <w:pStyle w:val="672"/>
        <w:tabs>
          <w:tab w:val="left" w:pos="252" w:leader="none"/>
        </w:tabs>
        <w:spacing w:after="0"/>
        <w:ind w:left="0"/>
        <w:jc w:val="left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tabs>
          <w:tab w:val="left" w:pos="851" w:leader="none"/>
        </w:tabs>
        <w:jc w:val="left"/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r>
        <w:rPr>
          <w:rFonts w:ascii="Tinos" w:hAnsi="Tinos" w:eastAsia="Tinos" w:cs="Tinos"/>
          <w:sz w:val="24"/>
          <w:szCs w:val="24"/>
          <w:highlight w:val="none"/>
          <w:lang w:eastAsia="en-US"/>
        </w:rPr>
      </w:r>
      <w:r>
        <w:rPr>
          <w:rFonts w:ascii="Tinos" w:hAnsi="Tinos" w:eastAsia="Tinos" w:cs="Tinos"/>
          <w:sz w:val="24"/>
          <w:szCs w:val="24"/>
          <w:highlight w:val="none"/>
          <w:lang w:eastAsia="en-US"/>
        </w:rPr>
      </w:r>
    </w:p>
    <w:p>
      <w:pPr>
        <w:pStyle w:val="832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0" w:type="auto"/>
        <w:tblInd w:w="694" w:type="dxa"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4649"/>
      </w:tblGrid>
      <w:tr>
        <w:trPr/>
        <w:tblPrEx/>
        <w:tc>
          <w:tcPr>
            <w:tcW w:w="4649" w:type="dxa"/>
            <w:tcBorders>
              <w:bottom w:val="single" w:color="000000" w:sz="4" w:space="0"/>
            </w:tcBorders>
            <w:noWrap w:val="false"/>
            <w:textDirection w:val="lrTb"/>
            <w:vAlign w:val="bottom"/>
          </w:tcPr>
          <w:p>
            <w:pPr>
              <w:pStyle w:val="832"/>
              <w:spacing w:after="120"/>
              <w:ind w:hanging="28"/>
            </w:pPr>
            <w:r>
              <w:rPr>
                <w:b/>
              </w:rPr>
              <w:t xml:space="preserve">Работник контрактной службы</w:t>
            </w:r>
          </w:p>
          <w:p>
            <w:pPr>
              <w:pStyle w:val="832"/>
              <w:jc w:val="center"/>
            </w:pPr>
            <w:r>
              <w:t xml:space="preserve">Зам. начальника ФЭО</w:t>
            </w:r>
          </w:p>
        </w:tc>
      </w:tr>
      <w:tr>
        <w:trPr/>
        <w:tblPrEx/>
        <w:tc>
          <w:tcPr>
            <w:tcW w:w="4649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pStyle w:val="832"/>
              <w:jc w:val="center"/>
            </w:pPr>
            <w:r>
              <w:rPr>
                <w:sz w:val="18"/>
                <w:szCs w:val="18"/>
              </w:rPr>
              <w:t xml:space="preserve">(должность)</w:t>
            </w:r>
          </w:p>
        </w:tc>
      </w:tr>
    </w:tbl>
    <w:p>
      <w:pPr>
        <w:pStyle w:val="832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tbl>
      <w:tblPr>
        <w:tblW w:w="0" w:type="auto"/>
        <w:tblInd w:w="606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170"/>
        <w:gridCol w:w="397"/>
        <w:gridCol w:w="255"/>
        <w:gridCol w:w="198"/>
        <w:gridCol w:w="170"/>
        <w:gridCol w:w="1617"/>
        <w:gridCol w:w="397"/>
        <w:gridCol w:w="369"/>
        <w:gridCol w:w="225"/>
        <w:gridCol w:w="172"/>
        <w:gridCol w:w="681"/>
      </w:tblGrid>
      <w:tr>
        <w:trPr/>
        <w:tblPrEx/>
        <w:tc>
          <w:tcPr>
            <w:tcW w:w="1020" w:type="dxa"/>
            <w:gridSpan w:val="4"/>
            <w:tcBorders>
              <w:bottom w:val="single" w:color="000000" w:sz="4" w:space="0"/>
            </w:tcBorders>
            <w:noWrap w:val="false"/>
            <w:textDirection w:val="lrTb"/>
            <w:vAlign w:val="bottom"/>
          </w:tcPr>
          <w:p>
            <w:pPr>
              <w:pStyle w:val="8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0" w:type="dxa"/>
            <w:noWrap w:val="false"/>
            <w:textDirection w:val="lrTb"/>
            <w:vAlign w:val="bottom"/>
          </w:tcPr>
          <w:p>
            <w:pPr>
              <w:pStyle w:val="832"/>
              <w:jc w:val="right"/>
            </w:pPr>
            <w:r>
              <w:t xml:space="preserve">/</w:t>
            </w:r>
          </w:p>
        </w:tc>
        <w:tc>
          <w:tcPr>
            <w:tcW w:w="2608" w:type="dxa"/>
            <w:gridSpan w:val="4"/>
            <w:tcBorders>
              <w:bottom w:val="single" w:color="000000" w:sz="4" w:space="0"/>
            </w:tcBorders>
            <w:noWrap w:val="false"/>
            <w:textDirection w:val="lrTb"/>
            <w:vAlign w:val="bottom"/>
          </w:tcPr>
          <w:p>
            <w:pPr>
              <w:pStyle w:val="832"/>
              <w:jc w:val="center"/>
            </w:pPr>
            <w:r>
              <w:t xml:space="preserve">Н.. Максимова</w:t>
            </w:r>
          </w:p>
        </w:tc>
        <w:tc>
          <w:tcPr>
            <w:tcW w:w="172" w:type="dxa"/>
            <w:noWrap w:val="false"/>
            <w:textDirection w:val="lrTb"/>
            <w:vAlign w:val="bottom"/>
          </w:tcPr>
          <w:p>
            <w:pPr>
              <w:pStyle w:val="832"/>
            </w:pPr>
            <w:r>
              <w:t xml:space="preserve">/</w:t>
            </w:r>
          </w:p>
        </w:tc>
        <w:tc>
          <w:tcPr>
            <w:tcW w:w="681" w:type="dxa"/>
            <w:noWrap w:val="false"/>
            <w:textDirection w:val="lrTb"/>
            <w:vAlign w:val="top"/>
          </w:tcPr>
          <w:p>
            <w:pPr>
              <w:pStyle w:val="8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4651" w:type="dxa"/>
            <w:gridSpan w:val="11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pStyle w:val="832"/>
              <w:jc w:val="center"/>
            </w:pPr>
            <w:r>
              <w:rPr>
                <w:sz w:val="18"/>
                <w:szCs w:val="18"/>
              </w:rPr>
              <w:t xml:space="preserve">(подпись/расшифровка подписи)</w:t>
            </w:r>
          </w:p>
        </w:tc>
      </w:tr>
      <w:tr>
        <w:trPr/>
        <w:tblPrEx/>
        <w:tc>
          <w:tcPr>
            <w:tcW w:w="170" w:type="dxa"/>
            <w:noWrap w:val="false"/>
            <w:textDirection w:val="lrTb"/>
            <w:vAlign w:val="bottom"/>
          </w:tcPr>
          <w:p>
            <w:pPr>
              <w:pStyle w:val="8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97" w:type="dxa"/>
            <w:tcBorders>
              <w:bottom w:val="single" w:color="000000" w:sz="4" w:space="0"/>
            </w:tcBorders>
            <w:noWrap w:val="false"/>
            <w:textDirection w:val="lrTb"/>
            <w:vAlign w:val="bottom"/>
          </w:tcPr>
          <w:p>
            <w:pPr>
              <w:pStyle w:val="8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" w:type="dxa"/>
            <w:noWrap w:val="false"/>
            <w:textDirection w:val="lrTb"/>
            <w:vAlign w:val="bottom"/>
          </w:tcPr>
          <w:p>
            <w:pPr>
              <w:pStyle w:val="8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85" w:type="dxa"/>
            <w:gridSpan w:val="3"/>
            <w:tcBorders>
              <w:bottom w:val="single" w:color="000000" w:sz="4" w:space="0"/>
            </w:tcBorders>
            <w:noWrap w:val="false"/>
            <w:textDirection w:val="lrTb"/>
            <w:vAlign w:val="bottom"/>
          </w:tcPr>
          <w:p>
            <w:pPr>
              <w:pStyle w:val="832"/>
              <w:jc w:val="center"/>
            </w:pPr>
            <w:r>
              <w:t xml:space="preserve">943-061</w:t>
            </w:r>
          </w:p>
        </w:tc>
        <w:tc>
          <w:tcPr>
            <w:tcW w:w="397" w:type="dxa"/>
            <w:noWrap w:val="false"/>
            <w:textDirection w:val="lrTb"/>
            <w:vAlign w:val="bottom"/>
          </w:tcPr>
          <w:p>
            <w:pPr>
              <w:pStyle w:val="83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9" w:type="dxa"/>
            <w:tcBorders>
              <w:bottom w:val="single" w:color="000000" w:sz="4" w:space="0"/>
            </w:tcBorders>
            <w:noWrap w:val="false"/>
            <w:textDirection w:val="lrTb"/>
            <w:vAlign w:val="bottom"/>
          </w:tcPr>
          <w:p>
            <w:pPr>
              <w:pStyle w:val="8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97" w:type="dxa"/>
            <w:gridSpan w:val="2"/>
            <w:noWrap w:val="false"/>
            <w:textDirection w:val="lrTb"/>
            <w:vAlign w:val="bottom"/>
          </w:tcPr>
          <w:p>
            <w:pPr>
              <w:pStyle w:val="832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681" w:type="dxa"/>
            <w:noWrap w:val="false"/>
            <w:textDirection w:val="lrTb"/>
            <w:vAlign w:val="top"/>
          </w:tcPr>
          <w:p>
            <w:pPr>
              <w:pStyle w:val="8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32"/>
      </w:pPr>
    </w:p>
    <w:p>
      <w:pPr>
        <w:pStyle w:val="832"/>
      </w:pPr>
    </w:p>
    <w:p>
      <w:pPr>
        <w:pStyle w:val="832"/>
      </w:pPr>
    </w:p>
    <w:p>
      <w:pPr>
        <w:pStyle w:val="832"/>
      </w:pPr>
    </w:p>
    <w:sectPr>
      <w:footnotePr/>
      <w:endnotePr/>
      <w:type w:val="nextPage"/>
      <w:pgSz w:w="16838" w:h="11906" w:orient="landscape"/>
      <w:pgMar w:top="851" w:right="295" w:bottom="902" w:left="539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Roboto">
    <w:panose1 w:val="02000000000000000000"/>
  </w:font>
  <w:font w:name="Verdana">
    <w:panose1 w:val="020B0604030504040204"/>
  </w:font>
  <w:font w:name="Arimo">
    <w:panose1 w:val="020B0604020202020204"/>
  </w:font>
  <w:font w:name="Courier New">
    <w:panose1 w:val="02070409020205020404"/>
  </w:font>
  <w:font w:name="Tahoma">
    <w:panose1 w:val="020B0604030504040204"/>
  </w:font>
  <w:font w:name="Lucida Sans">
    <w:panose1 w:val="020B0502040504020204"/>
  </w:font>
  <w:font w:name="Liberation Sans">
    <w:panose1 w:val="020B0604020202020204"/>
  </w:font>
  <w:font w:name="Microsoft YaHei">
    <w:panose1 w:val="020B0503020203020204"/>
  </w:font>
  <w:font w:name="Times New Roman">
    <w:panose1 w:val="02020603050405020304"/>
  </w:font>
  <w:font w:name="Calibri">
    <w:panose1 w:val="020F05020202040302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4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ind w:left="720"/>
      <w:contextualSpacing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683">
    <w:name w:val="Header Char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685">
    <w:name w:val="Footer Char"/>
    <w:link w:val="684"/>
    <w:uiPriority w:val="99"/>
  </w:style>
  <w:style w:type="paragraph" w:styleId="686">
    <w:name w:val="Caption"/>
    <w:basedOn w:val="832"/>
    <w:next w:val="832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5d8dc2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9bba59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72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4f81bd" w:themeFill="accent1"/>
      </w:tcPr>
    </w:tblStylePr>
  </w:style>
  <w:style w:type="table" w:styleId="72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c0504d" w:themeFill="accent2"/>
      </w:tcPr>
    </w:tblStylePr>
  </w:style>
  <w:style w:type="table" w:styleId="72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9bbb59" w:themeFill="accent3"/>
      </w:tcPr>
    </w:tblStylePr>
  </w:style>
  <w:style w:type="table" w:styleId="72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8064a2" w:themeFill="accent4"/>
      </w:tcPr>
    </w:tblStylePr>
  </w:style>
  <w:style w:type="table" w:styleId="72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bacc6" w:themeFill="accent5"/>
      </w:tcPr>
    </w:tblStylePr>
  </w:style>
  <w:style w:type="table" w:styleId="72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f79646" w:themeFill="accent6"/>
      </w:tcPr>
    </w:tblStylePr>
  </w:style>
  <w:style w:type="table" w:styleId="73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3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3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  <w:shd w:val="clear" w:color="ffffff"/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4f81bd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f81bd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d99694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3d69b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b2a1c6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1cddc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f9bf90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spacing w:after="57"/>
      <w:ind w:left="0" w:right="0" w:firstLine="0"/>
    </w:pPr>
  </w:style>
  <w:style w:type="paragraph" w:styleId="822">
    <w:name w:val="toc 2"/>
    <w:basedOn w:val="832"/>
    <w:next w:val="832"/>
    <w:uiPriority w:val="39"/>
    <w:unhideWhenUsed/>
    <w:pPr>
      <w:spacing w:after="57"/>
      <w:ind w:left="283" w:right="0" w:firstLine="0"/>
    </w:pPr>
  </w:style>
  <w:style w:type="paragraph" w:styleId="823">
    <w:name w:val="toc 3"/>
    <w:basedOn w:val="832"/>
    <w:next w:val="832"/>
    <w:uiPriority w:val="39"/>
    <w:unhideWhenUsed/>
    <w:pPr>
      <w:spacing w:after="57"/>
      <w:ind w:left="567" w:right="0" w:firstLine="0"/>
    </w:pPr>
  </w:style>
  <w:style w:type="paragraph" w:styleId="824">
    <w:name w:val="toc 4"/>
    <w:basedOn w:val="832"/>
    <w:next w:val="832"/>
    <w:uiPriority w:val="39"/>
    <w:unhideWhenUsed/>
    <w:pPr>
      <w:spacing w:after="57"/>
      <w:ind w:left="850" w:right="0" w:firstLine="0"/>
    </w:pPr>
  </w:style>
  <w:style w:type="paragraph" w:styleId="825">
    <w:name w:val="toc 5"/>
    <w:basedOn w:val="832"/>
    <w:next w:val="832"/>
    <w:uiPriority w:val="39"/>
    <w:unhideWhenUsed/>
    <w:pPr>
      <w:spacing w:after="57"/>
      <w:ind w:left="1134" w:right="0" w:firstLine="0"/>
    </w:pPr>
  </w:style>
  <w:style w:type="paragraph" w:styleId="826">
    <w:name w:val="toc 6"/>
    <w:basedOn w:val="832"/>
    <w:next w:val="832"/>
    <w:uiPriority w:val="39"/>
    <w:unhideWhenUsed/>
    <w:pPr>
      <w:spacing w:after="57"/>
      <w:ind w:left="1417" w:right="0" w:firstLine="0"/>
    </w:pPr>
  </w:style>
  <w:style w:type="paragraph" w:styleId="827">
    <w:name w:val="toc 7"/>
    <w:basedOn w:val="832"/>
    <w:next w:val="832"/>
    <w:uiPriority w:val="39"/>
    <w:unhideWhenUsed/>
    <w:pPr>
      <w:spacing w:after="57"/>
      <w:ind w:left="1701" w:right="0" w:firstLine="0"/>
    </w:pPr>
  </w:style>
  <w:style w:type="paragraph" w:styleId="828">
    <w:name w:val="toc 8"/>
    <w:basedOn w:val="832"/>
    <w:next w:val="832"/>
    <w:uiPriority w:val="39"/>
    <w:unhideWhenUsed/>
    <w:pPr>
      <w:spacing w:after="57"/>
      <w:ind w:left="1984" w:right="0" w:firstLine="0"/>
    </w:pPr>
  </w:style>
  <w:style w:type="paragraph" w:styleId="829">
    <w:name w:val="toc 9"/>
    <w:basedOn w:val="832"/>
    <w:next w:val="832"/>
    <w:uiPriority w:val="39"/>
    <w:unhideWhenUsed/>
    <w:pPr>
      <w:spacing w:after="57"/>
      <w:ind w:left="2268" w:right="0" w:firstLine="0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next w:val="832"/>
    <w:link w:val="832"/>
    <w:qFormat/>
    <w:rPr>
      <w:lang w:val="ru-RU" w:eastAsia="zh-CN" w:bidi="ar-SA"/>
    </w:rPr>
  </w:style>
  <w:style w:type="paragraph" w:styleId="833">
    <w:name w:val="Заголовок 1"/>
    <w:basedOn w:val="832"/>
    <w:next w:val="833"/>
    <w:link w:val="855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  <w:lang w:eastAsia="ru-RU"/>
    </w:rPr>
  </w:style>
  <w:style w:type="character" w:styleId="834">
    <w:name w:val="Основной шрифт абзаца"/>
    <w:next w:val="834"/>
    <w:link w:val="832"/>
    <w:uiPriority w:val="1"/>
    <w:semiHidden/>
    <w:unhideWhenUsed/>
  </w:style>
  <w:style w:type="table" w:styleId="835">
    <w:name w:val="Обычная таблица"/>
    <w:next w:val="835"/>
    <w:link w:val="832"/>
    <w:uiPriority w:val="99"/>
    <w:semiHidden/>
    <w:unhideWhenUsed/>
    <w:tblPr/>
  </w:style>
  <w:style w:type="numbering" w:styleId="836">
    <w:name w:val="Нет списка"/>
    <w:next w:val="836"/>
    <w:link w:val="832"/>
    <w:uiPriority w:val="99"/>
    <w:semiHidden/>
    <w:unhideWhenUsed/>
  </w:style>
  <w:style w:type="character" w:styleId="837">
    <w:name w:val="Основной шрифт абзаца1"/>
    <w:next w:val="837"/>
    <w:link w:val="832"/>
  </w:style>
  <w:style w:type="character" w:styleId="838">
    <w:name w:val="ConsNormal Знак"/>
    <w:next w:val="838"/>
    <w:link w:val="832"/>
    <w:rPr>
      <w:rFonts w:ascii="Arial" w:hAnsi="Arial" w:eastAsia="Calibri" w:cs="Arial"/>
      <w:sz w:val="22"/>
      <w:szCs w:val="22"/>
      <w:lang w:val="ru-RU" w:bidi="ar-SA"/>
    </w:rPr>
  </w:style>
  <w:style w:type="character" w:styleId="839">
    <w:name w:val="i-text-lowcase"/>
    <w:next w:val="839"/>
    <w:link w:val="832"/>
    <w:rPr>
      <w:rFonts w:cs="Times New Roman"/>
    </w:rPr>
  </w:style>
  <w:style w:type="paragraph" w:styleId="840">
    <w:name w:val="Заголовок1"/>
    <w:basedOn w:val="832"/>
    <w:next w:val="841"/>
    <w:link w:val="832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841">
    <w:name w:val="Основной текст"/>
    <w:basedOn w:val="832"/>
    <w:next w:val="841"/>
    <w:link w:val="832"/>
    <w:pPr>
      <w:spacing w:before="0" w:after="140" w:line="276" w:lineRule="auto"/>
    </w:pPr>
  </w:style>
  <w:style w:type="paragraph" w:styleId="842">
    <w:name w:val="Список"/>
    <w:basedOn w:val="841"/>
    <w:next w:val="842"/>
    <w:link w:val="832"/>
    <w:rPr>
      <w:rFonts w:cs="Lucida Sans"/>
    </w:rPr>
  </w:style>
  <w:style w:type="paragraph" w:styleId="843">
    <w:name w:val="Название объекта"/>
    <w:basedOn w:val="832"/>
    <w:next w:val="843"/>
    <w:link w:val="832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844">
    <w:name w:val="Указатель1"/>
    <w:basedOn w:val="832"/>
    <w:next w:val="844"/>
    <w:link w:val="832"/>
    <w:pPr>
      <w:suppressLineNumbers/>
    </w:pPr>
    <w:rPr>
      <w:rFonts w:cs="Lucida Sans"/>
    </w:rPr>
  </w:style>
  <w:style w:type="paragraph" w:styleId="845">
    <w:name w:val="LO-Normal"/>
    <w:next w:val="845"/>
    <w:link w:val="832"/>
    <w:rPr>
      <w:sz w:val="24"/>
      <w:lang w:val="ru-RU" w:eastAsia="zh-CN" w:bidi="ar-SA"/>
    </w:rPr>
  </w:style>
  <w:style w:type="paragraph" w:styleId="846">
    <w:name w:val="Текст выноски"/>
    <w:basedOn w:val="832"/>
    <w:next w:val="846"/>
    <w:link w:val="832"/>
    <w:rPr>
      <w:rFonts w:ascii="Tahoma" w:hAnsi="Tahoma" w:cs="Tahoma"/>
      <w:sz w:val="16"/>
      <w:szCs w:val="16"/>
    </w:rPr>
  </w:style>
  <w:style w:type="paragraph" w:styleId="847">
    <w:name w:val="ConsNormal"/>
    <w:next w:val="847"/>
    <w:link w:val="832"/>
    <w:pPr>
      <w:ind w:right="19772" w:firstLine="720"/>
    </w:pPr>
    <w:rPr>
      <w:rFonts w:ascii="Arial" w:hAnsi="Arial" w:eastAsia="Calibri" w:cs="Arial"/>
      <w:sz w:val="22"/>
      <w:szCs w:val="22"/>
      <w:lang w:val="ru-RU" w:eastAsia="zh-CN" w:bidi="ar-SA"/>
    </w:rPr>
  </w:style>
  <w:style w:type="paragraph" w:styleId="848">
    <w:name w:val="ConsNonformat"/>
    <w:next w:val="848"/>
    <w:link w:val="832"/>
    <w:pPr>
      <w:ind w:right="19772"/>
    </w:pPr>
    <w:rPr>
      <w:rFonts w:ascii="Courier New" w:hAnsi="Courier New" w:cs="Courier New"/>
      <w:lang w:val="ru-RU" w:eastAsia="zh-CN" w:bidi="ar-SA"/>
    </w:rPr>
  </w:style>
  <w:style w:type="paragraph" w:styleId="849">
    <w:name w:val=" Знак Знак Знак Знак"/>
    <w:basedOn w:val="832"/>
    <w:next w:val="849"/>
    <w:link w:val="832"/>
    <w:rPr>
      <w:rFonts w:ascii="Verdana" w:hAnsi="Verdana" w:cs="Verdana"/>
      <w:lang w:val="en-US"/>
    </w:rPr>
  </w:style>
  <w:style w:type="paragraph" w:styleId="850">
    <w:name w:val="Содержимое таблицы"/>
    <w:basedOn w:val="832"/>
    <w:next w:val="850"/>
    <w:link w:val="832"/>
    <w:pPr>
      <w:suppressLineNumbers/>
    </w:pPr>
  </w:style>
  <w:style w:type="paragraph" w:styleId="851">
    <w:name w:val="Заголовок таблицы"/>
    <w:basedOn w:val="850"/>
    <w:next w:val="851"/>
    <w:link w:val="832"/>
    <w:pPr>
      <w:suppressLineNumbers/>
      <w:jc w:val="center"/>
    </w:pPr>
    <w:rPr>
      <w:b/>
      <w:bCs/>
    </w:rPr>
  </w:style>
  <w:style w:type="table" w:styleId="852">
    <w:name w:val="Сетка таблицы1"/>
    <w:basedOn w:val="835"/>
    <w:next w:val="853"/>
    <w:link w:val="832"/>
    <w:uiPriority w:val="59"/>
    <w:rPr>
      <w:rFonts w:ascii="Calibri" w:hAnsi="Calibri" w:cs="Times New Roman"/>
      <w:sz w:val="22"/>
      <w:szCs w:val="22"/>
    </w:rPr>
    <w:tblPr/>
  </w:style>
  <w:style w:type="table" w:styleId="853">
    <w:name w:val="Сетка таблицы"/>
    <w:basedOn w:val="835"/>
    <w:next w:val="853"/>
    <w:link w:val="832"/>
    <w:uiPriority w:val="39"/>
    <w:tblPr/>
  </w:style>
  <w:style w:type="paragraph" w:styleId="854">
    <w:name w:val="Абзац списка"/>
    <w:basedOn w:val="832"/>
    <w:next w:val="854"/>
    <w:link w:val="832"/>
    <w:uiPriority w:val="34"/>
    <w:qFormat/>
    <w:pPr>
      <w:ind w:left="720"/>
    </w:pPr>
    <w:rPr>
      <w:sz w:val="24"/>
      <w:szCs w:val="24"/>
      <w:lang w:eastAsia="ar-SA"/>
    </w:rPr>
  </w:style>
  <w:style w:type="character" w:styleId="855">
    <w:name w:val="Заголовок 1 Знак"/>
    <w:next w:val="855"/>
    <w:link w:val="833"/>
    <w:uiPriority w:val="9"/>
    <w:rPr>
      <w:b/>
      <w:bCs/>
      <w:sz w:val="48"/>
      <w:szCs w:val="48"/>
    </w:rPr>
  </w:style>
  <w:style w:type="character" w:styleId="856" w:default="1">
    <w:name w:val="Default Paragraph Font"/>
    <w:uiPriority w:val="1"/>
    <w:semiHidden/>
    <w:unhideWhenUsed/>
  </w:style>
  <w:style w:type="numbering" w:styleId="857" w:default="1">
    <w:name w:val="No List"/>
    <w:uiPriority w:val="99"/>
    <w:semiHidden/>
    <w:unhideWhenUsed/>
  </w:style>
  <w:style w:type="table" w:styleId="85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Начальная (максимальная) цена государственного контракта,</dc:title>
  <dc:creator>NickOn</dc:creator>
  <cp:revision>35</cp:revision>
  <dcterms:created xsi:type="dcterms:W3CDTF">1995-11-21T14:41:00Z</dcterms:created>
  <dcterms:modified xsi:type="dcterms:W3CDTF">2026-08-06T12:16:34Z</dcterms:modified>
  <cp:version>983040</cp:version>
</cp:coreProperties>
</file>