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jc w:val="right"/>
        <w:keepNext/>
        <w:spacing w:before="0" w:beforeAutospacing="0" w:after="0" w:afterAutospacing="0" w:line="240" w:lineRule="auto"/>
        <w:tabs>
          <w:tab w:val="left" w:pos="5591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Проект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center"/>
        <w:keepNext/>
        <w:spacing w:before="0" w:beforeAutospacing="0" w:after="0" w:afterAutospacing="0" w:line="240" w:lineRule="auto"/>
        <w:tabs>
          <w:tab w:val="left" w:pos="5591" w:leader="none"/>
        </w:tabs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Контракт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№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48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contextualSpacing w:val="0"/>
        <w:jc w:val="center"/>
        <w:keepNext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tbl>
      <w:tblPr>
        <w:tblStyle w:val="9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04"/>
        <w:gridCol w:w="8641"/>
      </w:tblGrid>
      <w:tr>
        <w:tblPrEx/>
        <w:trPr>
          <w:trHeight w:val="244"/>
        </w:trPr>
        <w:tc>
          <w:tcPr>
            <w:tcW w:w="704" w:type="dxa"/>
            <w:textDirection w:val="lrTb"/>
            <w:noWrap w:val="false"/>
          </w:tcPr>
          <w:p>
            <w:pPr>
              <w:contextualSpacing w:val="0"/>
              <w:keepNext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ar-SA"/>
              </w:rPr>
              <w:t xml:space="preserve">ИКЗ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8641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261532110069453210100100310000000000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contextualSpacing w:val="0"/>
              <w:keepNext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ar-SA"/>
              </w:rPr>
              <w:t xml:space="preserve">КБК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8641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32104125440190020244 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</w:tbl>
    <w:p>
      <w:pPr>
        <w:contextualSpacing w:val="0"/>
        <w:keepNext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-142" w:firstLine="0"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г.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Великий Новгород                   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                                             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    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  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«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u w:val="single"/>
          <w:lang w:eastAsia="ru-RU"/>
        </w:rPr>
        <w:t xml:space="preserve">       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»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u w:val="single"/>
          <w:lang w:eastAsia="ru-RU"/>
        </w:rPr>
        <w:t xml:space="preserve">     ___      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202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6 г.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Cs/>
          <w:color w:val="000000" w:themeColor="text1"/>
          <w:sz w:val="24"/>
          <w:szCs w:val="24"/>
          <w:highlight w:val="white"/>
        </w:rPr>
        <w:outlineLvl w:val="0"/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Управление Федеральной службы государственной регистрации, кадастра и картографии по Новгородской области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(далее - Управление), именуемое в дальнейшем «Заказчик», в лице заместителя руководителя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Смирновой Ольги Олеговны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, действующей на основании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доверенности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Управления Федеральной службы государственной ре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гистрации, кадастра и картограф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ии по Новгородской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области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№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016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-Д от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17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.0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.202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4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, с одной стороны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_________________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, 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имен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уемый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в дальнейшем «Пост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авщик»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, с другой стороны (далее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- Стороны), в соответствии с п.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4 ч.1 ст.93 Федер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ального закона от 05.04.2013  №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(далее – Закон № 44-ФЗ)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и иного законод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ательства Российской Федерации,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val="en-US" w:eastAsia="ru-RU"/>
        </w:rPr>
        <w:t xml:space="preserve">c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учетом итогов закупочной сессии №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___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(статус закупки: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состоялась/не состоялась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), проведенной на ЕАТ «Берёзка»,  заключили настоящий контракт о нижеследующем:</w:t>
      </w:r>
      <w:r>
        <w:rPr>
          <w:rFonts w:ascii="Tinos" w:hAnsi="Tinos" w:cs="Tinos"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Cs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ar-SA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center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1. Предмет контракта</w:t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</w:p>
    <w:p>
      <w:pPr>
        <w:contextualSpacing/>
        <w:ind w:left="0" w:right="0" w:firstLine="709"/>
        <w:jc w:val="both"/>
        <w:spacing w:after="0" w:line="240" w:lineRule="auto"/>
        <w:rPr>
          <w:rFonts w:ascii="Tinos" w:hAnsi="Tinos" w:cs="Tinos"/>
          <w:b/>
          <w:bCs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1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.1. В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соответствии с настоящим контрактом Поставщик обязуется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поставить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val="ru-RU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iCs w:val="0"/>
          <w:color w:val="auto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план эвакуации для пожарной безопасности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,</w:t>
      </w: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в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соответствии с приложением № 1 к контракту (далее – товар), а Заказчик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принять и оплатить тов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ар в соответствии с настоящим контрактом.</w:t>
      </w:r>
      <w:r>
        <w:rPr>
          <w:rFonts w:ascii="Tinos" w:hAnsi="Tinos" w:cs="Tinos"/>
          <w:b/>
          <w:bCs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  <w14:ligatures w14:val="none"/>
        </w:rPr>
      </w:r>
    </w:p>
    <w:p>
      <w:pPr>
        <w:contextualSpacing/>
        <w:ind w:left="0" w:right="0" w:firstLine="709"/>
        <w:jc w:val="both"/>
        <w:spacing w:after="0" w:line="240" w:lineRule="auto"/>
        <w:rPr>
          <w:rFonts w:ascii="Tinos" w:hAnsi="Tinos" w:cs="Tinos"/>
          <w:b w:val="0"/>
          <w:bCs w:val="0"/>
          <w:sz w:val="24"/>
          <w:szCs w:val="24"/>
          <w14:ligatures w14:val="none"/>
        </w:rPr>
      </w:pP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lang w:eastAsia="ru-RU"/>
          <w14:ligatures w14:val="none"/>
        </w:rPr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lang w:eastAsia="ru-RU"/>
          <w14:ligatures w14:val="none"/>
        </w:rPr>
        <w:t xml:space="preserve">1.2. Номенклатура Товаров и их количество определяются Спецификацией (Приложение №1 к Контракту).</w:t>
      </w:r>
      <w:r>
        <w:rPr>
          <w:rFonts w:ascii="Tinos" w:hAnsi="Tinos" w:cs="Tinos"/>
          <w:b w:val="0"/>
          <w:bCs w:val="0"/>
          <w:sz w:val="24"/>
          <w:szCs w:val="24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14:ligatures w14:val="none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1.2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.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Сроки поставк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и: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в течение 10 (десяти) календарных дней с даты заключения  контракта. Периодичность поставки – разовая.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2. Сумма контракта и порядок расчетов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2.1.  Сумма настоящего контракта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составляет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__________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руб.,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включая НДС/НДС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не облагается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С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2.2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Оплата производится за счет средств федерального бюджета, безналичным путем, путем перечисления денежных средств на расчет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ный счет Поставщика в течение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7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 (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семи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)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рабочих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 дней после представления платёжных документов и подписания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кта приема-передачи това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ра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white"/>
          <w:lang w:eastAsia="ru-RU"/>
        </w:rPr>
        <w:t xml:space="preserve"> (Приложение №2 к контракту)</w:t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В с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лучаях, предусмотренных п.6 ст.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161 Бюджетного кодекса Российской Федерации, оплата товара, поставленного Поставщиком, осуществляется Заказчиком в порядке, установленном пунктом 2.2 контракта, после доведения до него согласованных лимито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в бюджетных ассигнований на 202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6 год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Доставка платёжных документов (счет,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счёта-фактуры,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товарной накладной, акт приема-передачи товара) осуществляется в электрон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ном виде, все представленные документы должны быть подписаны ЭЦП. В случае обмена электронными платёжными документами, такие документы признаются официальными, имеющими юридическую силу и без последующего представления бумажных оригиналов этих документов.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При отсутствии технической возможности платежные документы доставляются   Поставщиком своими силами за свой счёт по юридическому адресу Заказчика. 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Платёжные документы, представленные по факсу, копии (сканы) платёжных документов, платёжные документы, представленные в электронном виде без ЭЦП, к оплате не принимаются и считаются непредставленными.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Платёжные документы, оформленные не в соответствии с действующим законодательством и(или) заключенным между Поставщиком и Заказчиком контрактом, считаются непредставленными.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Сроки доставки платёжных документов: одновременно с поставкой или не позднее следующего рабочего дня после поставки. В случае, если Поставщик несвоевременно представит платёжные документы, Заказчик не несёт ответственности за своевременную оплату счетов.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2.3. В стоимость това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ра по настоящему контракту входят расходы по налогам, сборам, другим обязательным платежам, страхования, уплата таможенных пошлин, а также стоимость доставки, разгрузки на склад Заказчика, тары, упаковки, маркировки и прочие расходы, связанные с поставкой.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предусмотренных настоящим контрактом (п.8.2.) и законодательством.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2.5. В случае неисполнения или ненадлежащего исполнения Поставщиком обязательства, предусмотренного контрактом, Заказчик вправе осуществить взыскание неустойки (штрафа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, пени) в бесспорном порядке без согласия Поставщика путем удержания суммы неустойки (штрафа, пени), начисленной в соответствии с разделом 5 настоящего Контракта, при окончательном расчете с Поставщиком.  При этом оплата осуществляется на основании счета,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счёт-фактуры,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товарной накладной и подписанного сторонами </w:t>
      </w: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акта приемки-передачи товара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(Приложение № 2),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неустойки; итоговая сумма, подлежащая оплате.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2.6. Обязательства Заказчика по оплате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поставленного товара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прекращаются зачетом суммы неустойки (штрафа, пени), начисленной Заказчиком в соответствии с разделом 5 контракта.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2.7.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Банковское сопровождение контракта, предусмотренное ст.35 Закона № 44-ФЗ, к настоящему контракту не применяется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ar-SA"/>
        </w:rPr>
        <w:t xml:space="preserve">3. Права и обязанности сторон</w:t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b/>
          <w:color w:val="000000" w:themeColor="text1"/>
          <w:spacing w:val="6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pacing w:val="6"/>
          <w:sz w:val="24"/>
          <w:szCs w:val="24"/>
          <w:highlight w:val="white"/>
          <w:lang w:eastAsia="ru-RU"/>
        </w:rPr>
        <w:t xml:space="preserve">3.1. Поставщик обязан:</w:t>
      </w:r>
      <w:r>
        <w:rPr>
          <w:rFonts w:ascii="Tinos" w:hAnsi="Tinos" w:cs="Tinos"/>
          <w:b/>
          <w:color w:val="000000" w:themeColor="text1"/>
          <w:spacing w:val="6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pacing w:val="6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3.1.1. Поставить товар в соответствии с условиями контракта.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3.1.2. Предупредить Заказчика при обнаружении возможных неблагоприятных последствий, которые могут возникнуть в результате поставки товара.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3.1.3.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3.1.4. Об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еспечить соответствие товара техническим условиям при его использовании и хранении и несет все расходы по замене дефектного товара, выявленного Заказчиком в течение гарантийного срока, если дефект не зависит от условий хранения или неправильного обращения.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3.1.5. Производить замену дефектного товара или товара, не соответствующего контракту, в течение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10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(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десяти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)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календарных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дней с момента получения письменного обращения Заказчика.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3.1.6. Произвести погрузо-разгрузочные работы и транспортировку замены товара за счет собственных средств.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3.1.7. Предупредить Заказчика при обнаружении возможных неблагоприятных последствий, которые могут возникнуть в результате исполнения контракта.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3.1.8.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соответствовать единым требованиям, установленным Заказчиком в соответствии со ст. 31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tabs>
          <w:tab w:val="left" w:pos="432" w:leader="none"/>
          <w:tab w:val="left" w:pos="1080" w:leader="none"/>
        </w:tabs>
        <w:rPr>
          <w:rFonts w:ascii="Tinos" w:hAnsi="Tinos" w:cs="Tinos"/>
          <w:b/>
          <w:color w:val="000000" w:themeColor="text1"/>
          <w:spacing w:val="6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pacing w:val="6"/>
          <w:sz w:val="24"/>
          <w:szCs w:val="24"/>
          <w:highlight w:val="white"/>
          <w:lang w:eastAsia="ru-RU"/>
        </w:rPr>
        <w:t xml:space="preserve">3.2. Заказчик обязан:</w:t>
      </w:r>
      <w:r>
        <w:rPr>
          <w:rFonts w:ascii="Tinos" w:hAnsi="Tinos" w:cs="Tinos"/>
          <w:b/>
          <w:color w:val="000000" w:themeColor="text1"/>
          <w:spacing w:val="6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pacing w:val="6"/>
          <w:sz w:val="24"/>
          <w:szCs w:val="24"/>
          <w:highlight w:val="white"/>
        </w:rPr>
      </w:r>
    </w:p>
    <w:p>
      <w:pPr>
        <w:contextualSpacing w:val="0"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pacing w:val="6"/>
          <w:sz w:val="24"/>
          <w:szCs w:val="24"/>
          <w:highlight w:val="white"/>
          <w:lang w:eastAsia="ru-RU"/>
        </w:rPr>
        <w:t xml:space="preserve">3.2.1. П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ринять и оплатить поставленный товар в соответствии с условиями настоящего контракта;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3.2.2. выполнять свои обязательства, предусмотренные иными положениями Контракта.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3.2.3. Письменно в течение 3 (трех) рабочих дней после поставки товара известить Поставщика в случае обнаружения повреждения, заводского брака, некомплектности поставленного товара или несоответствия товара требованиям, установленными Заказчиком.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  <w:t xml:space="preserve">3.3. Поставщик вправе: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3.3.1. требовать от Заказчика предоставления имеющейся у него информации, необходимой для исполнения обязательств по Контракту;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3.3.2. требовать от Заказчика своевременной оплаты поставленного Товара в порядке и на условиях, предусмотренных Контрактом;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b/>
          <w:color w:val="000000" w:themeColor="text1"/>
          <w:spacing w:val="6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pacing w:val="6"/>
          <w:sz w:val="24"/>
          <w:szCs w:val="24"/>
          <w:highlight w:val="white"/>
          <w:lang w:eastAsia="ru-RU"/>
        </w:rPr>
        <w:t xml:space="preserve">3.4. Заказчик вправе:</w:t>
      </w:r>
      <w:r>
        <w:rPr>
          <w:rFonts w:ascii="Tinos" w:hAnsi="Tinos" w:cs="Tinos"/>
          <w:b/>
          <w:color w:val="000000" w:themeColor="text1"/>
          <w:spacing w:val="6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pacing w:val="6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3.4.1. Запрашивать у Поставщика информацию о ходе исполнения настоящего контракта;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3.4.2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.  В любое разумное время проверить качество товара и в случае обнаружения существенных отступлений, предъявить Поставщику письменную претензию. В случае ее признания Поставщик обязан в сроки, согласованные с Заказчиком, за свой счет устранить недостатки. 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3.4.3. требовать от Поставщика надлежащего исполнения обязательств, предусмотренных Контрактом;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3.4.4. запрашивать у Поставщика информацию об исполнении им обязательств по Контракту;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3.4.5. осуществлять контроль соответствия качества поставляемого Товара, сроков поставки Товара требованиям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3.4.6. отказаться от приемки некачественного Товара и ненадлежащим образом оказанных Услуг и потребовать безвозмездного устранения недостатков;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3.4.7. привлекать экспертов для проверки соответствия исполнения Поставщиком обязательств по Контракту требованиям, установленным Контрактом.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3.5. Стороны не вправе передавать свои права и обязательства по настоящему контракту третьей стороне.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0"/>
        <w:jc w:val="center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ar-SA"/>
        </w:rPr>
        <w:t xml:space="preserve">4. Порядок приема-передачи товара</w:t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4.1. Поставка товара производится в соответствии со спецификацией (приложение № 1 к настоящему контракту).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Поставка и разгрузка товара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производится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за счет и силами Поставщика по адресу: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г. Великий Новгород, ул. Октябрьская, д.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17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, в срок,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указанный в п.1.2 настоящего контракта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4.2. Товар должен быть поставлен в неповрежденной упаковке, обеспечивающей сохранность от внешних воздействующих факторов (в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т.ч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. климатических, механических) при транспортировании, хранении и погрузочно-разгрузочных работах, от всякого рода повреждений, утраты товарного вида при перевозке любым транспортом с учетом возможных перегрузок и длительного хранения.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4.3. Поставка, приёмка и оценка качества товара осуществляется в полном соответствии со стандартами качества и техническими условиями, применяемыми к данному виду товара.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законодательством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4.4.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Приёмка товара осуществляется представителями Заказчика и Поставщика на основании товарной накладной.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Со стороны Заказчика состав приёмочной комиссии утверждается приказом Заказчика.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Поставщик обяз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уется обеспечить присутствие при проведении приёмки товара своего представителя. Отсутствие такого представителя, не известившего Заказчика о своём намерении участвовать в работе приёмочной комиссии, не является препятствием к проведению процедуры приёмки.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4.5. В случае обнаружения недостатков (дефектов, повреждений и иных несоответствий) поставленного товара, составляется двухсторонний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акт либо, в случае отсутствия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Поставщика или его представителя, акт со стороны Заказчика, который является основанием для устранения выявленных недостатков. Такое устранение производится Поставщиком в соответствии с п.3.1.5 настоящего контракта.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Указанный срок учитывается при определении продолжительности просрочки исполнения обязательств, предусмотренных контрактом.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4.6.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В случае обнаружения недостатков только части поставленного товара Заказчик имеет право принять исполнение обязательств по настоящему контракту частично.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4.7. По результатам приёмки Заказчик в течение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10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(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десяти) рабочих дней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с момента представления документов, указанных в п.2.2 контракта, подписывает представленную Поставщиком товарную накладную или направляет ему официальное письмо, содержащее мотивированный отказ от подписания названных документов.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Поставщик обязан рассмотреть мотивированный отказ Заказчика в течение 2 (двух) рабочих дней с момента его получения.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При согласии с доводами, изложенными в мотивированном отказе Заказчика от подписания товарной накладной, Поставщик устраняет обнаруженные недостатки в течение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10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(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десяти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)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календарных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дней с момента получения мотивированного отказа, и повторно сообщает Заказчику о готовности к поставке.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Повторная приёмка производится по правилам, установленным настоящим разделом. При этом превышение Поставщиком сроков исполнения контракта учитывается при определении размера неустойки.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При несогласии с доводами, изложенными в мотивированном отказе Заказчика от подписания товарной накладной, Поставщик направляет в адрес Заказчика официальное письмо с опровержениями доводов, изложенных в отказе.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До момента подписания Сторонами товарной накладной риск случайной гибели или повреждения товара лежит на Поставщике.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numPr>
          <w:ilvl w:val="1"/>
          <w:numId w:val="2"/>
        </w:numPr>
        <w:contextualSpacing w:val="0"/>
        <w:ind w:firstLine="720"/>
        <w:jc w:val="both"/>
        <w:spacing w:before="0" w:beforeAutospacing="0" w:after="0" w:afterAutospacing="0" w:line="240" w:lineRule="auto"/>
        <w:tabs>
          <w:tab w:val="num" w:pos="720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4.8. Датой поставки товара считается дата подписания Заказчиком (или е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го представителями)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акта приема-передачи товара (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риложение №2 к настоящему контракту). При этом, если товар принят Заказчиком без замечаний, то срок с даты доставки товара Заказчику до даты подписания Заказчиком акта приема-передачи не входит в срок просрочки поставки товара.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72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Некачественный (некомплектный) товар считается не поставленным.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          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4.9. Для проверки предоставленных Поставщиком результатов, предусмотрен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Такая экспертиза проводится в рамках процедуры приёмки поставленного товара.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4.10 Выбор эксперта (экспертной организации) осуществляется Заказчиком без согласования с Поставщиком.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4.11. Срок проведения экспертизы не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4.12. Поставщик имеет право присутствовать при проводимых в ходе экспертизы осмотрах поставленного товара или иных аналогичных исследованиях.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4.13. Поставщик, если возникнет такая необходимость, обязан в кратчайшие сроки предоставлять эксперту (экспертной организации), с которой Заказчиком заключен дог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овор на проведение экспертизы,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дополнительные материалы, относящиеся к условиям контракта и отдельным этапам исполнения контракта.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4.14. После завершения экспертизы Заказчик направляет Поставщику копию экспертного заключения.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4.15. При получении к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опии экспертного заключения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Поставщик принимает одно из решений, описанных в пункте 4.7. контракта.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4.16. В случае выявления экспертом недостатков, несоответствия поставленного товара требованиям технического задания Поставщик возмещает Заказчику стоимость произведенной экспертизы и устраняет недостатки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left"/>
        <w:spacing w:before="0" w:beforeAutospacing="0" w:after="0" w:afterAutospacing="0" w:line="240" w:lineRule="auto"/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white"/>
        </w:rPr>
        <w:t xml:space="preserve">4.17. Гарантийный срок на поставляемые товары с даты подписания акта сдачи-приемки оказанных услуг составляет не менее 12 (двенадцати) месяцев. </w:t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center"/>
        <w:spacing w:before="0" w:beforeAutospacing="0" w:after="0" w:afterAutospacing="0" w:line="240" w:lineRule="auto"/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pacing w:val="-8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ar-SA"/>
        </w:rPr>
        <w:t xml:space="preserve">5. Ответственность сторон</w:t>
      </w:r>
      <w:r>
        <w:rPr>
          <w:rFonts w:ascii="Tinos" w:hAnsi="Tinos" w:cs="Tinos"/>
          <w:color w:val="000000" w:themeColor="text1"/>
          <w:spacing w:val="-8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-8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льств, предусмотренных контрактом (за исключением просрочки исполнения обязательств заказчиком, поставщиком и размера пени, начисляемой за каждый день просрочки исполнения поставщиком обязательства, предусмотренного контрактом, утвержденными постановлением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 Правительства Российской Федерации от 30 августа 2017 г. N 1042 (далее - Правила определения размера штрафа).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фов, пеней) и направить Заказчику требование об уплате неустоек (штрафов, пеней).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.5.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.6. В случае нарушения Поставщиком срока представления документов, предусмотренного пунктом 9.3 Контракта, Заказчик не несет ответственность, установленную пунктами 11.3 - 11.5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.8.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к направляет Поставщику требование об уплате неустоек (штрафов, пеней).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.9.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ой на сумму, пропорциональную объему обязательств, предусмотренных Контрактом и фактически исполненных Поставщиком.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т Заказчику штраф в размере: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а) 10 процентов цены Контракта (этапа) в случае, если цена Контракта (этапа) не превышает 3 млн. рублей;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г) 0,5 процента цены Контракта (этапа) в случае, если цена Контракта (этапа) составляет от 100 млн. рублей до 500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и) 0,1 процента цены Контракта (этапа) в случае, если цена Контракта (этапа) превышает 10 млрд. рублей.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.11.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 контрактной системе), предл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а) в случае, если цена контракта не превышает начальную (максимальную) цену контракта: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10 процентов начальной (максимальной) цены контракта, если цена контракта не превышает 3 млн. рублей;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б) в случае, если цена контракта превышает начальную (максимальную) цену контракта: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10 процентов цены контракта, если цена контракта не превышает 3 млн. рублей;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5 процентов цены контракта, если цена контракта составляет от 3 млн. рублей до 50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1 процент цены контракта, если цена контракта составляет от 50 млн. рублей до 100 млн. рублей (включительно).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15.14. Заказчик обязан оплатить штраф, пени Поставщику в срок не позднее 20 (Двадцати) календарных дней после получения требования Поставщика об уплате штрафа, пеней.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.15. Поставщик обязан оплатить Заказчику штраф, пени в срок не позднее 20 (Двадцати) календарных дней после получения требования Заказчика об уплате штраф, пеней.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center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ar-SA"/>
        </w:rPr>
        <w:t xml:space="preserve">6. Действие обстоятельств непреодолимой силы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color w:val="000000" w:themeColor="text1"/>
          <w:spacing w:val="3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6.1. Ни одна из сторон не несет ответственность перед другой стороной за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pacing w:val="1"/>
          <w:sz w:val="24"/>
          <w:szCs w:val="24"/>
          <w:highlight w:val="white"/>
          <w:lang w:eastAsia="ru-RU"/>
        </w:rPr>
        <w:t xml:space="preserve">неисполнение обязательств по настоящему контракту, обусловленное</w:t>
      </w:r>
      <w:r>
        <w:rPr>
          <w:rFonts w:ascii="Tinos" w:hAnsi="Tinos" w:eastAsia="Tinos" w:cs="Tinos"/>
          <w:color w:val="000000" w:themeColor="text1"/>
          <w:spacing w:val="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pacing w:val="3"/>
          <w:sz w:val="24"/>
          <w:szCs w:val="24"/>
          <w:highlight w:val="white"/>
          <w:lang w:eastAsia="ru-RU"/>
        </w:rPr>
        <w:t xml:space="preserve">действием </w:t>
      </w:r>
      <w:r>
        <w:rPr>
          <w:rFonts w:ascii="Tinos" w:hAnsi="Tinos" w:eastAsia="Tinos" w:cs="Tinos"/>
          <w:color w:val="000000" w:themeColor="text1"/>
          <w:spacing w:val="3"/>
          <w:sz w:val="24"/>
          <w:szCs w:val="24"/>
          <w:highlight w:val="white"/>
          <w:lang w:eastAsia="ru-RU"/>
        </w:rPr>
        <w:t xml:space="preserve">обстоятельств непреодолимой силы, т.е. чрезвычайных и непредотвратимых</w:t>
      </w:r>
      <w:r>
        <w:rPr>
          <w:rFonts w:ascii="Tinos" w:hAnsi="Tinos" w:eastAsia="Tinos" w:cs="Tinos"/>
          <w:color w:val="000000" w:themeColor="text1"/>
          <w:spacing w:val="3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pacing w:val="4"/>
          <w:sz w:val="24"/>
          <w:szCs w:val="24"/>
          <w:highlight w:val="white"/>
          <w:lang w:eastAsia="ru-RU"/>
        </w:rPr>
        <w:t xml:space="preserve">при данных условиях обстоятельств, в том числе объявленная или фактическая война,</w:t>
      </w:r>
      <w:r>
        <w:rPr>
          <w:rFonts w:ascii="Tinos" w:hAnsi="Tinos" w:eastAsia="Tinos" w:cs="Tinos"/>
          <w:color w:val="000000" w:themeColor="text1"/>
          <w:spacing w:val="-2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pacing w:val="-2"/>
          <w:sz w:val="24"/>
          <w:szCs w:val="24"/>
          <w:highlight w:val="white"/>
          <w:lang w:eastAsia="ru-RU"/>
        </w:rPr>
        <w:t xml:space="preserve">гражданские волнения, эпидемии, блокада, эмбарго, пожары, землетрясения, наводнения и</w:t>
      </w:r>
      <w:r>
        <w:rPr>
          <w:rFonts w:ascii="Tinos" w:hAnsi="Tinos" w:eastAsia="Tinos" w:cs="Tinos"/>
          <w:color w:val="000000" w:themeColor="text1"/>
          <w:spacing w:val="-2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другие природные стихийные бедствия, а также издание актов государственных органов.</w:t>
      </w:r>
      <w:r>
        <w:rPr>
          <w:rFonts w:ascii="Tinos" w:hAnsi="Tinos" w:cs="Tinos"/>
          <w:color w:val="000000" w:themeColor="text1"/>
          <w:spacing w:val="3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3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color w:val="000000" w:themeColor="text1"/>
          <w:spacing w:val="2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3"/>
          <w:sz w:val="24"/>
          <w:szCs w:val="24"/>
          <w:highlight w:val="white"/>
          <w:lang w:eastAsia="ru-RU"/>
        </w:rPr>
        <w:t xml:space="preserve"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</w:t>
      </w:r>
      <w:r>
        <w:rPr>
          <w:rFonts w:ascii="Tinos" w:hAnsi="Tinos" w:eastAsia="Tinos" w:cs="Tinos"/>
          <w:color w:val="000000" w:themeColor="text1"/>
          <w:spacing w:val="-4"/>
          <w:sz w:val="24"/>
          <w:szCs w:val="24"/>
          <w:highlight w:val="white"/>
          <w:lang w:eastAsia="ru-RU"/>
        </w:rPr>
        <w:t xml:space="preserve">силы.</w:t>
      </w:r>
      <w:r>
        <w:rPr>
          <w:rFonts w:ascii="Tinos" w:hAnsi="Tinos" w:cs="Tinos"/>
          <w:color w:val="000000" w:themeColor="text1"/>
          <w:spacing w:val="2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2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2"/>
          <w:sz w:val="24"/>
          <w:szCs w:val="24"/>
          <w:highlight w:val="white"/>
          <w:lang w:eastAsia="ru-RU"/>
        </w:rPr>
        <w:t xml:space="preserve">6.3. Сторона, которая не исполняет обязательств по настоящему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контракту вследствие действия непреодолимой силы, должна незамедлительно известить </w:t>
      </w:r>
      <w:r>
        <w:rPr>
          <w:rFonts w:ascii="Tinos" w:hAnsi="Tinos" w:eastAsia="Tinos" w:cs="Tinos"/>
          <w:color w:val="000000" w:themeColor="text1"/>
          <w:spacing w:val="4"/>
          <w:sz w:val="24"/>
          <w:szCs w:val="24"/>
          <w:highlight w:val="white"/>
          <w:lang w:eastAsia="ru-RU"/>
        </w:rPr>
        <w:t xml:space="preserve">другую Сторону о таких обстоятельствах и их влиянии на исполнение обязательств по </w:t>
      </w: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контракту.</w:t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center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pacing w:val="6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ar-SA"/>
        </w:rPr>
        <w:t xml:space="preserve">7. Порядок разрешения споров</w:t>
      </w:r>
      <w:r>
        <w:rPr>
          <w:rFonts w:ascii="Tinos" w:hAnsi="Tinos" w:cs="Tinos"/>
          <w:color w:val="000000" w:themeColor="text1"/>
          <w:spacing w:val="6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6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6"/>
          <w:sz w:val="24"/>
          <w:szCs w:val="24"/>
          <w:highlight w:val="white"/>
          <w:lang w:eastAsia="ru-RU"/>
        </w:rPr>
        <w:t xml:space="preserve">7.1. Все споры или разногласия, возникающие между сторонами по настоящему </w:t>
      </w:r>
      <w:r>
        <w:rPr>
          <w:rFonts w:ascii="Tinos" w:hAnsi="Tinos" w:eastAsia="Tinos" w:cs="Tinos"/>
          <w:color w:val="000000" w:themeColor="text1"/>
          <w:spacing w:val="3"/>
          <w:sz w:val="24"/>
          <w:szCs w:val="24"/>
          <w:highlight w:val="white"/>
          <w:lang w:eastAsia="ru-RU"/>
        </w:rPr>
        <w:t xml:space="preserve">контракту или в связи с ним, разрешаются путем переговоров между </w:t>
      </w:r>
      <w:r>
        <w:rPr>
          <w:rFonts w:ascii="Tinos" w:hAnsi="Tinos" w:eastAsia="Tinos" w:cs="Tinos"/>
          <w:color w:val="000000" w:themeColor="text1"/>
          <w:spacing w:val="-4"/>
          <w:sz w:val="24"/>
          <w:szCs w:val="24"/>
          <w:highlight w:val="white"/>
          <w:lang w:eastAsia="ru-RU"/>
        </w:rPr>
        <w:t xml:space="preserve">ними.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7.2. В случае невозможности разрешения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р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азногласий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путем переговоров они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pacing w:val="4"/>
          <w:sz w:val="24"/>
          <w:szCs w:val="24"/>
          <w:highlight w:val="white"/>
          <w:lang w:eastAsia="ru-RU"/>
        </w:rPr>
        <w:t xml:space="preserve">подлежат рассмотрению в арбитражном суде Новгородской области согласно порядку,</w:t>
      </w: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установленному законодательством Российской Федерации.</w:t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center"/>
        <w:spacing w:before="0" w:beforeAutospacing="0" w:after="0" w:afterAutospacing="0" w:line="240" w:lineRule="auto"/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ar-SA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center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pacing w:val="2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ar-SA"/>
        </w:rPr>
        <w:t xml:space="preserve">8. Порядок изменения и расторжения контракта</w:t>
      </w:r>
      <w:r>
        <w:rPr>
          <w:rFonts w:ascii="Tinos" w:hAnsi="Tinos" w:cs="Tinos"/>
          <w:color w:val="000000" w:themeColor="text1"/>
          <w:spacing w:val="2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2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2"/>
          <w:sz w:val="24"/>
          <w:szCs w:val="24"/>
          <w:highlight w:val="white"/>
          <w:lang w:eastAsia="ru-RU"/>
        </w:rPr>
        <w:t xml:space="preserve">8.1. Любые изменения и дополнения к настоящему контракту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имеют силу только в том случае, если они оформлены в письменном виде и подписаны </w:t>
      </w: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обеими сторонами.</w:t>
      </w:r>
      <w:r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8.2. Изменение существенных условий контракта допускается по соглашению сторон в случаях, предусмотренных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Законом № 44-ФЗ</w:t>
      </w: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. </w:t>
      </w:r>
      <w:r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8.3.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ст. 95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Закона № 44-ФЗ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14"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  <w:tab w:val="left" w:pos="341" w:leader="none"/>
        </w:tabs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color w:val="000000" w:themeColor="text1"/>
          <w:spacing w:val="3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3"/>
          <w:sz w:val="24"/>
          <w:szCs w:val="24"/>
          <w:highlight w:val="white"/>
          <w:lang w:eastAsia="ru-RU"/>
        </w:rPr>
        <w:t xml:space="preserve">9. Прочие условия</w:t>
      </w:r>
      <w:r>
        <w:rPr>
          <w:rFonts w:ascii="Tinos" w:hAnsi="Tinos" w:cs="Tinos"/>
          <w:color w:val="000000" w:themeColor="text1"/>
          <w:spacing w:val="3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3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-7"/>
          <w:sz w:val="24"/>
          <w:szCs w:val="24"/>
          <w:highlight w:val="white"/>
          <w:lang w:eastAsia="ru-RU"/>
        </w:rPr>
        <w:t xml:space="preserve">9.1.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Настоящий контракт вступает в действие со дня подписания и </w:t>
      </w: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действует до исполнения Сторонами своих обязательств.</w:t>
      </w:r>
      <w:r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3"/>
          <w:sz w:val="24"/>
          <w:szCs w:val="24"/>
          <w:highlight w:val="white"/>
          <w:lang w:eastAsia="ru-RU"/>
        </w:rPr>
        <w:t xml:space="preserve">9.2.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В случае изменения у к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pStyle w:val="951"/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В случае изменения банковских реквизитов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Поставщик обязан в однодневный срок в письменной форме известить об этом Заказчика, указав но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вые банковские реквизиты. Указанное письмо будет являться неотъемлемой частью настоящего контракта.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9.3. Следующие приложения являются неотъемлемой частью настоящего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контракта:</w:t>
      </w:r>
      <w:r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r>
    </w:p>
    <w:p>
      <w:pPr>
        <w:numPr>
          <w:ilvl w:val="0"/>
          <w:numId w:val="1"/>
        </w:numPr>
        <w:contextualSpacing w:val="0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clear" w:pos="0" w:leader="none"/>
        </w:tabs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приложение № 1 - спецификация;</w:t>
      </w:r>
      <w:r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-1"/>
          <w:sz w:val="24"/>
          <w:szCs w:val="24"/>
          <w:highlight w:val="white"/>
        </w:rPr>
      </w:r>
    </w:p>
    <w:p>
      <w:pPr>
        <w:numPr>
          <w:ilvl w:val="0"/>
          <w:numId w:val="1"/>
        </w:numPr>
        <w:contextualSpacing w:val="0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tabs>
          <w:tab w:val="clear" w:pos="0" w:leader="none"/>
        </w:tabs>
        <w:rPr>
          <w:rFonts w:ascii="Tinos" w:hAnsi="Tinos" w:cs="Tinos"/>
          <w:color w:val="000000" w:themeColor="text1"/>
          <w:spacing w:val="-8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приложение № 2 - форма акта приемки-передачи товара.</w:t>
      </w:r>
      <w:r>
        <w:rPr>
          <w:rFonts w:ascii="Tinos" w:hAnsi="Tinos" w:cs="Tinos"/>
          <w:color w:val="000000" w:themeColor="text1"/>
          <w:spacing w:val="-8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-8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-8"/>
          <w:sz w:val="24"/>
          <w:szCs w:val="24"/>
          <w:highlight w:val="white"/>
          <w:lang w:eastAsia="ru-RU"/>
        </w:rPr>
        <w:t xml:space="preserve">9.4.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Вопросы,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не урегулированные настоящим контрактом, </w:t>
      </w:r>
      <w:r>
        <w:rPr>
          <w:rFonts w:ascii="Tinos" w:hAnsi="Tinos" w:eastAsia="Tinos" w:cs="Tinos"/>
          <w:color w:val="000000" w:themeColor="text1"/>
          <w:spacing w:val="-1"/>
          <w:sz w:val="24"/>
          <w:szCs w:val="24"/>
          <w:highlight w:val="white"/>
          <w:lang w:eastAsia="ru-RU"/>
        </w:rPr>
        <w:t xml:space="preserve">разрешаются в соответствии с действующим законодательством Российской Федерации.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9.5. Настоящий контракт действует до полного исполнения обязательств.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pacing w:val="3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3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b/>
          <w:bCs/>
          <w:color w:val="000000" w:themeColor="text1"/>
          <w:spacing w:val="3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3"/>
          <w:sz w:val="24"/>
          <w:szCs w:val="24"/>
          <w:highlight w:val="white"/>
        </w:rPr>
      </w:r>
    </w:p>
    <w:p>
      <w:pPr>
        <w:contextualSpacing w:val="0"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color w:val="000000" w:themeColor="text1"/>
          <w:spacing w:val="3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3"/>
          <w:sz w:val="24"/>
          <w:szCs w:val="24"/>
          <w:highlight w:val="white"/>
          <w:lang w:eastAsia="ru-RU"/>
        </w:rPr>
        <w:t xml:space="preserve">10. Местонахождение и банковские реквизиты сторон</w:t>
      </w:r>
      <w:r>
        <w:rPr>
          <w:rFonts w:ascii="Tinos" w:hAnsi="Tinos" w:cs="Tinos"/>
          <w:b/>
          <w:bCs/>
          <w:color w:val="000000" w:themeColor="text1"/>
          <w:spacing w:val="3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3"/>
          <w:sz w:val="24"/>
          <w:szCs w:val="24"/>
          <w:highlight w:val="white"/>
        </w:rPr>
      </w:r>
    </w:p>
    <w:tbl>
      <w:tblPr>
        <w:tblW w:w="935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648"/>
      </w:tblGrid>
      <w:tr>
        <w:tblPrEx/>
        <w:trPr>
          <w:trHeight w:val="70"/>
        </w:trPr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ЗАКАЗЧИК</w:t>
            </w:r>
            <w:r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4648" w:type="dxa"/>
            <w:textDirection w:val="lrTb"/>
            <w:noWrap w:val="false"/>
          </w:tcPr>
          <w:p>
            <w:pPr>
              <w:contextualSpacing w:val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ПОСТАВЩИК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Управление Федеральной службы государственной регистрации, кадастра и картографии по Новгородской области (Управление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Росреестра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по Новгородской области)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8" w:type="dxa"/>
            <w:textDirection w:val="lrTb"/>
            <w:noWrap w:val="false"/>
          </w:tcPr>
          <w:p>
            <w:pPr>
              <w:contextualSpacing w:val="0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Адрес: 173002, Россия, г. Великий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Новгород,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ул. Октябрьская, д. 17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Телефон: (8162) 943-000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Факс: (8162) 770-366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Э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л.почта: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53_upr@rosreestr.ru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8" w:type="dxa"/>
            <w:textDirection w:val="lrTb"/>
            <w:noWrap w:val="false"/>
          </w:tcPr>
          <w:p>
            <w:pPr>
              <w:contextualSpacing w:val="0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/>
              <w:spacing w:after="0" w:line="276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ИНН 5321100694       КПП 532101001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УФК по Нижегородской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т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03501А39310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ОКЦ №1 Волго-Вятского ГУ Банка России//УФК по Нижегородской области г. Нижний Новгород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БИК 012202102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Казначейский счет № 03211643000000013213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Единый казначейский счет № 40102810745370000024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ОГРН 1045300293411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ОКВЭД 84.11.12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ОКТМО 49701000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ОКПО 74991578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Банковские реквизиты для уплаты неустоек (штрафов, пеней)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780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УФК по Новгородской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04501А39310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  <w:p>
            <w:pPr>
              <w:pStyle w:val="780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ОКЦ №1 Волго-Вятского ГУ Банка России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//УФК по Новгородской области </w:t>
              <w:br/>
              <w:t xml:space="preserve">г.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Великий Новгород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  <w:p>
            <w:pPr>
              <w:pStyle w:val="780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БИК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42202100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  <w:p>
            <w:pPr>
              <w:pStyle w:val="780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03100643000000015000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  <w:p>
            <w:pPr>
              <w:contextualSpacing/>
              <w:spacing w:after="0" w:line="276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Единый 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40102810245370000100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8" w:type="dxa"/>
            <w:textDirection w:val="lrTb"/>
            <w:noWrap w:val="false"/>
          </w:tcPr>
          <w:p>
            <w:pPr>
              <w:contextualSpacing w:val="0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</w:tr>
    </w:tbl>
    <w:p>
      <w:pPr>
        <w:contextualSpacing w:val="0"/>
        <w:ind w:firstLine="709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color w:val="000000" w:themeColor="text1"/>
          <w:spacing w:val="3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3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b/>
          <w:bCs/>
          <w:color w:val="000000" w:themeColor="text1"/>
          <w:spacing w:val="3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3"/>
          <w:sz w:val="24"/>
          <w:szCs w:val="24"/>
          <w:highlight w:val="white"/>
        </w:rPr>
      </w:r>
    </w:p>
    <w:p>
      <w:pPr>
        <w:contextualSpacing w:val="0"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ПОДПИСИ СТОРОН</w:t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  <w:br/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От «Заказчика»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ab/>
        <w:t xml:space="preserve">         От «Поставщика»</w:t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Заместитель руководит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еля                 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                   </w:t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_______________ 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О.О. Смирнова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           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              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_________________</w:t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lef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jc w:val="right"/>
        <w:spacing w:before="0" w:line="240" w:lineRule="auto"/>
        <w:widowControl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Приложение № 1 к контракту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right"/>
        <w:spacing w:before="0" w:line="240" w:lineRule="auto"/>
        <w:widowControl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№ </w:t>
      </w:r>
      <w:r>
        <w:rPr>
          <w:rFonts w:ascii="Tinos" w:hAnsi="Tinos" w:eastAsia="Tinos" w:cs="Tinos"/>
          <w:sz w:val="24"/>
          <w:szCs w:val="24"/>
        </w:rPr>
        <w:t xml:space="preserve"> 48  </w:t>
      </w:r>
      <w:r>
        <w:rPr>
          <w:rFonts w:ascii="Tinos" w:hAnsi="Tinos" w:eastAsia="Tinos" w:cs="Tinos"/>
          <w:sz w:val="24"/>
          <w:szCs w:val="24"/>
        </w:rPr>
        <w:t xml:space="preserve"> от  «___» _________ 20</w:t>
      </w:r>
      <w:r>
        <w:rPr>
          <w:rFonts w:ascii="Tinos" w:hAnsi="Tinos" w:eastAsia="Tinos" w:cs="Tinos"/>
          <w:sz w:val="24"/>
          <w:szCs w:val="24"/>
        </w:rPr>
        <w:t xml:space="preserve">2</w:t>
      </w:r>
      <w:r>
        <w:rPr>
          <w:rFonts w:ascii="Tinos" w:hAnsi="Tinos" w:eastAsia="Tinos" w:cs="Tinos"/>
          <w:sz w:val="24"/>
          <w:szCs w:val="24"/>
        </w:rPr>
        <w:t xml:space="preserve">6 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1. Спецификация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600"/>
        <w:jc w:val="center"/>
        <w:spacing w:before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tbl>
      <w:tblPr>
        <w:tblW w:w="10151" w:type="dxa"/>
        <w:jc w:val="center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517"/>
        <w:gridCol w:w="1737"/>
        <w:gridCol w:w="655"/>
        <w:gridCol w:w="660"/>
        <w:gridCol w:w="1712"/>
        <w:gridCol w:w="787"/>
        <w:gridCol w:w="873"/>
        <w:gridCol w:w="1625"/>
        <w:gridCol w:w="1586"/>
      </w:tblGrid>
      <w:tr>
        <w:tblPrEx/>
        <w:trPr>
          <w:jc w:val="center"/>
          <w:trHeight w:val="211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vMerge w:val="restart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№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/п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7" w:type="dxa"/>
            <w:vAlign w:val="center"/>
            <w:vMerge w:val="restart"/>
            <w:textDirection w:val="lrTb"/>
            <w:noWrap w:val="false"/>
          </w:tcPr>
          <w:p>
            <w:pPr>
              <w:pStyle w:val="962"/>
              <w:ind w:left="-61" w:right="-18"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Товара, страна происхождения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vAlign w:val="center"/>
            <w:vMerge w:val="restart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Ед. изм.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center"/>
            <w:vMerge w:val="restart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Кол-во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vAlign w:val="center"/>
            <w:vMerge w:val="restart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Цена за единицу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Товара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без учета НДС  (руб.)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59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Ставка НДС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5" w:type="dxa"/>
            <w:vAlign w:val="center"/>
            <w:vMerge w:val="restart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Цена за единицу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Товара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с учетом НДС  (руб.)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6" w:type="dxa"/>
            <w:vAlign w:val="center"/>
            <w:vMerge w:val="restart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Общая стоимость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Товара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с учетом НДС (руб.)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71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vMerge w:val="continue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7" w:type="dxa"/>
            <w:vAlign w:val="center"/>
            <w:vMerge w:val="continue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vAlign w:val="center"/>
            <w:vMerge w:val="continue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center"/>
            <w:vMerge w:val="continue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vAlign w:val="center"/>
            <w:vMerge w:val="continue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7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%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В руб.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5" w:type="dxa"/>
            <w:vAlign w:val="center"/>
            <w:vMerge w:val="continue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6" w:type="dxa"/>
            <w:vAlign w:val="center"/>
            <w:vMerge w:val="continue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>
          <w:jc w:val="center"/>
          <w:trHeight w:val="98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1.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7" w:type="dxa"/>
            <w:vAlign w:val="center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План эвакуации фотолюминесцентный А2 (600х400мм) на пластике ПВХ 3мм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vAlign w:val="center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bCs/>
                <w:sz w:val="24"/>
                <w:szCs w:val="24"/>
                <w:vertAlign w:val="baseline"/>
              </w:rPr>
            </w:pPr>
            <w:r>
              <w:rPr>
                <w:rFonts w:ascii="Tinos" w:hAnsi="Tinos" w:cs="Tinos"/>
                <w:bCs/>
                <w:sz w:val="24"/>
                <w:szCs w:val="24"/>
                <w:vertAlign w:val="baseline"/>
              </w:rPr>
              <w:t xml:space="preserve">шт</w:t>
            </w:r>
            <w:r>
              <w:rPr>
                <w:rFonts w:ascii="Tinos" w:hAnsi="Tinos" w:cs="Tinos"/>
                <w:bCs/>
                <w:sz w:val="24"/>
                <w:szCs w:val="24"/>
                <w:vertAlign w:val="baseline"/>
              </w:rPr>
            </w:r>
            <w:r>
              <w:rPr>
                <w:rFonts w:ascii="Tinos" w:hAnsi="Tinos" w:cs="Tinos"/>
                <w:bCs/>
                <w:sz w:val="24"/>
                <w:szCs w:val="2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center"/>
            <w:textDirection w:val="lrTb"/>
            <w:noWrap w:val="false"/>
          </w:tcPr>
          <w:p>
            <w:pPr>
              <w:jc w:val="center"/>
              <w:spacing w:before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7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5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6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98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  <w:lang w:val="en-US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7" w:type="dxa"/>
            <w:vAlign w:val="center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ИТОГО</w:t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" w:type="dxa"/>
            <w:vAlign w:val="center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0" w:type="dxa"/>
            <w:vAlign w:val="center"/>
            <w:textDirection w:val="lrTb"/>
            <w:noWrap w:val="false"/>
          </w:tcPr>
          <w:p>
            <w:pPr>
              <w:jc w:val="center"/>
              <w:spacing w:before="0" w:line="240" w:lineRule="auto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7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3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5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6" w:type="dxa"/>
            <w:vAlign w:val="center"/>
            <w:textDirection w:val="lrTb"/>
            <w:noWrap w:val="false"/>
          </w:tcPr>
          <w:p>
            <w:pPr>
              <w:pStyle w:val="962"/>
              <w:ind w:firstLine="0"/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</w:tc>
      </w:tr>
    </w:tbl>
    <w:p>
      <w:pPr>
        <w:ind w:firstLine="600"/>
        <w:jc w:val="center"/>
        <w:spacing w:before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Итого на сумму: </w:t>
      </w:r>
      <w:r>
        <w:rPr>
          <w:rFonts w:ascii="Tinos" w:hAnsi="Tinos" w:eastAsia="Tinos" w:cs="Tinos"/>
          <w:bCs/>
          <w:sz w:val="24"/>
          <w:szCs w:val="24"/>
        </w:rPr>
        <w:t xml:space="preserve">______________________________________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ind w:firstLine="600"/>
        <w:jc w:val="center"/>
        <w:spacing w:before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600"/>
        <w:jc w:val="center"/>
        <w:spacing w:before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0"/>
        <w:jc w:val="left"/>
        <w:spacing w:before="0" w:line="240" w:lineRule="auto"/>
        <w:rPr>
          <w:rFonts w:ascii="Tinos" w:hAnsi="Tinos" w:eastAsia="Tinos" w:cs="Tinos"/>
          <w:b/>
          <w:bCs/>
          <w:sz w:val="24"/>
          <w:szCs w:val="24"/>
        </w:rPr>
        <w:sectPr>
          <w:headerReference w:type="default" r:id="rId9"/>
          <w:headerReference w:type="first" r:id="rId10"/>
          <w:footerReference w:type="first" r:id="rId11"/>
          <w:footnotePr/>
          <w:endnotePr/>
          <w:type w:val="continuous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</w:r>
    </w:p>
    <w:p>
      <w:pPr>
        <w:ind w:firstLine="600"/>
        <w:jc w:val="center"/>
        <w:spacing w:before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2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. Технические характеристики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 объекта закупки: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поставка плана эвакуации для пожарной безопасности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4"/>
          <w:szCs w:val="24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14:ligatures w14:val="none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заказчик (Заказчик):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Управление Росреестра по Новгородской области.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закупки: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Оборудование помещений в соответствии с ГОСТ 34428-2018, для ориентирования людей в случае чрезвычайной ситуации.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en-US"/>
        </w:rPr>
      </w:r>
    </w:p>
    <w:p>
      <w:pPr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en-US"/>
        </w:rPr>
        <w:t xml:space="preserve">ОКПД 2: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58.19.19.190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 — 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Продукция издательская печатная прочая, не включенная в другие группировки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  <w14:ligatures w14:val="none"/>
        </w:rPr>
      </w:r>
    </w:p>
    <w:p>
      <w:pPr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en-US"/>
        </w:rPr>
        <w:t xml:space="preserve">Количество товара и места его установки: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en-US"/>
        </w:rPr>
      </w:r>
    </w:p>
    <w:p>
      <w:pPr>
        <w:ind w:righ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</w:rPr>
        <w:t xml:space="preserve">г. Великий Новгород, ул. Октябрьская, д.17: 5 шт.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  <w14:ligatures w14:val="none"/>
        </w:rPr>
      </w:r>
    </w:p>
    <w:p>
      <w:pPr>
        <w:ind w:righ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</w:rPr>
        <w:t xml:space="preserve">г. Великий Новгород, ул.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</w:rPr>
        <w:t xml:space="preserve"> Стратилатовская, д.15: 3 шт.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  <w14:ligatures w14:val="none"/>
        </w:rPr>
      </w:r>
    </w:p>
    <w:p>
      <w:pPr>
        <w:ind w:righ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</w:rPr>
        <w:t xml:space="preserve">Г. Старая Русса, мкр. Сомровая Роща, д. 20: 2 шт.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  <w14:ligatures w14:val="none"/>
        </w:rPr>
      </w:r>
    </w:p>
    <w:p>
      <w:pPr>
        <w:ind w:righ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</w:rPr>
        <w:t xml:space="preserve">Всего 10 шт.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en-US"/>
        </w:rPr>
      </w:r>
    </w:p>
    <w:p>
      <w:pPr>
        <w:pStyle w:val="955"/>
        <w:ind w:right="0" w:firstLine="709"/>
        <w:jc w:val="both"/>
        <w:spacing w:before="0"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en-US"/>
        </w:rPr>
        <w:t xml:space="preserve">Срок поставки: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10 (десять)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кале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ндарных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дней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с даты заключения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государственного к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онтракта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  <w14:ligatures w14:val="none"/>
        </w:rPr>
      </w:r>
    </w:p>
    <w:p>
      <w:pPr>
        <w:pStyle w:val="955"/>
        <w:ind w:right="0" w:firstLine="709"/>
        <w:jc w:val="both"/>
        <w:spacing w:before="0"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Требования к качеству товара: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Товар должен соответствовать обязательным требованиям к качеству и безопасности, предусмотренным для товара данного рода действующим законодательством Российской Ф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едерации, иными правовыми актами органов государственной власти Российской Федерации. 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r>
    </w:p>
    <w:p>
      <w:pPr>
        <w:pStyle w:val="955"/>
        <w:ind w:right="0" w:firstLine="709"/>
        <w:jc w:val="both"/>
        <w:spacing w:before="0"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Поставляемый товар должен быть новым товаром (то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варом, который не был в употреблении, не прошел восстановление потребительских свойств), надлежащего качества (без видимых повреждений, заломов, царапин либо иного повреждения целостности листа), соответствовать техническим требованиям, не иметь дефектов.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r>
    </w:p>
    <w:p>
      <w:pPr>
        <w:pStyle w:val="955"/>
        <w:ind w:right="0" w:firstLine="709"/>
        <w:jc w:val="both"/>
        <w:spacing w:before="0"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Весь поставляемый товар должен быть новым, не должен находиться в залоге, под арестом или под иным обременением.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r>
    </w:p>
    <w:p>
      <w:pPr>
        <w:pStyle w:val="955"/>
        <w:ind w:right="0" w:firstLine="709"/>
        <w:jc w:val="both"/>
        <w:spacing w:before="0"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Упаковка стандартная не поврежденная, обеспечивающая сохранность товара при его перевозке и, при необходимости, последующем хранении.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r>
    </w:p>
    <w:p>
      <w:pPr>
        <w:pStyle w:val="955"/>
        <w:ind w:right="0" w:firstLine="709"/>
        <w:jc w:val="both"/>
        <w:spacing w:before="0"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При обнаружении Заказчиком в ходе приемки поставки некачественного товара (брак, производственный де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фект, несоответствие требованиям Технического задания, несоответствие согласованным макетам) или некомплектного товара, Поставщик обязан заменить или доукомплектовать такой товар в течение 10 (десяти) рабочих дней со дня уведомления Поставщика Заказчиком.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r>
    </w:p>
    <w:p>
      <w:pPr>
        <w:pStyle w:val="955"/>
        <w:ind w:right="0" w:firstLine="709"/>
        <w:jc w:val="both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Расходы по возврату товара и его замене, либо доукомплектованию производятся за счет средств Поставщика.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сдачи и приемки товара: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Перед началом изготовления товара Поставщик предоставляет на согласование Заказчику макет на электронный адрес почты Заказчика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53_upr@rosreestr.ru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 обязан в течение 5 (пяти) календарных дней со дня подписания контракта направить макет поставляемого Товара на согласование Заказчику.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Заказчик информирует Поставщика о согласовании макета путем направления информационного сообщения о согласовании по адресу электронной почты ответственного исполнителя Поставщика.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отсутствии у Заказчика претензий по количеству и качеству поставленного Товара Заказчик в течение 2 (двух) рабочих дней с момента доставки Товара Поставщиком подписывает документы о приемке. После этого Товар считается переданным Поставщиком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iCs/>
          <w:color w:val="00000a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</w:t>
      </w:r>
      <w:r>
        <w:rPr>
          <w:rFonts w:ascii="Times New Roman" w:hAnsi="Times New Roman" w:cs="Times New Roman"/>
          <w:sz w:val="24"/>
          <w:szCs w:val="24"/>
        </w:rPr>
        <w:t xml:space="preserve">в поставленном Товаре, Заказчик в течение 2 (двух) рабочих дней с момента доставки Товара составляет акт с перечнем выявленных недостатков и указанием сроков их устранения, и в течение 1 (одного) рабочего дня с момента подписания направляет его Поставщику.</w:t>
      </w:r>
      <w:r>
        <w:rPr>
          <w:rFonts w:ascii="Times New Roman" w:hAnsi="Times New Roman" w:eastAsia="Times New Roman" w:cs="Times New Roman"/>
          <w:b/>
          <w:iCs/>
          <w:color w:val="00000a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iCs/>
          <w:color w:val="00000a"/>
          <w:sz w:val="24"/>
          <w:szCs w:val="24"/>
          <w:lang w:eastAsia="ar-SA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Cs/>
          <w:color w:val="00000a"/>
          <w:sz w:val="24"/>
          <w:szCs w:val="24"/>
          <w:lang w:eastAsia="ar-SA"/>
        </w:rPr>
        <w:t xml:space="preserve">Требования к отгрузке и доставке товара: </w:t>
      </w:r>
      <w:r>
        <w:rPr>
          <w:rFonts w:ascii="Times New Roman" w:hAnsi="Times New Roman" w:eastAsia="Times New Roman" w:cs="Times New Roman"/>
          <w:b w:val="0"/>
          <w:bCs w:val="0"/>
          <w:iCs/>
          <w:color w:val="000000"/>
          <w:sz w:val="24"/>
          <w:szCs w:val="24"/>
          <w:lang w:eastAsia="ar-SA"/>
        </w:rPr>
        <w:t xml:space="preserve">Погрузочно-разгрузочные работы, доставка Товара до места складирования осуществляются силами Поставщика либо с привлечением третьих лиц за счёт Поставщика.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не менее чем за 2 (два) часа до осуществления поставки Товара уведомляет Заказчика о поставке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доставки: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г. Великий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Новгород, ул. Октябрьская, д. 17</w:t>
      </w:r>
      <w:r>
        <w:rPr>
          <w:rFonts w:ascii="Times New Roman" w:hAnsi="Times New Roman" w:cs="Times New Roman"/>
          <w:sz w:val="24"/>
          <w:szCs w:val="24"/>
        </w:rPr>
        <w:t xml:space="preserve">(склад).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r>
    </w:p>
    <w:p>
      <w:pPr>
        <w:pStyle w:val="938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Порядок оплаты: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en-US"/>
        </w:rPr>
        <w:t xml:space="preserve"> Оплата производится Заказчиком по факту поставки Товара, безналичным перечислением денежных средств на счет П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en-US"/>
        </w:rPr>
        <w:t xml:space="preserve">оставщика платежными поручениями, в течение 7 (семи) рабочих дней с момента подписания документа о приемке (Акта оказанных услуг, товарной накладной (или универсального передаточного документа), на основании выставленного счета (при наличии счета-фактуры).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en-US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en-US"/>
        </w:rPr>
      </w:r>
    </w:p>
    <w:p>
      <w:pPr>
        <w:pStyle w:val="938"/>
        <w:ind w:right="0" w:firstLine="709"/>
        <w:jc w:val="both"/>
        <w:spacing w:before="0"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en-US"/>
        </w:rPr>
        <w:t xml:space="preserve">Цена Контракта включает в себя: стоимость Товара, расходы, связ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en-US"/>
        </w:rPr>
        <w:t xml:space="preserve">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8"/>
        <w:ind w:right="0" w:firstLine="709"/>
        <w:jc w:val="both"/>
        <w:spacing w:before="0"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Ind w:w="60" w:type="dxa"/>
        <w:tblLayout w:type="fixed"/>
        <w:tblCellMar>
          <w:left w:w="50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"/>
        <w:gridCol w:w="1479"/>
        <w:gridCol w:w="6328"/>
        <w:gridCol w:w="850"/>
        <w:gridCol w:w="403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</w:tcBorders>
            <w:tcW w:w="495" w:type="dxa"/>
            <w:vAlign w:val="center"/>
            <w:textDirection w:val="lrTb"/>
            <w:noWrap w:val="false"/>
          </w:tcPr>
          <w:p>
            <w:pPr>
              <w:pStyle w:val="938"/>
              <w:ind w:right="0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a"/>
                <w:sz w:val="20"/>
                <w:szCs w:val="20"/>
                <w:lang w:eastAsia="ar-SA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0"/>
                <w:szCs w:val="20"/>
                <w:lang w:eastAsia="ar-SA"/>
              </w:rPr>
              <w:t xml:space="preserve">п/п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</w:tcBorders>
            <w:tcW w:w="1479" w:type="dxa"/>
            <w:vAlign w:val="center"/>
            <w:textDirection w:val="lrTb"/>
            <w:noWrap w:val="false"/>
          </w:tcPr>
          <w:p>
            <w:pPr>
              <w:pStyle w:val="938"/>
              <w:ind w:right="0"/>
              <w:jc w:val="center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6328" w:type="dxa"/>
            <w:vAlign w:val="center"/>
            <w:textDirection w:val="lrTb"/>
            <w:noWrap w:val="false"/>
          </w:tcPr>
          <w:p>
            <w:pPr>
              <w:pStyle w:val="938"/>
              <w:ind w:right="0"/>
              <w:jc w:val="center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Характеристики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8"/>
              <w:ind w:right="0"/>
              <w:jc w:val="center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Ед. изм.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403" w:type="dxa"/>
            <w:vAlign w:val="center"/>
            <w:textDirection w:val="lrTb"/>
            <w:noWrap w:val="false"/>
          </w:tcPr>
          <w:p>
            <w:pPr>
              <w:pStyle w:val="938"/>
              <w:ind w:right="0"/>
              <w:jc w:val="center"/>
              <w:spacing w:before="0" w:after="0" w:line="240" w:lineRule="auto"/>
              <w:shd w:val="clear" w:color="auto" w:fill="ffffff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" w:type="dxa"/>
            <w:vAlign w:val="top"/>
            <w:textDirection w:val="lrTb"/>
            <w:noWrap w:val="false"/>
          </w:tcPr>
          <w:p>
            <w:pPr>
              <w:pStyle w:val="938"/>
              <w:ind w:right="0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9" w:type="dxa"/>
            <w:vAlign w:val="top"/>
            <w:textDirection w:val="lrTb"/>
            <w:noWrap w:val="false"/>
          </w:tcPr>
          <w:p>
            <w:pPr>
              <w:pStyle w:val="938"/>
              <w:ind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  <w:t xml:space="preserve">План эвакуации фотолюминесцентный А2 (600х400мм) на пластике ПВХ 3мм</w:t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</w:p>
          <w:p>
            <w:pPr>
              <w:pStyle w:val="938"/>
              <w:ind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28" w:type="dxa"/>
            <w:vAlign w:val="top"/>
            <w:textDirection w:val="lrTb"/>
            <w:noWrap w:val="false"/>
          </w:tcPr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Описание объекта закупки: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ФЭС (фотолюминесцентные эвакуационные системы) является автономной, самостоятельной системой безопасности, которая применяется в 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лях организации управления движением людей по эвакуационным путям для уменьшения времени эвакуации и информирования о структуре путей эвакуации, правилах поведения в условиях ограниченной видимости (сумерек, задымления, тумана и т.п.) или полной темноты (а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варийного отключения освещения), при угрозе и возникновении чрезвычайной ситуации (пожара, аварии, стихийного бедствия, катастрофы, совершения террористического акта и т.п.), вызывающей необходимость безопасной эвакуации и спасения людей (ГОСТ 34428-2018.)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к материалам: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обеспечения высоких эксплуатационных характеристик и долговечности изделие должно быть изготовлено на основе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ПВХ-пластика толщиной не менее 3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полноцветным схематичным печатным изображением.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Изображение должно быть защищено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прозрачной фотолюминесцентной пленкой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(люминофором), обеспечивающей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долгосрочную фиксацию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сохранение яркости в течение не менее 10 лет. Это необходимо для того, чтобы план был виден в условиях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полной темноты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при задымлении.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Изделие должно быть устойчиво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механическим повреждениям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(царапинам, ударам), воздействию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ультрафиолетовых лучей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агрессивных химических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(моющие средства, растворители), а также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температурным перепадам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-40°C до +60°C.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изделия:</w:t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 эвакуации предназначен для информирования людей о путях эвакуации при возникновении чрезвычайных ситуаций (пожар, авария, террористический акт и т.п.), вызывающих необходимость безопасной эвакуации и спасения людей. 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к габаритным размерам: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- 600 мм по ширине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- 400 мм по высоте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- 3 мм по толщине.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к информационному содержанию: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Обозначение путей и эвакуационных выходов, по которым в случае пожара обеспечивается самостоятельный выход людей из помещений. Обозначение мест расположения противопожарного оборудования и средств оповещения.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Напоминание о первоочередных действиях, которые нужно предпринять при обнаружении очага возгорания.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965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к цветовому решению: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Изделие изготовляется в цветном исполнении, фон – в дневном исполнении бледно-желтый, при самосвечении – желто-зеленый, цвет знаков безопасности – красны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й, цвет эвакуационных путей движения - зелёный. В целях соответствия изделия, изделию с высокими эстетическими качествами - графическое изображение и окраска элементов не должна иметь видимых проходов (линий), получаемых в результате некачественной печати.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pStyle w:val="965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 xml:space="preserve">Наличие рамки: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 xml:space="preserve">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 xml:space="preserve">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ind w:right="0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highlight w:val="none"/>
                <w:lang w:eastAsia="ru-RU"/>
              </w:rPr>
            </w:r>
            <w:r/>
          </w:p>
          <w:p>
            <w:pPr>
              <w:pStyle w:val="938"/>
              <w:ind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highlight w:val="non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" w:type="dxa"/>
            <w:vAlign w:val="top"/>
            <w:textDirection w:val="lrTb"/>
            <w:noWrap w:val="false"/>
          </w:tcPr>
          <w:p>
            <w:pPr>
              <w:pStyle w:val="938"/>
              <w:ind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</w:p>
          <w:p>
            <w:pPr>
              <w:pStyle w:val="938"/>
              <w:ind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</w:p>
          <w:p>
            <w:pPr>
              <w:pStyle w:val="938"/>
              <w:ind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</w:p>
        </w:tc>
      </w:tr>
    </w:tbl>
    <w:p>
      <w:pPr>
        <w:contextualSpacing/>
        <w:ind w:firstLine="720"/>
        <w:jc w:val="both"/>
        <w:spacing w:after="200"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after="200" w:line="240" w:lineRule="auto"/>
        <w:rPr>
          <w:rFonts w:ascii="Tinos" w:hAnsi="Tinos" w:cs="Tinos"/>
          <w:i/>
          <w:sz w:val="28"/>
          <w:szCs w:val="28"/>
        </w:rPr>
      </w:pPr>
      <w:r>
        <w:rPr>
          <w:rFonts w:ascii="Tinos" w:hAnsi="Tinos" w:eastAsia="Tinos" w:cs="Tinos"/>
          <w:i/>
          <w:sz w:val="24"/>
          <w:szCs w:val="24"/>
          <w:lang w:eastAsia="ru-RU"/>
        </w:rPr>
      </w:r>
      <w:r>
        <w:rPr>
          <w:rFonts w:ascii="Tinos" w:hAnsi="Tinos" w:cs="Tinos"/>
          <w:i/>
          <w:sz w:val="28"/>
          <w:szCs w:val="28"/>
        </w:rPr>
      </w:r>
      <w:r>
        <w:rPr>
          <w:rFonts w:ascii="Tinos" w:hAnsi="Tinos" w:cs="Tinos"/>
          <w:i/>
          <w:sz w:val="28"/>
          <w:szCs w:val="28"/>
        </w:rPr>
      </w:r>
    </w:p>
    <w:p>
      <w:pPr>
        <w:ind w:left="709" w:right="0" w:firstLine="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sz w:val="24"/>
          <w:szCs w:val="24"/>
          <w14:ligatures w14:val="none"/>
        </w:rPr>
      </w:r>
      <w:r>
        <w:rPr>
          <w:rFonts w:ascii="Tinos" w:hAnsi="Tinos" w:cs="Tinos"/>
          <w:sz w:val="24"/>
          <w:szCs w:val="24"/>
          <w14:ligatures w14:val="none"/>
        </w:rPr>
      </w:r>
      <w:r>
        <w:rPr>
          <w:rFonts w:ascii="Tinos" w:hAnsi="Tinos" w:cs="Tinos"/>
          <w:sz w:val="24"/>
          <w:szCs w:val="24"/>
          <w14:ligatures w14:val="none"/>
        </w:rPr>
      </w:r>
    </w:p>
    <w:p>
      <w:pPr>
        <w:ind w:firstLine="0"/>
        <w:jc w:val="left"/>
        <w:spacing w:before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 w:val="0"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ПОДПИСИ СТОРОН</w:t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  <w:br/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От «Заказчика»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ab/>
        <w:t xml:space="preserve">         От «Поставщика»</w:t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Заместитель руководит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еля                 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                   </w:t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_______________ 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О.О. Смирнова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           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              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_________________</w:t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  <w:sectPr>
          <w:footnotePr/>
          <w:endnotePr/>
          <w:type w:val="continuous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П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риложение № 2 к контракту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                                                           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                     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от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u w:val="none"/>
        </w:rPr>
        <w:t xml:space="preserve">«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u w:val="none"/>
        </w:rPr>
        <w:t xml:space="preserve">___» _________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u w:val="none"/>
        </w:rPr>
        <w:t xml:space="preserve">2026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г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.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№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48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                 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ar-SA"/>
        </w:rPr>
        <w:t xml:space="preserve">ОБРАЗЕЦ</w:t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14"/>
        <w:jc w:val="center"/>
        <w:spacing w:before="0" w:beforeAutospacing="0" w:after="0" w:afterAutospacing="0" w:line="240" w:lineRule="auto"/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АКТ</w:t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14"/>
        <w:jc w:val="center"/>
        <w:spacing w:before="0" w:beforeAutospacing="0" w:after="0" w:afterAutospacing="0" w:line="240" w:lineRule="auto"/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приема-передачи товара</w:t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right="-144"/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№ 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 от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u w:val="none"/>
        </w:rPr>
        <w:t xml:space="preserve">«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u w:val="none"/>
        </w:rPr>
        <w:t xml:space="preserve">____» _________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u w:val="none"/>
        </w:rPr>
        <w:t xml:space="preserve">2026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</w:rPr>
        <w:t xml:space="preserve"> г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</w:rPr>
        <w:t xml:space="preserve">. </w:t>
      </w: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по контракту №</w:t>
      </w: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48 </w:t>
      </w: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от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u w:val="none"/>
        </w:rPr>
        <w:t xml:space="preserve">«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u w:val="none"/>
        </w:rPr>
        <w:t xml:space="preserve">___» ________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u w:val="none"/>
        </w:rPr>
        <w:t xml:space="preserve">2026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</w:rPr>
        <w:t xml:space="preserve"> г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</w:rPr>
        <w:t xml:space="preserve">. </w:t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14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trike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Заказчик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: Управление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Росреестра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по Новгородской области</w:t>
      </w:r>
      <w:r>
        <w:rPr>
          <w:rFonts w:ascii="Tinos" w:hAnsi="Tinos" w:cs="Tinos"/>
          <w:strike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strike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Юридический адрес Заказчика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: г.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Великий Новгород, ул.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Октябрьская, д. 17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Поставщик: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  <w:t xml:space="preserve">Юридический адрес Поставщика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  <w:lang w:eastAsia="ru-RU"/>
        </w:rPr>
        <w:t xml:space="preserve">: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14"/>
        <w:jc w:val="both"/>
        <w:spacing w:before="0" w:beforeAutospacing="0" w:after="0" w:afterAutospacing="0" w:line="240" w:lineRule="auto"/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color w:val="000000" w:themeColor="text1"/>
          <w:sz w:val="24"/>
          <w:szCs w:val="24"/>
          <w:highlight w:val="white"/>
        </w:rPr>
      </w:r>
    </w:p>
    <w:tbl>
      <w:tblPr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134"/>
        <w:gridCol w:w="1981"/>
        <w:gridCol w:w="1985"/>
      </w:tblGrid>
      <w:tr>
        <w:tblPrEx/>
        <w:trPr>
          <w:trHeight w:val="530"/>
        </w:trPr>
        <w:tc>
          <w:tcPr>
            <w:shd w:val="clear" w:color="auto" w:fill="auto"/>
            <w:tcW w:w="4252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keepLines/>
              <w:keepNext/>
              <w:spacing w:before="0" w:beforeAutospacing="0" w:after="0" w:afterAutospacing="0" w:line="240" w:lineRule="auto"/>
              <w:widowControl w:val="off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  <w:suppressLineNumbers/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ar-SA"/>
              </w:rPr>
              <w:t xml:space="preserve">Наименование товара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keepLines/>
              <w:keepNext/>
              <w:spacing w:before="0" w:beforeAutospacing="0" w:after="0" w:afterAutospacing="0" w:line="240" w:lineRule="auto"/>
              <w:widowControl w:val="off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vertAlign w:val="superscript"/>
              </w:rPr>
              <w:suppressLineNumbers/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ar-SA"/>
              </w:rPr>
              <w:t xml:space="preserve">Кол-во,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1981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Цена с НДС/без НДС, руб.</w:t>
            </w:r>
            <w:r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Сумма с НДС/без НДС, руб.</w:t>
            </w:r>
            <w:r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46"/>
        </w:trPr>
        <w:tc>
          <w:tcPr>
            <w:shd w:val="clear" w:color="auto" w:fill="auto"/>
            <w:tcW w:w="4252" w:type="dxa"/>
            <w:vAlign w:val="center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План эвакуации фотолюминесцентный А2 (600х400мм) на пластике ПВХ 3мм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1981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</w:p>
        </w:tc>
      </w:tr>
    </w:tbl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Принятый Заказчиком товар соответствует требованиям контракта.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Препятствующие приёмке товара недостатки, которые не носят скрытого характера и могут быть обнаружены при обычных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,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для данного товара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,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условиях приёмки, не выявлены.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425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    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(*) Сумма, подлежащая оплате в соответствии с условиями контракта (итого общая стоимость товара)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425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425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   (*) Размер неустойки, подлежащий взысканию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425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425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   (*) Основания применения и порядок расчета неустойки (штрафов)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425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ind w:left="0" w:right="0" w:firstLine="425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    (*) Итоговая сумма, подлежащ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ar-SA"/>
        </w:rPr>
        <w:t xml:space="preserve">ая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ПОДПИСИ СТОРОН</w:t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  <w:br/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От «Заказчика»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ab/>
        <w:t xml:space="preserve">         От «Поставщика»</w:t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Заместитель руководит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еля </w:t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              </w:t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_______________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О.О. Смирнова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                     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 </w:t>
      </w:r>
      <w:r>
        <w:rPr>
          <w:rFonts w:ascii="Tinos" w:hAnsi="Tinos" w:eastAsia="Tinos" w:cs="Tinos"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   _______________ </w:t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pacing w:val="7"/>
          <w:sz w:val="24"/>
          <w:szCs w:val="24"/>
          <w:highlight w:val="white"/>
        </w:rPr>
      </w:r>
    </w:p>
    <w:p>
      <w:pPr>
        <w:contextualSpacing w:val="0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(*) Данные разд</w:t>
      </w:r>
      <w:r>
        <w:rPr>
          <w:rFonts w:ascii="Tinos" w:hAnsi="Tinos" w:eastAsia="Tinos" w:cs="Tinos"/>
          <w:b/>
          <w:bCs/>
          <w:color w:val="000000" w:themeColor="text1"/>
          <w:spacing w:val="7"/>
          <w:sz w:val="24"/>
          <w:szCs w:val="24"/>
          <w:highlight w:val="white"/>
          <w:lang w:eastAsia="ru-RU"/>
        </w:rPr>
        <w:t xml:space="preserve">елы акта заполняются Заказчиком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Calibri">
    <w:panose1 w:val="020F0502020204030204"/>
  </w:font>
  <w:font w:name="Courier">
    <w:panose1 w:val="02000603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  <w:jc w:val="center"/>
    </w:pPr>
    <w:fldSimple w:instr="PAGE \* MERGEFORMAT">
      <w:r>
        <w:t xml:space="preserve">1</w:t>
      </w:r>
    </w:fldSimple>
    <w:r/>
    <w:r/>
  </w:p>
  <w:p>
    <w:pPr>
      <w:pStyle w:val="78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708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5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450" w:hanging="375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1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95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ascii="Times New Roman" w:hAnsi="Times New Roman" w:eastAsia="Times New Roman" w:cs="Times New Roman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ascii="Times New Roman" w:hAnsi="Times New Roman" w:eastAsia="Times New Roman" w:cs="Times New Roman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104" w:hanging="360"/>
      </w:pPr>
      <w:rPr>
        <w:rFonts w:hint="default"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4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32" w:hanging="432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</w:pPr>
      <w:rPr>
        <w:rFonts w:hint="default"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  <w:lvlOverride w:ilvl="0">
      <w:startOverride w:val="1"/>
    </w:lvlOverride>
  </w:num>
  <w:num w:numId="25">
    <w:abstractNumId w:val="23"/>
    <w:lvlOverride w:ilvl="0">
      <w:startOverride w:val="1"/>
    </w:lvlOverride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  <w:lvlOverride w:ilvl="0">
      <w:startOverride w:val="1"/>
    </w:lvlOverride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1">
    <w:name w:val="Heading 1"/>
    <w:basedOn w:val="938"/>
    <w:next w:val="938"/>
    <w:link w:val="7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2">
    <w:name w:val="Heading 1 Char"/>
    <w:basedOn w:val="939"/>
    <w:link w:val="761"/>
    <w:uiPriority w:val="9"/>
    <w:rPr>
      <w:rFonts w:ascii="Arial" w:hAnsi="Arial" w:eastAsia="Arial" w:cs="Arial"/>
      <w:sz w:val="40"/>
      <w:szCs w:val="40"/>
    </w:rPr>
  </w:style>
  <w:style w:type="paragraph" w:styleId="763">
    <w:name w:val="Heading 2"/>
    <w:basedOn w:val="938"/>
    <w:next w:val="938"/>
    <w:link w:val="7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4">
    <w:name w:val="Heading 2 Char"/>
    <w:basedOn w:val="939"/>
    <w:link w:val="763"/>
    <w:uiPriority w:val="9"/>
    <w:rPr>
      <w:rFonts w:ascii="Arial" w:hAnsi="Arial" w:eastAsia="Arial" w:cs="Arial"/>
      <w:sz w:val="34"/>
    </w:rPr>
  </w:style>
  <w:style w:type="paragraph" w:styleId="765">
    <w:name w:val="Heading 3"/>
    <w:basedOn w:val="938"/>
    <w:next w:val="938"/>
    <w:link w:val="7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6">
    <w:name w:val="Heading 3 Char"/>
    <w:basedOn w:val="939"/>
    <w:link w:val="765"/>
    <w:uiPriority w:val="9"/>
    <w:rPr>
      <w:rFonts w:ascii="Arial" w:hAnsi="Arial" w:eastAsia="Arial" w:cs="Arial"/>
      <w:sz w:val="30"/>
      <w:szCs w:val="30"/>
    </w:rPr>
  </w:style>
  <w:style w:type="paragraph" w:styleId="767">
    <w:name w:val="Heading 4"/>
    <w:basedOn w:val="938"/>
    <w:next w:val="938"/>
    <w:link w:val="7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8">
    <w:name w:val="Heading 4 Char"/>
    <w:basedOn w:val="939"/>
    <w:link w:val="767"/>
    <w:uiPriority w:val="9"/>
    <w:rPr>
      <w:rFonts w:ascii="Arial" w:hAnsi="Arial" w:eastAsia="Arial" w:cs="Arial"/>
      <w:b/>
      <w:bCs/>
      <w:sz w:val="26"/>
      <w:szCs w:val="26"/>
    </w:rPr>
  </w:style>
  <w:style w:type="paragraph" w:styleId="769">
    <w:name w:val="Heading 5"/>
    <w:basedOn w:val="938"/>
    <w:next w:val="938"/>
    <w:link w:val="7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0">
    <w:name w:val="Heading 5 Char"/>
    <w:basedOn w:val="939"/>
    <w:link w:val="769"/>
    <w:uiPriority w:val="9"/>
    <w:rPr>
      <w:rFonts w:ascii="Arial" w:hAnsi="Arial" w:eastAsia="Arial" w:cs="Arial"/>
      <w:b/>
      <w:bCs/>
      <w:sz w:val="24"/>
      <w:szCs w:val="24"/>
    </w:rPr>
  </w:style>
  <w:style w:type="paragraph" w:styleId="771">
    <w:name w:val="Heading 6"/>
    <w:basedOn w:val="938"/>
    <w:next w:val="938"/>
    <w:link w:val="7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2">
    <w:name w:val="Heading 6 Char"/>
    <w:basedOn w:val="939"/>
    <w:link w:val="771"/>
    <w:uiPriority w:val="9"/>
    <w:rPr>
      <w:rFonts w:ascii="Arial" w:hAnsi="Arial" w:eastAsia="Arial" w:cs="Arial"/>
      <w:b/>
      <w:bCs/>
      <w:sz w:val="22"/>
      <w:szCs w:val="22"/>
    </w:rPr>
  </w:style>
  <w:style w:type="paragraph" w:styleId="773">
    <w:name w:val="Heading 7"/>
    <w:basedOn w:val="938"/>
    <w:next w:val="938"/>
    <w:link w:val="7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7 Char"/>
    <w:basedOn w:val="939"/>
    <w:link w:val="7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5">
    <w:name w:val="Heading 8"/>
    <w:basedOn w:val="938"/>
    <w:next w:val="938"/>
    <w:link w:val="7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6">
    <w:name w:val="Heading 8 Char"/>
    <w:basedOn w:val="939"/>
    <w:link w:val="775"/>
    <w:uiPriority w:val="9"/>
    <w:rPr>
      <w:rFonts w:ascii="Arial" w:hAnsi="Arial" w:eastAsia="Arial" w:cs="Arial"/>
      <w:i/>
      <w:iCs/>
      <w:sz w:val="22"/>
      <w:szCs w:val="22"/>
    </w:rPr>
  </w:style>
  <w:style w:type="paragraph" w:styleId="777">
    <w:name w:val="Heading 9"/>
    <w:basedOn w:val="938"/>
    <w:next w:val="938"/>
    <w:link w:val="7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8">
    <w:name w:val="Heading 9 Char"/>
    <w:basedOn w:val="939"/>
    <w:link w:val="777"/>
    <w:uiPriority w:val="9"/>
    <w:rPr>
      <w:rFonts w:ascii="Arial" w:hAnsi="Arial" w:eastAsia="Arial" w:cs="Arial"/>
      <w:i/>
      <w:iCs/>
      <w:sz w:val="21"/>
      <w:szCs w:val="21"/>
    </w:rPr>
  </w:style>
  <w:style w:type="paragraph" w:styleId="779">
    <w:name w:val="List Paragraph"/>
    <w:basedOn w:val="938"/>
    <w:uiPriority w:val="34"/>
    <w:qFormat/>
    <w:pPr>
      <w:contextualSpacing/>
      <w:ind w:left="720"/>
    </w:pPr>
  </w:style>
  <w:style w:type="paragraph" w:styleId="780">
    <w:name w:val="No Spacing"/>
    <w:uiPriority w:val="1"/>
    <w:qFormat/>
    <w:pPr>
      <w:spacing w:before="0" w:after="0" w:line="240" w:lineRule="auto"/>
    </w:pPr>
  </w:style>
  <w:style w:type="paragraph" w:styleId="781">
    <w:name w:val="Title"/>
    <w:basedOn w:val="938"/>
    <w:next w:val="938"/>
    <w:link w:val="7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2">
    <w:name w:val="Title Char"/>
    <w:basedOn w:val="939"/>
    <w:link w:val="781"/>
    <w:uiPriority w:val="10"/>
    <w:rPr>
      <w:sz w:val="48"/>
      <w:szCs w:val="48"/>
    </w:rPr>
  </w:style>
  <w:style w:type="paragraph" w:styleId="783">
    <w:name w:val="Subtitle"/>
    <w:basedOn w:val="938"/>
    <w:next w:val="938"/>
    <w:link w:val="784"/>
    <w:uiPriority w:val="11"/>
    <w:qFormat/>
    <w:pPr>
      <w:spacing w:before="200" w:after="200"/>
    </w:pPr>
    <w:rPr>
      <w:sz w:val="24"/>
      <w:szCs w:val="24"/>
    </w:rPr>
  </w:style>
  <w:style w:type="character" w:styleId="784">
    <w:name w:val="Subtitle Char"/>
    <w:basedOn w:val="939"/>
    <w:link w:val="783"/>
    <w:uiPriority w:val="11"/>
    <w:rPr>
      <w:sz w:val="24"/>
      <w:szCs w:val="24"/>
    </w:rPr>
  </w:style>
  <w:style w:type="paragraph" w:styleId="785">
    <w:name w:val="Quote"/>
    <w:basedOn w:val="938"/>
    <w:next w:val="938"/>
    <w:link w:val="786"/>
    <w:uiPriority w:val="29"/>
    <w:qFormat/>
    <w:pPr>
      <w:ind w:left="720" w:right="720"/>
    </w:pPr>
    <w:rPr>
      <w:i/>
    </w:rPr>
  </w:style>
  <w:style w:type="character" w:styleId="786">
    <w:name w:val="Quote Char"/>
    <w:link w:val="785"/>
    <w:uiPriority w:val="29"/>
    <w:rPr>
      <w:i/>
    </w:rPr>
  </w:style>
  <w:style w:type="paragraph" w:styleId="787">
    <w:name w:val="Intense Quote"/>
    <w:basedOn w:val="938"/>
    <w:next w:val="938"/>
    <w:link w:val="7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8">
    <w:name w:val="Intense Quote Char"/>
    <w:link w:val="787"/>
    <w:uiPriority w:val="30"/>
    <w:rPr>
      <w:i/>
    </w:rPr>
  </w:style>
  <w:style w:type="paragraph" w:styleId="789">
    <w:name w:val="Header"/>
    <w:basedOn w:val="938"/>
    <w:link w:val="7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0">
    <w:name w:val="Header Char"/>
    <w:basedOn w:val="939"/>
    <w:link w:val="789"/>
    <w:uiPriority w:val="99"/>
  </w:style>
  <w:style w:type="paragraph" w:styleId="791">
    <w:name w:val="Footer"/>
    <w:basedOn w:val="938"/>
    <w:link w:val="7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2">
    <w:name w:val="Footer Char"/>
    <w:basedOn w:val="939"/>
    <w:link w:val="791"/>
    <w:uiPriority w:val="99"/>
  </w:style>
  <w:style w:type="paragraph" w:styleId="793">
    <w:name w:val="Caption"/>
    <w:basedOn w:val="938"/>
    <w:next w:val="9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4">
    <w:name w:val="Caption Char"/>
    <w:basedOn w:val="793"/>
    <w:link w:val="791"/>
    <w:uiPriority w:val="99"/>
  </w:style>
  <w:style w:type="table" w:styleId="795">
    <w:name w:val="Table Grid Light"/>
    <w:basedOn w:val="9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6">
    <w:name w:val="Plain Table 1"/>
    <w:basedOn w:val="9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7">
    <w:name w:val="Plain Table 2"/>
    <w:basedOn w:val="9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8">
    <w:name w:val="Plain Table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9">
    <w:name w:val="Plain Table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Plain Table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1">
    <w:name w:val="Grid Table 1 Light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4"/>
    <w:basedOn w:val="9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3">
    <w:name w:val="Grid Table 4 - Accent 1"/>
    <w:basedOn w:val="9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4">
    <w:name w:val="Grid Table 4 - Accent 2"/>
    <w:basedOn w:val="9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Grid Table 4 - Accent 3"/>
    <w:basedOn w:val="9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6">
    <w:name w:val="Grid Table 4 - Accent 4"/>
    <w:basedOn w:val="9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Grid Table 4 - Accent 5"/>
    <w:basedOn w:val="9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8">
    <w:name w:val="Grid Table 4 - Accent 6"/>
    <w:basedOn w:val="9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9">
    <w:name w:val="Grid Table 5 Dark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0">
    <w:name w:val="Grid Table 5 Dark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1">
    <w:name w:val="Grid Table 5 Dark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33">
    <w:name w:val="Grid Table 5 Dark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34">
    <w:name w:val="Grid Table 5 Dark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36">
    <w:name w:val="Grid Table 6 Colorful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7">
    <w:name w:val="Grid Table 6 Colorful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8">
    <w:name w:val="Grid Table 6 Colorful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9">
    <w:name w:val="Grid Table 6 Colorful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0">
    <w:name w:val="Grid Table 6 Colorful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1">
    <w:name w:val="Grid Table 6 Colorful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2">
    <w:name w:val="Grid Table 6 Colorful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3">
    <w:name w:val="Grid Table 7 Colorful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8">
    <w:name w:val="List Table 2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9">
    <w:name w:val="List Table 2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0">
    <w:name w:val="List Table 2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1">
    <w:name w:val="List Table 2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2">
    <w:name w:val="List Table 2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3">
    <w:name w:val="List Table 2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4">
    <w:name w:val="List Table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5 Dark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6 Colorful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6">
    <w:name w:val="List Table 6 Colorful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7">
    <w:name w:val="List Table 6 Colorful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8">
    <w:name w:val="List Table 6 Colorful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9">
    <w:name w:val="List Table 6 Colorful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0">
    <w:name w:val="List Table 6 Colorful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1">
    <w:name w:val="List Table 6 Colorful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2">
    <w:name w:val="List Table 7 Colorful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3">
    <w:name w:val="List Table 7 Colorful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94">
    <w:name w:val="List Table 7 Colorful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95">
    <w:name w:val="List Table 7 Colorful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96">
    <w:name w:val="List Table 7 Colorful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97">
    <w:name w:val="List Table 7 Colorful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98">
    <w:name w:val="List Table 7 Colorful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9">
    <w:name w:val="Lined - Accent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0">
    <w:name w:val="Lined - Accent 1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1">
    <w:name w:val="Lined - Accent 2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2">
    <w:name w:val="Lined - Accent 3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3">
    <w:name w:val="Lined - Accent 4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4">
    <w:name w:val="Lined - Accent 5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5">
    <w:name w:val="Lined - Accent 6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6">
    <w:name w:val="Bordered &amp; Lined - Accent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7">
    <w:name w:val="Bordered &amp; Lined - Accent 1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8">
    <w:name w:val="Bordered &amp; Lined - Accent 2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9">
    <w:name w:val="Bordered &amp; Lined - Accent 3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0">
    <w:name w:val="Bordered &amp; Lined - Accent 4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1">
    <w:name w:val="Bordered &amp; Lined - Accent 5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2">
    <w:name w:val="Bordered &amp; Lined - Accent 6"/>
    <w:basedOn w:val="9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3">
    <w:name w:val="Bordered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4">
    <w:name w:val="Bordered - Accent 1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5">
    <w:name w:val="Bordered - Accent 2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6">
    <w:name w:val="Bordered - Accent 3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7">
    <w:name w:val="Bordered - Accent 4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8">
    <w:name w:val="Bordered - Accent 5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9">
    <w:name w:val="Bordered - Accent 6"/>
    <w:basedOn w:val="9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0">
    <w:name w:val="Hyperlink"/>
    <w:uiPriority w:val="99"/>
    <w:unhideWhenUsed/>
    <w:rPr>
      <w:color w:val="0000ff" w:themeColor="hyperlink"/>
      <w:u w:val="single"/>
    </w:rPr>
  </w:style>
  <w:style w:type="paragraph" w:styleId="921">
    <w:name w:val="footnote text"/>
    <w:basedOn w:val="938"/>
    <w:link w:val="922"/>
    <w:uiPriority w:val="99"/>
    <w:semiHidden/>
    <w:unhideWhenUsed/>
    <w:pPr>
      <w:spacing w:after="40" w:line="240" w:lineRule="auto"/>
    </w:pPr>
    <w:rPr>
      <w:sz w:val="18"/>
    </w:rPr>
  </w:style>
  <w:style w:type="character" w:styleId="922">
    <w:name w:val="Footnote Text Char"/>
    <w:link w:val="921"/>
    <w:uiPriority w:val="99"/>
    <w:rPr>
      <w:sz w:val="18"/>
    </w:rPr>
  </w:style>
  <w:style w:type="character" w:styleId="923">
    <w:name w:val="footnote reference"/>
    <w:basedOn w:val="939"/>
    <w:uiPriority w:val="99"/>
    <w:unhideWhenUsed/>
    <w:rPr>
      <w:vertAlign w:val="superscript"/>
    </w:rPr>
  </w:style>
  <w:style w:type="paragraph" w:styleId="924">
    <w:name w:val="endnote text"/>
    <w:basedOn w:val="938"/>
    <w:link w:val="925"/>
    <w:uiPriority w:val="99"/>
    <w:semiHidden/>
    <w:unhideWhenUsed/>
    <w:pPr>
      <w:spacing w:after="0" w:line="240" w:lineRule="auto"/>
    </w:pPr>
    <w:rPr>
      <w:sz w:val="20"/>
    </w:rPr>
  </w:style>
  <w:style w:type="character" w:styleId="925">
    <w:name w:val="Endnote Text Char"/>
    <w:link w:val="924"/>
    <w:uiPriority w:val="99"/>
    <w:rPr>
      <w:sz w:val="20"/>
    </w:rPr>
  </w:style>
  <w:style w:type="character" w:styleId="926">
    <w:name w:val="endnote reference"/>
    <w:basedOn w:val="939"/>
    <w:uiPriority w:val="99"/>
    <w:semiHidden/>
    <w:unhideWhenUsed/>
    <w:rPr>
      <w:vertAlign w:val="superscript"/>
    </w:rPr>
  </w:style>
  <w:style w:type="paragraph" w:styleId="927">
    <w:name w:val="toc 1"/>
    <w:basedOn w:val="938"/>
    <w:next w:val="938"/>
    <w:uiPriority w:val="39"/>
    <w:unhideWhenUsed/>
    <w:pPr>
      <w:ind w:left="0" w:right="0" w:firstLine="0"/>
      <w:spacing w:after="57"/>
    </w:pPr>
  </w:style>
  <w:style w:type="paragraph" w:styleId="928">
    <w:name w:val="toc 2"/>
    <w:basedOn w:val="938"/>
    <w:next w:val="938"/>
    <w:uiPriority w:val="39"/>
    <w:unhideWhenUsed/>
    <w:pPr>
      <w:ind w:left="283" w:right="0" w:firstLine="0"/>
      <w:spacing w:after="57"/>
    </w:pPr>
  </w:style>
  <w:style w:type="paragraph" w:styleId="929">
    <w:name w:val="toc 3"/>
    <w:basedOn w:val="938"/>
    <w:next w:val="938"/>
    <w:uiPriority w:val="39"/>
    <w:unhideWhenUsed/>
    <w:pPr>
      <w:ind w:left="567" w:right="0" w:firstLine="0"/>
      <w:spacing w:after="57"/>
    </w:pPr>
  </w:style>
  <w:style w:type="paragraph" w:styleId="930">
    <w:name w:val="toc 4"/>
    <w:basedOn w:val="938"/>
    <w:next w:val="938"/>
    <w:uiPriority w:val="39"/>
    <w:unhideWhenUsed/>
    <w:pPr>
      <w:ind w:left="850" w:right="0" w:firstLine="0"/>
      <w:spacing w:after="57"/>
    </w:pPr>
  </w:style>
  <w:style w:type="paragraph" w:styleId="931">
    <w:name w:val="toc 5"/>
    <w:basedOn w:val="938"/>
    <w:next w:val="938"/>
    <w:uiPriority w:val="39"/>
    <w:unhideWhenUsed/>
    <w:pPr>
      <w:ind w:left="1134" w:right="0" w:firstLine="0"/>
      <w:spacing w:after="57"/>
    </w:pPr>
  </w:style>
  <w:style w:type="paragraph" w:styleId="932">
    <w:name w:val="toc 6"/>
    <w:basedOn w:val="938"/>
    <w:next w:val="938"/>
    <w:uiPriority w:val="39"/>
    <w:unhideWhenUsed/>
    <w:pPr>
      <w:ind w:left="1417" w:right="0" w:firstLine="0"/>
      <w:spacing w:after="57"/>
    </w:pPr>
  </w:style>
  <w:style w:type="paragraph" w:styleId="933">
    <w:name w:val="toc 7"/>
    <w:basedOn w:val="938"/>
    <w:next w:val="938"/>
    <w:uiPriority w:val="39"/>
    <w:unhideWhenUsed/>
    <w:pPr>
      <w:ind w:left="1701" w:right="0" w:firstLine="0"/>
      <w:spacing w:after="57"/>
    </w:pPr>
  </w:style>
  <w:style w:type="paragraph" w:styleId="934">
    <w:name w:val="toc 8"/>
    <w:basedOn w:val="938"/>
    <w:next w:val="938"/>
    <w:uiPriority w:val="39"/>
    <w:unhideWhenUsed/>
    <w:pPr>
      <w:ind w:left="1984" w:right="0" w:firstLine="0"/>
      <w:spacing w:after="57"/>
    </w:pPr>
  </w:style>
  <w:style w:type="paragraph" w:styleId="935">
    <w:name w:val="toc 9"/>
    <w:basedOn w:val="938"/>
    <w:next w:val="938"/>
    <w:uiPriority w:val="39"/>
    <w:unhideWhenUsed/>
    <w:pPr>
      <w:ind w:left="2268" w:right="0" w:firstLine="0"/>
      <w:spacing w:after="57"/>
    </w:pPr>
  </w:style>
  <w:style w:type="paragraph" w:styleId="936">
    <w:name w:val="TOC Heading"/>
    <w:uiPriority w:val="39"/>
    <w:unhideWhenUsed/>
  </w:style>
  <w:style w:type="paragraph" w:styleId="937">
    <w:name w:val="table of figures"/>
    <w:basedOn w:val="938"/>
    <w:next w:val="938"/>
    <w:uiPriority w:val="99"/>
    <w:unhideWhenUsed/>
    <w:pPr>
      <w:spacing w:after="0" w:afterAutospacing="0"/>
    </w:pPr>
  </w:style>
  <w:style w:type="paragraph" w:styleId="938" w:default="1">
    <w:name w:val="Normal"/>
    <w:qFormat/>
  </w:style>
  <w:style w:type="character" w:styleId="939" w:default="1">
    <w:name w:val="Default Paragraph Font"/>
    <w:uiPriority w:val="1"/>
    <w:semiHidden/>
    <w:unhideWhenUsed/>
  </w:style>
  <w:style w:type="table" w:styleId="9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1" w:default="1">
    <w:name w:val="No List"/>
    <w:uiPriority w:val="99"/>
    <w:semiHidden/>
    <w:unhideWhenUsed/>
  </w:style>
  <w:style w:type="table" w:styleId="942" w:customStyle="1">
    <w:name w:val="Сетка таблицы1"/>
    <w:basedOn w:val="940"/>
    <w:next w:val="94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3">
    <w:name w:val="Table Grid"/>
    <w:basedOn w:val="94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4">
    <w:name w:val="Balloon Text"/>
    <w:basedOn w:val="938"/>
    <w:link w:val="94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45" w:customStyle="1">
    <w:name w:val="Текст выноски Знак"/>
    <w:basedOn w:val="939"/>
    <w:link w:val="944"/>
    <w:uiPriority w:val="99"/>
    <w:semiHidden/>
    <w:rPr>
      <w:rFonts w:ascii="Segoe UI" w:hAnsi="Segoe UI" w:cs="Segoe UI"/>
      <w:sz w:val="18"/>
      <w:szCs w:val="18"/>
    </w:rPr>
  </w:style>
  <w:style w:type="table" w:styleId="946" w:customStyle="1">
    <w:name w:val="Сетка таблицы2"/>
    <w:basedOn w:val="940"/>
    <w:next w:val="94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7" w:customStyle="1">
    <w:name w:val="Сетка таблицы3"/>
    <w:basedOn w:val="940"/>
    <w:next w:val="94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8" w:customStyle="1">
    <w:name w:val="Сетка таблицы4"/>
    <w:basedOn w:val="940"/>
    <w:next w:val="943"/>
    <w:pPr>
      <w:jc w:val="both"/>
      <w:spacing w:after="0" w:line="240" w:lineRule="auto"/>
    </w:pPr>
    <w:rPr>
      <w:rFonts w:ascii="Calibri" w:hAnsi="Calibri" w:eastAsia="Times New Roman" w:cs="Times New Roman"/>
      <w:color w:val="000000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9" w:customStyle="1">
    <w:name w:val="Сетка таблицы5"/>
    <w:basedOn w:val="940"/>
    <w:next w:val="94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0" w:customStyle="1">
    <w:name w:val="Гиперссылка"/>
    <w:uiPriority w:val="99"/>
    <w:unhideWhenUsed/>
    <w:rPr>
      <w:color w:val="0563c1"/>
      <w:u w:val="single"/>
    </w:rPr>
  </w:style>
  <w:style w:type="paragraph" w:styleId="951" w:customStyle="1">
    <w:name w:val="ConsNormal"/>
    <w:link w:val="945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52" w:customStyle="1">
    <w:name w:val="Íîðìàëüíûé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" w:hAnsi="Courier" w:eastAsia="Arial" w:cs="Courier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GB" w:eastAsia="ar-SA" w:bidi="ar-SA"/>
      <w14:ligatures w14:val="none"/>
    </w:rPr>
  </w:style>
  <w:style w:type="paragraph" w:styleId="953" w:customStyle="1">
    <w:name w:val="ConsNonformat"/>
    <w:pPr>
      <w:contextualSpacing w:val="0"/>
      <w:ind w:left="0" w:right="19772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Arial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54" w:customStyle="1">
    <w:name w:val="Абзац списка"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55" w:customStyle="1">
    <w:name w:val="Body Text"/>
    <w:basedOn w:val="869"/>
    <w:link w:val="874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56" w:customStyle="1">
    <w:name w:val="ConsPlusNormal"/>
    <w:link w:val="876"/>
    <w:uiPriority w:val="99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57" w:customStyle="1">
    <w:name w:val="мини_список"/>
    <w:qFormat/>
    <w:pPr>
      <w:numPr>
        <w:ilvl w:val="0"/>
        <w:numId w:val="0"/>
      </w:numPr>
      <w:contextualSpacing w:val="0"/>
      <w:ind w:left="720" w:right="0" w:firstLine="0"/>
      <w:jc w:val="both"/>
      <w:keepLines w:val="0"/>
      <w:keepNext w:val="0"/>
      <w:pageBreakBefore w:val="0"/>
      <w:spacing w:before="60" w:beforeAutospacing="0" w:after="6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/>
      <w:i w:val="0"/>
      <w:iCs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58" w:customStyle="1">
    <w:name w:val="Body Text Indent"/>
    <w:basedOn w:val="898"/>
    <w:uiPriority w:val="99"/>
    <w:pPr>
      <w:contextualSpacing w:val="0"/>
      <w:ind w:left="283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59" w:customStyle="1">
    <w:name w:val="Numbered Level 1"/>
    <w:pPr>
      <w:numPr>
        <w:ilvl w:val="0"/>
        <w:numId w:val="0"/>
      </w:numPr>
      <w:contextualSpacing w:val="0"/>
      <w:ind w:left="700" w:right="0" w:hanging="36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0" w:customStyle="1">
    <w:name w:val="ТЗ0 Марк б/н1"/>
    <w:basedOn w:val="898"/>
    <w:pPr>
      <w:numPr>
        <w:ilvl w:val="0"/>
        <w:numId w:val="0"/>
      </w:numPr>
      <w:contextualSpacing w:val="0"/>
      <w:ind w:left="1713" w:right="0" w:hanging="360"/>
      <w:jc w:val="both"/>
      <w:keepLines w:val="0"/>
      <w:keepNext w:val="0"/>
      <w:pageBreakBefore w:val="0"/>
      <w:spacing w:before="60" w:beforeAutospacing="0" w:after="6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ru-RU" w:bidi="ar-SA"/>
      <w14:ligatures w14:val="none"/>
    </w:rPr>
  </w:style>
  <w:style w:type="paragraph" w:styleId="961" w:customStyle="1">
    <w:name w:val="Основной текст (2)"/>
    <w:uiPriority w:val="99"/>
    <w:pPr>
      <w:contextualSpacing w:val="0"/>
      <w:ind w:left="0" w:right="0" w:hanging="380"/>
      <w:jc w:val="left"/>
      <w:keepLines w:val="0"/>
      <w:keepNext w:val="0"/>
      <w:pageBreakBefore w:val="0"/>
      <w:spacing w:before="480" w:beforeAutospacing="0" w:after="0" w:afterAutospacing="0" w:line="44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62" w:customStyle="1">
    <w:name w:val="Содержимое таблицы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character" w:styleId="963" w:customStyle="1">
    <w:name w:val="Font Style52"/>
    <w:basedOn w:val="901"/>
    <w:rPr>
      <w:rFonts w:ascii="Times New Roman" w:hAnsi="Times New Roman" w:cs="Times New Roman"/>
      <w:sz w:val="22"/>
      <w:szCs w:val="22"/>
    </w:rPr>
  </w:style>
  <w:style w:type="character" w:styleId="964" w:customStyle="1">
    <w:name w:val="Strong"/>
    <w:basedOn w:val="901"/>
    <w:qFormat/>
    <w:rPr>
      <w:b/>
      <w:bCs/>
    </w:rPr>
  </w:style>
  <w:style w:type="paragraph" w:styleId="965" w:customStyle="1">
    <w:name w:val="Без интервала"/>
    <w:next w:val="896"/>
    <w:link w:val="86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shov</dc:creator>
  <cp:keywords/>
  <dc:description/>
  <cp:revision>68</cp:revision>
  <dcterms:created xsi:type="dcterms:W3CDTF">2024-07-24T08:40:00Z</dcterms:created>
  <dcterms:modified xsi:type="dcterms:W3CDTF">2026-08-17T12:12:20Z</dcterms:modified>
</cp:coreProperties>
</file>