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contextualSpacing w:val="true"/>
        <w:jc w:val="center"/>
        <w:spacing w:lineRule="auto" w:line="300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Обоснование </w:t>
      </w:r>
      <w:r>
        <w:rPr>
          <w:b/>
          <w:sz w:val="22"/>
          <w:szCs w:val="28"/>
        </w:rPr>
        <w:t xml:space="preserve">максимального значения цены контракта</w:t>
      </w:r>
      <w:r>
        <w:rPr>
          <w:b/>
          <w:sz w:val="22"/>
          <w:szCs w:val="28"/>
        </w:rPr>
        <w:t xml:space="preserve">:</w:t>
      </w:r>
      <w:r>
        <w:rPr>
          <w:sz w:val="22"/>
        </w:rPr>
      </w:r>
      <w:r/>
    </w:p>
    <w:p>
      <w:pPr>
        <w:pStyle w:val="870"/>
        <w:contextualSpacing w:val="true"/>
        <w:ind w:firstLine="567"/>
        <w:jc w:val="both"/>
        <w:spacing w:lineRule="auto" w:line="300"/>
        <w:rPr>
          <w:sz w:val="22"/>
          <w:szCs w:val="26"/>
        </w:rPr>
      </w:pPr>
      <w:r>
        <w:rPr>
          <w:sz w:val="22"/>
          <w:szCs w:val="26"/>
        </w:rPr>
        <w:t xml:space="preserve">Используемый метод определения</w:t>
      </w:r>
      <w:r>
        <w:rPr>
          <w:sz w:val="22"/>
          <w:szCs w:val="26"/>
        </w:rPr>
        <w:t xml:space="preserve"> и обоснования</w:t>
      </w:r>
      <w:r>
        <w:rPr>
          <w:sz w:val="22"/>
          <w:szCs w:val="26"/>
        </w:rPr>
        <w:t xml:space="preserve"> </w:t>
      </w:r>
      <w:r>
        <w:rPr>
          <w:sz w:val="22"/>
          <w:szCs w:val="26"/>
        </w:rPr>
        <w:t xml:space="preserve">максимального значения цены контракта</w:t>
      </w:r>
      <w:r>
        <w:rPr>
          <w:sz w:val="22"/>
          <w:szCs w:val="26"/>
        </w:rPr>
        <w:t xml:space="preserve">: иной метод (ч. 12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 </w:t>
      </w:r>
      <w:r>
        <w:rPr>
          <w:sz w:val="22"/>
        </w:rPr>
      </w:r>
      <w:r/>
    </w:p>
    <w:p>
      <w:pPr>
        <w:pStyle w:val="870"/>
        <w:contextualSpacing w:val="true"/>
        <w:ind w:firstLine="567"/>
        <w:jc w:val="both"/>
        <w:spacing w:lineRule="auto" w:line="300"/>
        <w:rPr>
          <w:sz w:val="22"/>
          <w:szCs w:val="26"/>
        </w:rPr>
      </w:pPr>
      <w:r>
        <w:rPr>
          <w:sz w:val="22"/>
          <w:szCs w:val="26"/>
        </w:rPr>
        <w:t xml:space="preserve">Обоснование невозможности применения методов, указанных в части 1 статьи 22 Закона № 44-ФЗ: определить НМЦК, используя методы, перечисленные в ч.1 ст.22 Закона № 44-ФЗ, не представляется возможным, поскольку предметом настоящей закупки являются </w:t>
      </w:r>
      <w:r>
        <w:rPr>
          <w:sz w:val="22"/>
          <w:szCs w:val="26"/>
        </w:rPr>
        <w:t xml:space="preserve">а</w:t>
      </w:r>
      <w:r>
        <w:rPr>
          <w:sz w:val="22"/>
          <w:szCs w:val="26"/>
        </w:rPr>
        <w:t xml:space="preserve">втомобильный бензин. В силу требований приказа Федеральной антимонопольной службы от 22.11.2024 г. № 894/24 "Об утверждении п</w:t>
      </w:r>
      <w:r>
        <w:rPr>
          <w:sz w:val="22"/>
          <w:szCs w:val="26"/>
        </w:rPr>
        <w:t xml:space="preserve">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</w:t>
      </w:r>
      <w:r>
        <w:rPr>
          <w:sz w:val="22"/>
          <w:szCs w:val="26"/>
        </w:rPr>
        <w:t xml:space="preserve">й и авиационный бензин" (далее - Приказ № 894/24), Заказчик в случае закупки вышеуказанного товара на топливораздаточных колонках посредством отгрузки в бак (емкость) автомобильного транспорта определяет НМЦК в соответствии с требованиями Приказа № 894/24 </w:t>
      </w:r>
      <w:r>
        <w:rPr>
          <w:sz w:val="22"/>
        </w:rPr>
      </w:r>
      <w:r/>
    </w:p>
    <w:p>
      <w:pPr>
        <w:pStyle w:val="870"/>
        <w:contextualSpacing w:val="true"/>
        <w:jc w:val="both"/>
        <w:spacing w:lineRule="auto" w:line="300"/>
        <w:rPr>
          <w:b/>
          <w:sz w:val="22"/>
          <w:szCs w:val="16"/>
        </w:rPr>
      </w:pPr>
      <w:r>
        <w:rPr>
          <w:b/>
          <w:sz w:val="22"/>
          <w:szCs w:val="16"/>
        </w:rPr>
      </w:r>
      <w:r>
        <w:rPr>
          <w:sz w:val="22"/>
        </w:rPr>
      </w:r>
      <w:r/>
    </w:p>
    <w:p>
      <w:pPr>
        <w:pStyle w:val="870"/>
        <w:contextualSpacing w:val="true"/>
        <w:ind w:firstLine="567"/>
        <w:jc w:val="both"/>
        <w:spacing w:lineRule="auto" w:line="300"/>
        <w:rPr>
          <w:sz w:val="22"/>
          <w:szCs w:val="26"/>
        </w:rPr>
      </w:pPr>
      <w:r>
        <w:rPr>
          <w:sz w:val="22"/>
          <w:szCs w:val="26"/>
        </w:rPr>
        <w:t xml:space="preserve">В соответствии с п.10 Приказа ФАС России в случае определения цены на период поставки товара более одного календарного месяца к расчету НМЦК</w:t>
      </w:r>
      <w:r>
        <w:rPr>
          <w:sz w:val="22"/>
          <w:szCs w:val="26"/>
        </w:rPr>
        <w:t xml:space="preserve"> применяется индекс потребительских цен, установленный в базовом варианте одобренного Правительством Российской Федерации прогноза социально-экономического развития Российской Федерации на среднесрочный период:</w:t>
      </w:r>
      <w:r>
        <w:rPr>
          <w:sz w:val="22"/>
        </w:rPr>
      </w:r>
      <w:r/>
    </w:p>
    <w:p>
      <w:pPr>
        <w:pStyle w:val="870"/>
        <w:contextualSpacing w:val="true"/>
        <w:jc w:val="both"/>
        <w:spacing w:lineRule="auto" w:line="300"/>
        <w:rPr>
          <w:b/>
          <w:sz w:val="22"/>
          <w:szCs w:val="16"/>
        </w:rPr>
      </w:pPr>
      <w:r>
        <w:rPr>
          <w:b/>
          <w:sz w:val="22"/>
          <w:szCs w:val="16"/>
        </w:rPr>
      </w:r>
      <w:r>
        <w:rPr>
          <w:sz w:val="22"/>
        </w:rPr>
      </w:r>
      <w:r/>
    </w:p>
    <w:p>
      <w:pPr>
        <w:pStyle w:val="870"/>
        <w:spacing w:lineRule="auto" w:line="300"/>
        <w:rPr>
          <w:rFonts w:eastAsia="Calibri"/>
          <w:iCs/>
          <w:sz w:val="22"/>
          <w:szCs w:val="23"/>
        </w:rPr>
      </w:pPr>
      <w:r>
        <w:rPr>
          <w:rFonts w:eastAsia="Calibri"/>
          <w:iCs/>
          <w:sz w:val="22"/>
          <w:szCs w:val="23"/>
          <w:lang w:val="en-US" w:eastAsia="en-US"/>
        </w:rPr>
        <w:t xml:space="preserve">I</w:t>
      </w:r>
      <w:r>
        <w:rPr>
          <w:rFonts w:eastAsia="Calibri"/>
          <w:iCs/>
          <w:sz w:val="22"/>
          <w:szCs w:val="23"/>
          <w:vertAlign w:val="subscript"/>
          <w:lang w:eastAsia="en-US"/>
        </w:rPr>
        <w:t xml:space="preserve">инфл </w:t>
      </w:r>
      <w:r>
        <w:rPr>
          <w:rFonts w:eastAsia="Calibri"/>
          <w:iCs/>
          <w:sz w:val="22"/>
          <w:szCs w:val="23"/>
          <w:lang w:eastAsia="en-US"/>
        </w:rPr>
        <w:t xml:space="preserve">= </w:t>
      </w:r>
      <w:r>
        <w:rPr>
          <w:rFonts w:eastAsia="Calibri"/>
          <w:iCs/>
          <w:position w:val="-14"/>
          <w:sz w:val="22"/>
          <w:szCs w:val="23"/>
          <w:lang w:eastAsia="en-US"/>
        </w:rPr>
      </w:r>
      <m:oMath>
        <m:d>
          <m:dPr>
            <m:ctrlPr>
              <w:rPr>
                <w:rFonts w:ascii="Cambria Math" w:hAnsi="Cambria Math" w:cs="Cambria Math" w:eastAsia="Cambria Math"/>
                <w:i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 w:cs="Cambria Math" w:eastAsia="Cambria Math"/>
                    <w:i/>
                    <w:sz w:val="22"/>
                  </w:rPr>
                </m:ctrlPr>
              </m:fPr>
              <m:num>
                <m:r>
                  <w:rPr>
                    <w:rFonts w:ascii="Cambria Math"/>
                    <w:i/>
                    <w:sz w:val="22"/>
                  </w:rPr>
                  <m:rPr/>
                  <m:t>ИПЦ-100</m:t>
                </m:r>
              </m:num>
              <m:den>
                <m:r>
                  <w:rPr>
                    <w:rFonts w:ascii="Cambria Math"/>
                    <w:i/>
                    <w:sz w:val="22"/>
                  </w:rPr>
                  <m:rPr/>
                  <m:t>100</m:t>
                </m:r>
              </m:den>
            </m:f>
          </m:e>
        </m:d>
        <m:r>
          <w:rPr>
            <w:rFonts w:ascii="Cambria Math"/>
            <w:i/>
            <w:sz w:val="22"/>
          </w:rPr>
          <m:rPr/>
          <m:t>/12*</m:t>
        </m:r>
        <m:r>
          <w:rPr>
            <w:rFonts w:ascii="Cambria Math"/>
            <w:i/>
            <w:sz w:val="22"/>
          </w:rPr>
          <m:rPr/>
          <m:t>N</m:t>
        </m:r>
        <m:r>
          <w:rPr>
            <w:rFonts w:ascii="Cambria Math"/>
            <w:i/>
            <w:sz w:val="22"/>
          </w:rPr>
          <m:rPr/>
          <m:t>+1, </m:t>
        </m:r>
      </m:oMath>
      <w:r>
        <w:rPr>
          <w:rFonts w:eastAsia="Calibri"/>
          <w:iCs/>
          <w:sz w:val="22"/>
          <w:szCs w:val="23"/>
          <w:lang w:eastAsia="en-US"/>
        </w:rPr>
        <w:fldChar w:fldCharType="separate"/>
      </w:r>
      <w:r>
        <w:rPr>
          <w:sz w:val="22"/>
        </w:rPr>
      </w:r>
      <w:r/>
    </w:p>
    <w:p>
      <w:pPr>
        <w:pStyle w:val="870"/>
        <w:spacing w:lineRule="auto" w:line="300"/>
        <w:rPr>
          <w:rFonts w:eastAsia="Calibri"/>
          <w:iCs/>
          <w:sz w:val="22"/>
          <w:szCs w:val="6"/>
        </w:rPr>
      </w:pPr>
      <w:r>
        <w:rPr>
          <w:rFonts w:eastAsia="Calibri"/>
          <w:iCs/>
          <w:sz w:val="22"/>
          <w:szCs w:val="6"/>
          <w:lang w:eastAsia="en-US"/>
        </w:rPr>
      </w:r>
      <w:r>
        <w:rPr>
          <w:sz w:val="22"/>
        </w:rPr>
      </w:r>
      <w:r/>
    </w:p>
    <w:p>
      <w:pPr>
        <w:pStyle w:val="870"/>
        <w:spacing w:lineRule="auto" w:line="300"/>
        <w:rPr>
          <w:rFonts w:eastAsia="Calibri"/>
          <w:iCs/>
          <w:sz w:val="22"/>
          <w:szCs w:val="23"/>
        </w:rPr>
      </w:pPr>
      <w:r>
        <w:rPr>
          <w:rFonts w:eastAsia="Calibri"/>
          <w:iCs/>
          <w:sz w:val="22"/>
          <w:szCs w:val="23"/>
          <w:lang w:eastAsia="en-US"/>
        </w:rPr>
        <w:t xml:space="preserve">где:</w:t>
      </w:r>
      <w:r>
        <w:rPr>
          <w:sz w:val="22"/>
        </w:rPr>
      </w:r>
      <w:r/>
    </w:p>
    <w:p>
      <w:pPr>
        <w:pStyle w:val="870"/>
        <w:spacing w:lineRule="auto" w:line="300"/>
        <w:rPr>
          <w:rFonts w:eastAsia="Calibri"/>
          <w:iCs/>
          <w:sz w:val="22"/>
          <w:szCs w:val="23"/>
        </w:rPr>
      </w:pPr>
      <w:r>
        <w:rPr>
          <w:rFonts w:eastAsia="Calibri"/>
          <w:iCs/>
          <w:sz w:val="22"/>
          <w:szCs w:val="23"/>
          <w:lang w:val="en-US" w:eastAsia="en-US"/>
        </w:rPr>
        <w:t xml:space="preserve">I</w:t>
      </w:r>
      <w:r>
        <w:rPr>
          <w:rFonts w:eastAsia="Calibri"/>
          <w:iCs/>
          <w:sz w:val="22"/>
          <w:szCs w:val="23"/>
          <w:vertAlign w:val="subscript"/>
          <w:lang w:eastAsia="en-US"/>
        </w:rPr>
        <w:t xml:space="preserve">инфл </w:t>
      </w:r>
      <w:r>
        <w:rPr>
          <w:rFonts w:eastAsia="Calibri"/>
          <w:iCs/>
          <w:sz w:val="22"/>
          <w:szCs w:val="23"/>
          <w:lang w:eastAsia="en-US"/>
        </w:rPr>
        <w:t xml:space="preserve">- индекс инфляции, рассчитанный пропорционально количеству месяцев поставки товара;</w:t>
      </w:r>
      <w:r>
        <w:rPr>
          <w:sz w:val="22"/>
        </w:rPr>
      </w:r>
      <w:r/>
    </w:p>
    <w:p>
      <w:pPr>
        <w:pStyle w:val="870"/>
        <w:spacing w:lineRule="auto" w:line="300"/>
        <w:rPr>
          <w:sz w:val="22"/>
          <w:szCs w:val="23"/>
        </w:rPr>
      </w:pPr>
      <w:r>
        <w:rPr>
          <w:rFonts w:eastAsia="Calibri"/>
          <w:iCs/>
          <w:sz w:val="22"/>
          <w:szCs w:val="23"/>
          <w:lang w:eastAsia="en-US"/>
        </w:rPr>
        <w:t xml:space="preserve">ИПЦгод - индекс потребительских цен, определенных в прогнозе социально-экономического развития Российской Федерации на среднесрочный период, одобренном Правительством Российской Федерации, установленный в целом на 2026 год = 104%</w:t>
      </w:r>
      <w:r>
        <w:rPr>
          <w:sz w:val="22"/>
          <w:szCs w:val="23"/>
        </w:rPr>
        <w:t xml:space="preserve">;</w:t>
      </w:r>
      <w:r>
        <w:rPr>
          <w:sz w:val="22"/>
        </w:rPr>
      </w:r>
      <w:r/>
    </w:p>
    <w:p>
      <w:pPr>
        <w:pStyle w:val="870"/>
        <w:spacing w:lineRule="auto" w:line="300"/>
        <w:rPr>
          <w:rFonts w:eastAsia="Calibri"/>
          <w:iCs/>
          <w:sz w:val="22"/>
          <w:szCs w:val="23"/>
        </w:rPr>
      </w:pPr>
      <w:r>
        <w:rPr>
          <w:rFonts w:eastAsia="Calibri"/>
          <w:iCs/>
          <w:sz w:val="22"/>
          <w:szCs w:val="23"/>
          <w:lang w:eastAsia="en-US"/>
        </w:rPr>
        <w:t xml:space="preserve">N – количество месяцев поставки товара.</w:t>
      </w:r>
      <w:r>
        <w:rPr>
          <w:sz w:val="22"/>
        </w:rPr>
      </w:r>
      <w:r/>
    </w:p>
    <w:p>
      <w:pPr>
        <w:pStyle w:val="870"/>
        <w:contextualSpacing w:val="true"/>
        <w:jc w:val="both"/>
        <w:spacing w:lineRule="auto" w:line="300"/>
        <w:rPr>
          <w:b/>
          <w:sz w:val="22"/>
          <w:szCs w:val="16"/>
        </w:rPr>
      </w:pPr>
      <w:r>
        <w:rPr>
          <w:b/>
          <w:sz w:val="22"/>
          <w:szCs w:val="16"/>
        </w:rPr>
      </w:r>
      <w:r>
        <w:rPr>
          <w:sz w:val="22"/>
        </w:rPr>
      </w:r>
      <w:r/>
    </w:p>
    <w:p>
      <w:pPr>
        <w:pStyle w:val="870"/>
        <w:spacing w:lineRule="auto" w:line="300"/>
        <w:rPr>
          <w:rFonts w:eastAsia="Calibri"/>
          <w:iCs/>
          <w:sz w:val="22"/>
          <w:szCs w:val="23"/>
        </w:rPr>
      </w:pPr>
      <w:r>
        <w:rPr>
          <w:rFonts w:eastAsia="Calibri"/>
          <w:iCs/>
          <w:sz w:val="22"/>
          <w:szCs w:val="23"/>
          <w:lang w:val="en-US" w:eastAsia="en-US"/>
        </w:rPr>
        <w:t xml:space="preserve">I</w:t>
      </w:r>
      <w:r>
        <w:rPr>
          <w:rFonts w:eastAsia="Calibri"/>
          <w:iCs/>
          <w:sz w:val="22"/>
          <w:szCs w:val="23"/>
          <w:vertAlign w:val="subscript"/>
          <w:lang w:eastAsia="en-US"/>
        </w:rPr>
        <w:t xml:space="preserve">инфл 2026</w:t>
      </w:r>
      <w:r>
        <w:rPr>
          <w:rFonts w:eastAsia="Calibri"/>
          <w:iCs/>
          <w:sz w:val="22"/>
          <w:szCs w:val="23"/>
          <w:lang w:eastAsia="en-US"/>
        </w:rPr>
        <w:t xml:space="preserve"> = ((104-100)/100)/12*1</w:t>
      </w:r>
      <w:r>
        <w:rPr>
          <w:rFonts w:eastAsia="Calibri"/>
          <w:iCs/>
          <w:sz w:val="22"/>
          <w:szCs w:val="23"/>
          <w:lang w:eastAsia="en-US"/>
        </w:rPr>
        <w:t xml:space="preserve">2</w:t>
      </w:r>
      <w:r>
        <w:rPr>
          <w:rFonts w:eastAsia="Calibri"/>
          <w:iCs/>
          <w:sz w:val="22"/>
          <w:szCs w:val="23"/>
          <w:lang w:eastAsia="en-US"/>
        </w:rPr>
        <w:t xml:space="preserve">+1=1,0</w:t>
      </w:r>
      <w:r>
        <w:rPr>
          <w:rFonts w:eastAsia="Calibri"/>
          <w:iCs/>
          <w:sz w:val="22"/>
          <w:szCs w:val="23"/>
          <w:lang w:eastAsia="en-US"/>
        </w:rPr>
        <w:t xml:space="preserve">4</w:t>
      </w:r>
      <w:r>
        <w:rPr>
          <w:sz w:val="22"/>
        </w:rPr>
      </w:r>
      <w:r/>
    </w:p>
    <w:p>
      <w:pPr>
        <w:pStyle w:val="870"/>
        <w:ind w:left="1134"/>
        <w:spacing w:lineRule="auto" w:line="300"/>
        <w:rPr>
          <w:rFonts w:eastAsia="Calibri"/>
          <w:iCs/>
          <w:sz w:val="22"/>
          <w:szCs w:val="23"/>
          <w:highlight w:val="yellow"/>
        </w:rPr>
      </w:pPr>
      <w:r>
        <w:rPr>
          <w:rFonts w:eastAsia="Calibri"/>
          <w:iCs/>
          <w:sz w:val="22"/>
          <w:szCs w:val="23"/>
          <w:highlight w:val="yellow"/>
          <w:lang w:eastAsia="en-US"/>
        </w:rPr>
      </w:r>
      <w:r>
        <w:rPr>
          <w:sz w:val="22"/>
        </w:rPr>
      </w:r>
      <w:r/>
    </w:p>
    <w:p>
      <w:pPr>
        <w:pStyle w:val="870"/>
        <w:ind w:firstLine="567"/>
        <w:jc w:val="both"/>
        <w:spacing w:lineRule="auto" w:line="300"/>
        <w:rPr>
          <w:sz w:val="22"/>
        </w:rPr>
      </w:pPr>
      <w:r>
        <w:rPr>
          <w:sz w:val="22"/>
          <w:szCs w:val="26"/>
        </w:rPr>
        <w:t xml:space="preserve">В целях обоснования начальной (максимальной) цены контракта используются средние потребительские цены на топливо автомобильное по Кировской области, представленные в открытом источнике Федеральной службы государственной статистики</w:t>
      </w:r>
      <w:r>
        <w:rPr>
          <w:sz w:val="22"/>
        </w:rPr>
        <w:t xml:space="preserve"> (</w:t>
      </w:r>
      <w:r>
        <w:rPr>
          <w:sz w:val="22"/>
        </w:rPr>
        <w:t xml:space="preserve"> </w:t>
      </w:r>
      <w:r>
        <w:rPr>
          <w:sz w:val="22"/>
        </w:rPr>
      </w:r>
      <w:hyperlink r:id="rId10" w:tooltip="https://43.rosstat.gov.ru/folder/231912" w:history="1">
        <w:r>
          <w:rPr>
            <w:rStyle w:val="900"/>
            <w:sz w:val="22"/>
          </w:rPr>
          <w:t xml:space="preserve">https://43.rosstat.gov.ru/folder/231912</w:t>
        </w:r>
      </w:hyperlink>
      <w:r>
        <w:rPr>
          <w:sz w:val="22"/>
        </w:rPr>
        <w:t xml:space="preserve"> </w:t>
      </w:r>
      <w:r>
        <w:rPr>
          <w:sz w:val="22"/>
        </w:rPr>
        <w:t xml:space="preserve">).</w:t>
      </w:r>
      <w:r>
        <w:rPr>
          <w:sz w:val="22"/>
        </w:rPr>
      </w:r>
      <w:r/>
    </w:p>
    <w:p>
      <w:pPr>
        <w:pStyle w:val="870"/>
        <w:ind w:firstLine="567"/>
        <w:jc w:val="both"/>
        <w:rPr>
          <w:rFonts w:eastAsia="Calibri"/>
          <w:iCs/>
          <w:sz w:val="23"/>
          <w:szCs w:val="23"/>
          <w:lang w:eastAsia="en-US"/>
        </w:rPr>
      </w:pPr>
      <w:r>
        <w:rPr>
          <w:rFonts w:eastAsia="Calibri"/>
          <w:iCs/>
          <w:sz w:val="23"/>
          <w:szCs w:val="23"/>
          <w:lang w:eastAsia="en-US"/>
        </w:rPr>
      </w:r>
      <w:r/>
    </w:p>
    <w:tbl>
      <w:tblPr>
        <w:tblW w:w="10914" w:type="dxa"/>
        <w:tblInd w:w="-601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1"/>
        <w:gridCol w:w="1643"/>
        <w:gridCol w:w="1480"/>
        <w:gridCol w:w="2465"/>
        <w:gridCol w:w="1643"/>
        <w:gridCol w:w="1150"/>
        <w:gridCol w:w="1972"/>
      </w:tblGrid>
      <w:tr>
        <w:trPr>
          <w:trHeight w:val="1722"/>
        </w:trPr>
        <w:tc>
          <w:tcPr>
            <w:tcW w:w="561" w:type="dxa"/>
            <w:vAlign w:val="center"/>
            <w:textDirection w:val="lrTb"/>
            <w:noWrap w:val="false"/>
          </w:tcPr>
          <w:p>
            <w:pPr>
              <w:pStyle w:val="870"/>
              <w:contextualSpacing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/>
          </w:p>
        </w:tc>
        <w:tc>
          <w:tcPr>
            <w:tcW w:w="1643" w:type="dxa"/>
            <w:vAlign w:val="center"/>
            <w:textDirection w:val="lrTb"/>
            <w:noWrap w:val="false"/>
          </w:tcPr>
          <w:p>
            <w:pPr>
              <w:pStyle w:val="870"/>
              <w:contextualSpacing w:val="true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Объект закупки</w:t>
            </w:r>
            <w:r>
              <w:rPr>
                <w:b/>
                <w:sz w:val="20"/>
                <w:szCs w:val="20"/>
              </w:rPr>
            </w:r>
            <w:r/>
          </w:p>
        </w:tc>
        <w:tc>
          <w:tcPr>
            <w:tcW w:w="1480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Количество, Л;</w:t>
            </w:r>
            <w:r/>
          </w:p>
        </w:tc>
        <w:tc>
          <w:tcPr>
            <w:tcW w:w="246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Средняя потребительская цена за литр на основании статистических данных Федеральной службы государственной статистики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870"/>
              <w:jc w:val="center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  <w:t xml:space="preserve">На 25.</w:t>
            </w:r>
            <w:r>
              <w:rPr>
                <w:color w:val="000000"/>
                <w:sz w:val="16"/>
                <w:szCs w:val="16"/>
              </w:rPr>
              <w:t xml:space="preserve">05.2026г., руб.</w:t>
            </w:r>
            <w:r/>
          </w:p>
          <w:p>
            <w:pPr>
              <w:pStyle w:val="870"/>
              <w:jc w:val="center"/>
              <w:rPr>
                <w:sz w:val="20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t xml:space="preserve"> </w:t>
            </w:r>
            <w:r>
              <w:rPr>
                <w:sz w:val="16"/>
              </w:rPr>
            </w:r>
            <w:hyperlink r:id="rId11" w:tooltip="https://43.rosstat.gov.ru/storage/mediabank/Mes_cena_04(3).htm" w:history="1">
              <w:r>
                <w:rPr>
                  <w:rStyle w:val="900"/>
                  <w:sz w:val="16"/>
                </w:rPr>
                <w:t xml:space="preserve">https://43.rosstat.gov.ru/storage/mediabank/Mes_cena_04(3).htm</w:t>
              </w:r>
            </w:hyperlink>
            <w:r>
              <w:rPr>
                <w:sz w:val="16"/>
              </w:rPr>
              <w:t xml:space="preserve"> </w:t>
            </w:r>
            <w:r>
              <w:rPr>
                <w:sz w:val="16"/>
              </w:rPr>
            </w:r>
            <w:r/>
          </w:p>
        </w:tc>
        <w:tc>
          <w:tcPr>
            <w:tcW w:w="1643" w:type="dxa"/>
            <w:vAlign w:val="center"/>
            <w:textDirection w:val="lrTb"/>
            <w:noWrap w:val="false"/>
          </w:tcPr>
          <w:p>
            <w:pPr>
              <w:pStyle w:val="870"/>
              <w:contextualSpacing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Индекс инфляции на основе ИПЦ общий</w:t>
            </w:r>
            <w:r/>
          </w:p>
        </w:tc>
        <w:tc>
          <w:tcPr>
            <w:tcW w:w="115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Средняя потребительская цена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на период поставки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870"/>
              <w:contextualSpacing w:val="tru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(руб.)</w:t>
            </w: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tcW w:w="1972" w:type="dxa"/>
            <w:vAlign w:val="center"/>
            <w:textDirection w:val="lrTb"/>
            <w:noWrap w:val="false"/>
          </w:tcPr>
          <w:p>
            <w:pPr>
              <w:pStyle w:val="870"/>
              <w:contextualSpacing w:val="tru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НМЦК </w:t>
            </w:r>
            <w:r/>
          </w:p>
        </w:tc>
      </w:tr>
      <w:tr>
        <w:trPr>
          <w:trHeight w:val="861"/>
        </w:trPr>
        <w:tc>
          <w:tcPr>
            <w:tcW w:w="56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1</w:t>
            </w:r>
            <w:r>
              <w:rPr>
                <w:sz w:val="22"/>
              </w:rPr>
            </w:r>
          </w:p>
        </w:tc>
        <w:tc>
          <w:tcPr>
            <w:tcW w:w="164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</w:r>
            <w:r>
              <w:rPr>
                <w:sz w:val="22"/>
              </w:rPr>
              <w:t xml:space="preserve">Топливо дизельное (розничная реализация)</w:t>
            </w:r>
            <w:r>
              <w:rPr>
                <w:color w:val="000000"/>
                <w:sz w:val="22"/>
                <w:szCs w:val="20"/>
              </w:rPr>
            </w:r>
            <w:r>
              <w:rPr>
                <w:sz w:val="22"/>
              </w:rPr>
            </w:r>
          </w:p>
        </w:tc>
        <w:tc>
          <w:tcPr>
            <w:tcW w:w="1480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700</w:t>
            </w:r>
            <w:r>
              <w:rPr>
                <w:sz w:val="22"/>
              </w:rPr>
            </w:r>
          </w:p>
        </w:tc>
        <w:tc>
          <w:tcPr>
            <w:tcW w:w="246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78,11</w:t>
            </w:r>
            <w:r>
              <w:rPr>
                <w:sz w:val="22"/>
              </w:rPr>
            </w:r>
          </w:p>
        </w:tc>
        <w:tc>
          <w:tcPr>
            <w:tcW w:w="1643" w:type="dxa"/>
            <w:vAlign w:val="center"/>
            <w:textDirection w:val="lrTb"/>
            <w:noWrap w:val="false"/>
          </w:tcPr>
          <w:p>
            <w:pPr>
              <w:pStyle w:val="870"/>
              <w:contextualSpacing w:val="true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1,0</w:t>
            </w:r>
            <w:r>
              <w:rPr>
                <w:sz w:val="22"/>
                <w:szCs w:val="20"/>
              </w:rPr>
              <w:t xml:space="preserve">4</w:t>
            </w:r>
            <w:r>
              <w:rPr>
                <w:sz w:val="22"/>
                <w:szCs w:val="20"/>
              </w:rPr>
            </w:r>
            <w:r>
              <w:rPr>
                <w:sz w:val="22"/>
              </w:rPr>
            </w:r>
          </w:p>
        </w:tc>
        <w:tc>
          <w:tcPr>
            <w:tcW w:w="1150" w:type="dxa"/>
            <w:vAlign w:val="center"/>
            <w:textDirection w:val="lrTb"/>
            <w:noWrap w:val="false"/>
          </w:tcPr>
          <w:p>
            <w:pPr>
              <w:pStyle w:val="870"/>
              <w:contextualSpacing w:val="true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81.23</w:t>
            </w:r>
            <w:r>
              <w:rPr>
                <w:sz w:val="22"/>
              </w:rPr>
            </w:r>
          </w:p>
        </w:tc>
        <w:tc>
          <w:tcPr>
            <w:tcW w:w="1972" w:type="dxa"/>
            <w:vAlign w:val="center"/>
            <w:textDirection w:val="lrTb"/>
            <w:noWrap w:val="false"/>
          </w:tcPr>
          <w:p>
            <w:pPr>
              <w:pStyle w:val="870"/>
              <w:contextualSpacing w:val="true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56 861,00 </w:t>
            </w:r>
            <w:r>
              <w:rPr>
                <w:sz w:val="22"/>
              </w:rPr>
            </w:r>
          </w:p>
        </w:tc>
      </w:tr>
    </w:tbl>
    <w:p>
      <w:pPr>
        <w:pStyle w:val="870"/>
        <w:ind w:firstLine="0"/>
        <w:jc w:val="both"/>
        <w:spacing w:lineRule="auto" w:line="276"/>
        <w:shd w:val="clear" w:fill="FFFFFF" w:color="auto"/>
        <w:rPr>
          <w:color w:val="000000"/>
          <w:sz w:val="22"/>
          <w:szCs w:val="26"/>
        </w:rPr>
      </w:pPr>
      <w:r>
        <w:rPr>
          <w:sz w:val="22"/>
          <w:szCs w:val="26"/>
        </w:rPr>
        <w:t xml:space="preserve">В соответствии с расчетом, максимальное значение цены контракта составляет</w:t>
      </w:r>
      <w:r>
        <w:rPr>
          <w:color w:val="000000"/>
          <w:sz w:val="22"/>
          <w:szCs w:val="26"/>
        </w:rPr>
        <w:t xml:space="preserve">: 56 861,00 (пятьдесят шесть тысяч восемьсот шестьдесят один)</w:t>
      </w:r>
      <w:r>
        <w:rPr>
          <w:color w:val="000000"/>
          <w:sz w:val="22"/>
          <w:szCs w:val="26"/>
        </w:rPr>
        <w:t xml:space="preserve">  рубл</w:t>
      </w:r>
      <w:r>
        <w:rPr>
          <w:color w:val="000000"/>
          <w:sz w:val="22"/>
          <w:szCs w:val="26"/>
        </w:rPr>
        <w:t xml:space="preserve">ь 00 копеек</w:t>
      </w:r>
      <w:r>
        <w:rPr>
          <w:color w:val="000000"/>
          <w:sz w:val="22"/>
          <w:szCs w:val="26"/>
        </w:rPr>
        <w:t xml:space="preserve">.</w:t>
      </w:r>
      <w:r>
        <w:rPr>
          <w:b/>
          <w:sz w:val="20"/>
          <w:szCs w:val="20"/>
        </w:rPr>
      </w:r>
      <w:r/>
    </w:p>
    <w:p>
      <w:pPr>
        <w:rPr>
          <w:highlight w:val="none"/>
        </w:rPr>
      </w:pPr>
      <w:r>
        <w:t xml:space="preserve">Дата подготовки обоснования НМЦК: 25.05.2026 г.</w:t>
      </w:r>
      <w:r/>
    </w:p>
    <w:p>
      <w:r/>
      <w:r/>
    </w:p>
    <w:p>
      <w:r/>
      <w:r/>
    </w:p>
    <w:tbl>
      <w:tblPr>
        <w:tblStyle w:val="726"/>
        <w:tblW w:w="0" w:type="auto"/>
        <w:tblLook w:val="04A0" w:firstRow="1" w:lastRow="0" w:firstColumn="1" w:lastColumn="0" w:noHBand="0" w:noVBand="1"/>
      </w:tblPr>
      <w:tblGrid>
        <w:gridCol w:w="7605"/>
        <w:gridCol w:w="1485"/>
        <w:gridCol w:w="1485"/>
        <w:gridCol w:w="1485"/>
        <w:gridCol w:w="1485"/>
        <w:gridCol w:w="1485"/>
      </w:tblGrid>
      <w:tr>
        <w:trPr>
          <w:trHeight w:val="240"/>
        </w:trPr>
        <w:tc>
          <w:tcPr>
            <w:gridSpan w:val="6"/>
            <w:shd w:val="clear" w:color="EAF1F7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030" w:type="dxa"/>
            <w:vMerge w:val="restart"/>
            <w:textDirection w:val="lrTb"/>
            <w:noWrap w:val="false"/>
          </w:tcPr>
          <w:p>
            <w:r>
              <w:t xml:space="preserve">Министерство экономического развития</w:t>
              <w:br/>
              <w:t xml:space="preserve">Российской Федерации</w:t>
            </w:r>
            <w:r/>
          </w:p>
        </w:tc>
      </w:tr>
      <w:tr>
        <w:trPr>
          <w:trHeight w:val="750"/>
        </w:trPr>
        <w:tc>
          <w:tcPr>
            <w:gridSpan w:val="6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030" w:type="dxa"/>
            <w:textDirection w:val="lrTb"/>
            <w:noWrap w:val="false"/>
          </w:tcPr>
          <w:p>
            <w:r>
              <w:t xml:space="preserve">Прогноз показателей инфляции на период до 2028 года</w:t>
            </w:r>
            <w:r/>
          </w:p>
        </w:tc>
      </w:tr>
      <w:tr>
        <w:trPr>
          <w:trHeight w:val="390"/>
        </w:trPr>
        <w:tc>
          <w:tcPr>
            <w:gridSpan w:val="6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030" w:type="dxa"/>
            <w:textDirection w:val="lrTb"/>
            <w:noWrap w:val="false"/>
          </w:tcPr>
          <w:p>
            <w:r>
              <w:t xml:space="preserve"> Базовый вариант</w:t>
            </w:r>
            <w:r/>
          </w:p>
        </w:tc>
      </w:tr>
      <w:tr>
        <w:trPr>
          <w:trHeight w:val="375"/>
        </w:trPr>
        <w:tc>
          <w:tcPr>
            <w:tcBorders>
              <w:left w:val="single" w:color="000000" w:sz="12" w:space="0"/>
              <w:top w:val="single" w:color="000000" w:sz="12" w:space="0"/>
              <w:right w:val="single" w:color="000000" w:sz="12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12" w:space="0"/>
              <w:top w:val="single" w:color="000000" w:sz="12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2024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12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2025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12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2026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12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2027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12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2028</w:t>
            </w:r>
            <w:r>
              <w:t xml:space="preserve"> </w:t>
            </w:r>
            <w:r/>
          </w:p>
        </w:tc>
      </w:tr>
      <w:tr>
        <w:trPr>
          <w:trHeight w:val="375"/>
        </w:trPr>
        <w:tc>
          <w:tcPr>
            <w:tcBorders>
              <w:left w:val="single" w:color="000000" w:sz="12" w:space="0"/>
              <w:top w:val="none" w:color="000000" w:sz="4" w:space="0"/>
              <w:right w:val="single" w:color="000000" w:sz="12" w:space="0"/>
              <w:bottom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12" w:space="0"/>
              <w:top w:val="single" w:color="000000" w:sz="6" w:space="0"/>
              <w:right w:val="single" w:color="000000" w:sz="6" w:space="0"/>
              <w:bottom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отчет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оценка</w:t>
            </w:r>
            <w:r/>
          </w:p>
        </w:tc>
        <w:tc>
          <w:tcPr>
            <w:gridSpan w:val="3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5" w:type="dxa"/>
            <w:textDirection w:val="lrTb"/>
            <w:noWrap w:val="false"/>
          </w:tcPr>
          <w:p>
            <w:r>
              <w:t xml:space="preserve">прогноз</w:t>
            </w:r>
            <w:r/>
          </w:p>
        </w:tc>
      </w:tr>
      <w:tr>
        <w:trPr>
          <w:trHeight w:val="600"/>
        </w:trPr>
        <w:tc>
          <w:tcPr>
            <w:shd w:val="clear" w:color="EAF1F7"/>
            <w:tcBorders>
              <w:left w:val="single" w:color="000000" w:sz="12" w:space="0"/>
              <w:top w:val="single" w:color="000000" w:sz="12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Показатели инфляции:</w:t>
              <w:br/>
              <w:t xml:space="preserve">  </w:t>
            </w:r>
            <w:r>
              <w:t xml:space="preserve">потребительские цены (ИПЦ)</w:t>
            </w:r>
            <w:r/>
          </w:p>
        </w:tc>
        <w:tc>
          <w:tcPr>
            <w:shd w:val="clear" w:color="EAF1F7"/>
            <w:tcBorders>
              <w:left w:val="single" w:color="000000" w:sz="12" w:space="0"/>
              <w:top w:val="single" w:color="000000" w:sz="12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12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12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12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12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00"/>
        </w:trPr>
        <w:tc>
          <w:tcPr>
            <w:tcBorders>
              <w:left w:val="single" w:color="000000" w:sz="12" w:space="0"/>
              <w:top w:val="single" w:color="000000" w:sz="6" w:space="0"/>
              <w:right w:val="single" w:color="000000" w:sz="12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  рост цен на конец периода, % к декабрю предыдущего года</w:t>
            </w:r>
            <w:r/>
          </w:p>
        </w:tc>
        <w:tc>
          <w:tcPr>
            <w:tcBorders>
              <w:left w:val="single" w:color="000000" w:sz="12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109,5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106,8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104,0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104,0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12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104,0</w:t>
            </w:r>
            <w:r>
              <w:t xml:space="preserve"> </w:t>
            </w:r>
            <w:r/>
          </w:p>
        </w:tc>
      </w:tr>
      <w:tr>
        <w:trPr>
          <w:trHeight w:val="300"/>
        </w:trPr>
        <w:tc>
          <w:tcPr>
            <w:tcBorders>
              <w:left w:val="single" w:color="000000" w:sz="12" w:space="0"/>
              <w:top w:val="none" w:color="000000" w:sz="4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  в среднем за год, %</w:t>
            </w:r>
            <w:r/>
          </w:p>
        </w:tc>
        <w:tc>
          <w:tcPr>
            <w:tcBorders>
              <w:left w:val="single" w:color="000000" w:sz="12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108,5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109,0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105,1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104,0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104,0</w:t>
            </w:r>
            <w:r>
              <w:t xml:space="preserve"> </w:t>
            </w:r>
            <w:r/>
          </w:p>
        </w:tc>
      </w:tr>
      <w:tr>
        <w:trPr>
          <w:trHeight w:val="300"/>
        </w:trPr>
        <w:tc>
          <w:tcPr>
            <w:shd w:val="clear" w:color="EAF1F7"/>
            <w:tcBorders>
              <w:left w:val="single" w:color="000000" w:sz="12" w:space="0"/>
              <w:top w:val="single" w:color="000000" w:sz="6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Товары </w:t>
            </w:r>
            <w:r/>
          </w:p>
        </w:tc>
        <w:tc>
          <w:tcPr>
            <w:shd w:val="clear" w:color="EAF1F7"/>
            <w:tcBorders>
              <w:left w:val="single" w:color="000000" w:sz="12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00"/>
        </w:trPr>
        <w:tc>
          <w:tcPr>
            <w:tcBorders>
              <w:left w:val="single" w:color="000000" w:sz="12" w:space="0"/>
              <w:top w:val="single" w:color="000000" w:sz="6" w:space="0"/>
              <w:right w:val="single" w:color="000000" w:sz="12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  рост цен на конец периода, % к декабрю предыдущего года</w:t>
            </w:r>
            <w:r/>
          </w:p>
        </w:tc>
        <w:tc>
          <w:tcPr>
            <w:tcBorders>
              <w:left w:val="single" w:color="000000" w:sz="12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108,7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105,3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103,6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103,7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12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103,8</w:t>
            </w:r>
            <w:r>
              <w:t xml:space="preserve"> </w:t>
            </w:r>
            <w:r/>
          </w:p>
        </w:tc>
      </w:tr>
      <w:tr>
        <w:trPr>
          <w:trHeight w:val="300"/>
        </w:trPr>
        <w:tc>
          <w:tcPr>
            <w:tcBorders>
              <w:left w:val="single" w:color="000000" w:sz="12" w:space="0"/>
              <w:top w:val="none" w:color="000000" w:sz="4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  в среднем за год, %</w:t>
            </w:r>
            <w:r/>
          </w:p>
        </w:tc>
        <w:tc>
          <w:tcPr>
            <w:tcBorders>
              <w:left w:val="single" w:color="000000" w:sz="12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107,9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107,8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104,4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103,6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103,7</w:t>
            </w:r>
            <w:r>
              <w:t xml:space="preserve"> </w:t>
            </w:r>
            <w:r/>
          </w:p>
        </w:tc>
      </w:tr>
      <w:tr>
        <w:trPr>
          <w:trHeight w:val="300"/>
        </w:trPr>
        <w:tc>
          <w:tcPr>
            <w:shd w:val="clear" w:color="EAF1F7"/>
            <w:tcBorders>
              <w:left w:val="single" w:color="000000" w:sz="12" w:space="0"/>
              <w:top w:val="single" w:color="000000" w:sz="6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продовольственные товары</w:t>
            </w:r>
            <w:r/>
          </w:p>
        </w:tc>
        <w:tc>
          <w:tcPr>
            <w:shd w:val="clear" w:color="EAF1F7"/>
            <w:tcBorders>
              <w:left w:val="single" w:color="000000" w:sz="12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00"/>
        </w:trPr>
        <w:tc>
          <w:tcPr>
            <w:tcBorders>
              <w:left w:val="single" w:color="000000" w:sz="12" w:space="0"/>
              <w:top w:val="single" w:color="000000" w:sz="6" w:space="0"/>
              <w:right w:val="single" w:color="000000" w:sz="12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  рост цен на конец периода, % к декабрю предыдущего года</w:t>
            </w:r>
            <w:r/>
          </w:p>
        </w:tc>
        <w:tc>
          <w:tcPr>
            <w:tcBorders>
              <w:left w:val="single" w:color="000000" w:sz="12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111,1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106,1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103,5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103,7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12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103,8</w:t>
            </w:r>
            <w:r>
              <w:t xml:space="preserve"> </w:t>
            </w:r>
            <w:r/>
          </w:p>
        </w:tc>
      </w:tr>
      <w:tr>
        <w:trPr>
          <w:trHeight w:val="300"/>
        </w:trPr>
        <w:tc>
          <w:tcPr>
            <w:tcBorders>
              <w:left w:val="single" w:color="000000" w:sz="12" w:space="0"/>
              <w:top w:val="none" w:color="000000" w:sz="4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  в среднем за год, % </w:t>
            </w:r>
            <w:r/>
          </w:p>
        </w:tc>
        <w:tc>
          <w:tcPr>
            <w:tcBorders>
              <w:left w:val="single" w:color="000000" w:sz="12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109,2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110,5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103,9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103,7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103,7</w:t>
            </w:r>
            <w:r>
              <w:t xml:space="preserve"> </w:t>
            </w:r>
            <w:r/>
          </w:p>
        </w:tc>
      </w:tr>
      <w:tr>
        <w:trPr>
          <w:trHeight w:val="300"/>
        </w:trPr>
        <w:tc>
          <w:tcPr>
            <w:shd w:val="clear" w:color="EAF1F7"/>
            <w:tcBorders>
              <w:left w:val="single" w:color="000000" w:sz="12" w:space="0"/>
              <w:top w:val="single" w:color="000000" w:sz="6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без плодоовощной  продукции</w:t>
            </w:r>
            <w:r/>
          </w:p>
        </w:tc>
        <w:tc>
          <w:tcPr>
            <w:shd w:val="clear" w:color="EAF1F7"/>
            <w:tcBorders>
              <w:left w:val="single" w:color="000000" w:sz="12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00"/>
        </w:trPr>
        <w:tc>
          <w:tcPr>
            <w:tcBorders>
              <w:left w:val="single" w:color="000000" w:sz="12" w:space="0"/>
              <w:top w:val="single" w:color="000000" w:sz="6" w:space="0"/>
              <w:right w:val="single" w:color="000000" w:sz="12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  рост цен на конец периода, % к декабрю предыдущего года</w:t>
            </w:r>
            <w:r/>
          </w:p>
        </w:tc>
        <w:tc>
          <w:tcPr>
            <w:tcBorders>
              <w:left w:val="single" w:color="000000" w:sz="12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109,5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107,6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103,5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103,7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12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103,8</w:t>
            </w:r>
            <w:r>
              <w:t xml:space="preserve"> </w:t>
            </w:r>
            <w:r/>
          </w:p>
        </w:tc>
      </w:tr>
      <w:tr>
        <w:trPr>
          <w:trHeight w:val="300"/>
        </w:trPr>
        <w:tc>
          <w:tcPr>
            <w:tcBorders>
              <w:left w:val="single" w:color="000000" w:sz="12" w:space="0"/>
              <w:top w:val="none" w:color="000000" w:sz="4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  в среднем за год, % </w:t>
            </w:r>
            <w:r/>
          </w:p>
        </w:tc>
        <w:tc>
          <w:tcPr>
            <w:tcBorders>
              <w:left w:val="single" w:color="000000" w:sz="12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108,2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110,6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104,2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103,7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103,7</w:t>
            </w:r>
            <w:r>
              <w:t xml:space="preserve"> </w:t>
            </w:r>
            <w:r/>
          </w:p>
        </w:tc>
      </w:tr>
      <w:tr>
        <w:trPr>
          <w:trHeight w:val="300"/>
        </w:trPr>
        <w:tc>
          <w:tcPr>
            <w:shd w:val="clear" w:color="EAF1F7"/>
            <w:tcBorders>
              <w:left w:val="single" w:color="000000" w:sz="12" w:space="0"/>
              <w:top w:val="single" w:color="000000" w:sz="6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непродовольственные товары</w:t>
            </w:r>
            <w:r/>
          </w:p>
        </w:tc>
        <w:tc>
          <w:tcPr>
            <w:shd w:val="clear" w:color="EAF1F7"/>
            <w:tcBorders>
              <w:left w:val="single" w:color="000000" w:sz="12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00"/>
        </w:trPr>
        <w:tc>
          <w:tcPr>
            <w:tcBorders>
              <w:left w:val="single" w:color="000000" w:sz="12" w:space="0"/>
              <w:top w:val="single" w:color="000000" w:sz="6" w:space="0"/>
              <w:right w:val="single" w:color="000000" w:sz="12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  рост цен на конец периода, % к декабрю предыдущего года</w:t>
            </w:r>
            <w:r/>
          </w:p>
        </w:tc>
        <w:tc>
          <w:tcPr>
            <w:tcBorders>
              <w:left w:val="single" w:color="000000" w:sz="12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106,1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104,5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103,7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103,7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12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103,8</w:t>
            </w:r>
            <w:r>
              <w:t xml:space="preserve"> </w:t>
            </w:r>
            <w:r/>
          </w:p>
        </w:tc>
      </w:tr>
      <w:tr>
        <w:trPr>
          <w:trHeight w:val="300"/>
        </w:trPr>
        <w:tc>
          <w:tcPr>
            <w:tcBorders>
              <w:left w:val="single" w:color="000000" w:sz="12" w:space="0"/>
              <w:top w:val="none" w:color="000000" w:sz="4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  в среднем за год, % </w:t>
            </w:r>
            <w:r/>
          </w:p>
        </w:tc>
        <w:tc>
          <w:tcPr>
            <w:tcBorders>
              <w:left w:val="single" w:color="000000" w:sz="12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106,4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104,7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105,1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103,6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103,7</w:t>
            </w:r>
            <w:r>
              <w:t xml:space="preserve"> </w:t>
            </w:r>
            <w:r/>
          </w:p>
        </w:tc>
      </w:tr>
      <w:tr>
        <w:trPr>
          <w:trHeight w:val="300"/>
        </w:trPr>
        <w:tc>
          <w:tcPr>
            <w:shd w:val="clear" w:color="EAF1F7"/>
            <w:tcBorders>
              <w:left w:val="single" w:color="000000" w:sz="12" w:space="0"/>
              <w:top w:val="single" w:color="000000" w:sz="6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с исключением бензина</w:t>
            </w:r>
            <w:r/>
          </w:p>
        </w:tc>
        <w:tc>
          <w:tcPr>
            <w:shd w:val="clear" w:color="EAF1F7"/>
            <w:tcBorders>
              <w:left w:val="single" w:color="000000" w:sz="12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00"/>
        </w:trPr>
        <w:tc>
          <w:tcPr>
            <w:tcBorders>
              <w:left w:val="single" w:color="000000" w:sz="12" w:space="0"/>
              <w:top w:val="single" w:color="000000" w:sz="6" w:space="0"/>
              <w:right w:val="single" w:color="000000" w:sz="12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  рост цен на конец периода, % к декабрю предыдущего года</w:t>
            </w:r>
            <w:r/>
          </w:p>
        </w:tc>
        <w:tc>
          <w:tcPr>
            <w:tcBorders>
              <w:left w:val="single" w:color="000000" w:sz="12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105,4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103,3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103,6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103,7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12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103,8</w:t>
            </w:r>
            <w:r>
              <w:t xml:space="preserve"> </w:t>
            </w:r>
            <w:r/>
          </w:p>
        </w:tc>
      </w:tr>
      <w:tr>
        <w:trPr>
          <w:trHeight w:val="300"/>
        </w:trPr>
        <w:tc>
          <w:tcPr>
            <w:tcBorders>
              <w:left w:val="single" w:color="000000" w:sz="12" w:space="0"/>
              <w:top w:val="none" w:color="000000" w:sz="4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  в среднем за год, % </w:t>
            </w:r>
            <w:r/>
          </w:p>
        </w:tc>
        <w:tc>
          <w:tcPr>
            <w:tcBorders>
              <w:left w:val="single" w:color="000000" w:sz="12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106,1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103,7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104,2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103,6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103,7</w:t>
            </w:r>
            <w:r>
              <w:t xml:space="preserve"> </w:t>
            </w:r>
            <w:r/>
          </w:p>
        </w:tc>
      </w:tr>
      <w:tr>
        <w:trPr>
          <w:trHeight w:val="300"/>
        </w:trPr>
        <w:tc>
          <w:tcPr>
            <w:shd w:val="clear" w:color="EAF1F7"/>
            <w:tcBorders>
              <w:left w:val="single" w:color="000000" w:sz="12" w:space="0"/>
              <w:top w:val="single" w:color="000000" w:sz="6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Услуги</w:t>
            </w:r>
            <w:r/>
          </w:p>
        </w:tc>
        <w:tc>
          <w:tcPr>
            <w:shd w:val="clear" w:color="EAF1F7"/>
            <w:tcBorders>
              <w:left w:val="single" w:color="000000" w:sz="12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00"/>
        </w:trPr>
        <w:tc>
          <w:tcPr>
            <w:tcBorders>
              <w:left w:val="single" w:color="000000" w:sz="12" w:space="0"/>
              <w:top w:val="single" w:color="000000" w:sz="6" w:space="0"/>
              <w:right w:val="single" w:color="000000" w:sz="12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  рост цен на конец периода, % к декабрю предыдущего года</w:t>
            </w:r>
            <w:r/>
          </w:p>
        </w:tc>
        <w:tc>
          <w:tcPr>
            <w:tcBorders>
              <w:left w:val="single" w:color="000000" w:sz="12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111,5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110,8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105,0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104,8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12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104,5</w:t>
            </w:r>
            <w:r>
              <w:t xml:space="preserve"> </w:t>
            </w:r>
            <w:r/>
          </w:p>
        </w:tc>
      </w:tr>
      <w:tr>
        <w:trPr>
          <w:trHeight w:val="300"/>
        </w:trPr>
        <w:tc>
          <w:tcPr>
            <w:tcBorders>
              <w:left w:val="single" w:color="000000" w:sz="12" w:space="0"/>
              <w:top w:val="none" w:color="000000" w:sz="4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  в среднем за год, %</w:t>
            </w:r>
            <w:r/>
          </w:p>
        </w:tc>
        <w:tc>
          <w:tcPr>
            <w:tcBorders>
              <w:left w:val="single" w:color="000000" w:sz="12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110,0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112,0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106,9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105,0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104,6</w:t>
            </w:r>
            <w:r>
              <w:t xml:space="preserve"> </w:t>
            </w:r>
            <w:r/>
          </w:p>
        </w:tc>
      </w:tr>
      <w:tr>
        <w:trPr>
          <w:trHeight w:val="300"/>
        </w:trPr>
        <w:tc>
          <w:tcPr>
            <w:shd w:val="clear" w:color="EAF1F7"/>
            <w:tcBorders>
              <w:left w:val="single" w:color="000000" w:sz="12" w:space="0"/>
              <w:top w:val="single" w:color="000000" w:sz="6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организаций ЖКХ</w:t>
            </w:r>
            <w:r/>
          </w:p>
        </w:tc>
        <w:tc>
          <w:tcPr>
            <w:shd w:val="clear" w:color="EAF1F7"/>
            <w:tcBorders>
              <w:left w:val="single" w:color="000000" w:sz="12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00"/>
        </w:trPr>
        <w:tc>
          <w:tcPr>
            <w:tcBorders>
              <w:left w:val="single" w:color="000000" w:sz="12" w:space="0"/>
              <w:top w:val="single" w:color="000000" w:sz="6" w:space="0"/>
              <w:right w:val="single" w:color="000000" w:sz="12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  рост цен на конец периода, % к декабрю предыдущего года</w:t>
            </w:r>
            <w:r/>
          </w:p>
        </w:tc>
        <w:tc>
          <w:tcPr>
            <w:tcBorders>
              <w:left w:val="single" w:color="000000" w:sz="12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109,5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113,2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109,4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108,3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12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106,1</w:t>
            </w:r>
            <w:r>
              <w:t xml:space="preserve"> </w:t>
            </w:r>
            <w:r/>
          </w:p>
        </w:tc>
      </w:tr>
      <w:tr>
        <w:trPr>
          <w:trHeight w:val="300"/>
        </w:trPr>
        <w:tc>
          <w:tcPr>
            <w:tcBorders>
              <w:left w:val="single" w:color="000000" w:sz="12" w:space="0"/>
              <w:top w:val="none" w:color="000000" w:sz="4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  в среднем за год, % </w:t>
            </w:r>
            <w:r/>
          </w:p>
        </w:tc>
        <w:tc>
          <w:tcPr>
            <w:tcBorders>
              <w:left w:val="single" w:color="000000" w:sz="12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105,4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112,3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108,8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110,3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107,1</w:t>
            </w:r>
            <w:r>
              <w:t xml:space="preserve"> </w:t>
            </w:r>
            <w:r/>
          </w:p>
        </w:tc>
      </w:tr>
      <w:tr>
        <w:trPr>
          <w:trHeight w:val="300"/>
        </w:trPr>
        <w:tc>
          <w:tcPr>
            <w:shd w:val="clear" w:color="EAF1F7"/>
            <w:tcBorders>
              <w:left w:val="single" w:color="000000" w:sz="12" w:space="0"/>
              <w:top w:val="single" w:color="000000" w:sz="6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прочие услуги</w:t>
            </w:r>
            <w:r/>
          </w:p>
        </w:tc>
        <w:tc>
          <w:tcPr>
            <w:shd w:val="clear" w:color="EAF1F7"/>
            <w:tcBorders>
              <w:left w:val="single" w:color="000000" w:sz="12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EAF1F7"/>
            <w:tcBorders>
              <w:left w:val="none" w:color="000000" w:sz="4" w:space="0"/>
              <w:top w:val="single" w:color="000000" w:sz="6" w:space="0"/>
              <w:right w:val="single" w:color="000000" w:sz="12" w:space="0"/>
              <w:bottom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00"/>
        </w:trPr>
        <w:tc>
          <w:tcPr>
            <w:tcBorders>
              <w:left w:val="single" w:color="000000" w:sz="12" w:space="0"/>
              <w:top w:val="single" w:color="000000" w:sz="6" w:space="0"/>
              <w:right w:val="single" w:color="000000" w:sz="12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  рост цен на конец периода, % к декабрю предыдущего года</w:t>
            </w:r>
            <w:r/>
          </w:p>
        </w:tc>
        <w:tc>
          <w:tcPr>
            <w:tcBorders>
              <w:left w:val="single" w:color="000000" w:sz="12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112,4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109,8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103,2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103,3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12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103,8</w:t>
            </w:r>
            <w:r>
              <w:t xml:space="preserve"> </w:t>
            </w:r>
            <w:r/>
          </w:p>
        </w:tc>
      </w:tr>
      <w:tr>
        <w:trPr>
          <w:trHeight w:val="300"/>
        </w:trPr>
        <w:tc>
          <w:tcPr>
            <w:tcBorders>
              <w:left w:val="single" w:color="000000" w:sz="12" w:space="0"/>
              <w:top w:val="none" w:color="000000" w:sz="4" w:space="0"/>
              <w:right w:val="single" w:color="000000" w:sz="12" w:space="0"/>
              <w:bottom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5" w:type="dxa"/>
            <w:textDirection w:val="lrTb"/>
            <w:noWrap w:val="false"/>
          </w:tcPr>
          <w:p>
            <w:r>
              <w:t xml:space="preserve">  в среднем за год, % </w:t>
            </w:r>
            <w:r/>
          </w:p>
        </w:tc>
        <w:tc>
          <w:tcPr>
            <w:tcBorders>
              <w:left w:val="single" w:color="000000" w:sz="12" w:space="0"/>
              <w:top w:val="none" w:color="000000" w:sz="4" w:space="0"/>
              <w:right w:val="single" w:color="000000" w:sz="6" w:space="0"/>
              <w:bottom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112,0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111,9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106,2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6" w:space="0"/>
              <w:bottom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102,8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6" w:space="0"/>
              <w:top w:val="none" w:color="000000" w:sz="4" w:space="0"/>
              <w:right w:val="single" w:color="000000" w:sz="12" w:space="0"/>
              <w:bottom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textDirection w:val="lrTb"/>
            <w:noWrap w:val="false"/>
          </w:tcPr>
          <w:p>
            <w:r>
              <w:t xml:space="preserve">103,6</w:t>
            </w:r>
            <w:r>
              <w:t xml:space="preserve"> </w:t>
            </w:r>
            <w:r/>
          </w:p>
        </w:tc>
      </w:tr>
    </w:tbl>
    <w:p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709" w:right="849" w:bottom="568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Times New Roman">
    <w:panose1 w:val="02020603050405020304"/>
  </w:font>
  <w:font w:name="Wingdings">
    <w:panose1 w:val="05000000000000000000"/>
  </w:font>
  <w:font w:name="Symbol">
    <w:panose1 w:val="05050102010706020507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pStyle w:val="885"/>
      <w:isLgl w:val="false"/>
      <w:suff w:val="tab"/>
      <w:lvlText w:val="Часть %1."/>
      <w:lvlJc w:val="left"/>
      <w:pPr>
        <w:pStyle w:val="870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Раздел %2."/>
      <w:lvlJc w:val="left"/>
      <w:pPr>
        <w:pStyle w:val="870"/>
        <w:ind w:left="720" w:hanging="36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870"/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3.%4."/>
      <w:lvlJc w:val="left"/>
      <w:pPr>
        <w:pStyle w:val="870"/>
        <w:ind w:left="1440" w:hanging="360"/>
        <w:tabs>
          <w:tab w:val="num" w:pos="1440" w:leader="none"/>
        </w:tabs>
      </w:pPr>
    </w:lvl>
    <w:lvl w:ilvl="4">
      <w:start w:val="1"/>
      <w:numFmt w:val="decimal"/>
      <w:isLgl w:val="false"/>
      <w:suff w:val="tab"/>
      <w:lvlText w:val="%3.%4.%5."/>
      <w:lvlJc w:val="left"/>
      <w:pPr>
        <w:pStyle w:val="870"/>
        <w:ind w:left="1800" w:hanging="360"/>
        <w:tabs>
          <w:tab w:val="num" w:pos="1800" w:leader="none"/>
        </w:tabs>
      </w:pPr>
    </w:lvl>
    <w:lvl w:ilvl="5">
      <w:start w:val="1"/>
      <w:numFmt w:val="decimal"/>
      <w:isLgl w:val="false"/>
      <w:suff w:val="tab"/>
      <w:lvlText w:val="%3.%4.%5.%6."/>
      <w:lvlJc w:val="left"/>
      <w:pPr>
        <w:pStyle w:val="870"/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70"/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70"/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pStyle w:val="870"/>
        <w:ind w:left="3240" w:hanging="360"/>
        <w:tabs>
          <w:tab w:val="num" w:pos="324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70"/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870"/>
        <w:ind w:left="2055" w:hanging="975"/>
        <w:tabs>
          <w:tab w:val="num" w:pos="20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7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7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7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7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7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7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70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70"/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70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70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70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70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70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70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70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70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70"/>
        <w:ind w:left="780" w:hanging="360"/>
        <w:tabs>
          <w:tab w:val="num" w:pos="78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pStyle w:val="870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870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70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870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870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70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870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870"/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0"/>
        <w:ind w:left="10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0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0"/>
        <w:ind w:left="319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870"/>
        <w:ind w:left="100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70"/>
        <w:ind w:left="3776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70"/>
        <w:ind w:left="4280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70"/>
        <w:ind w:left="4784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70"/>
        <w:ind w:left="5288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70"/>
        <w:ind w:left="5792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70"/>
        <w:ind w:left="6296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70"/>
        <w:ind w:left="6872" w:hanging="1440"/>
      </w:p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Часть %1."/>
      <w:lvlJc w:val="left"/>
      <w:pPr>
        <w:pStyle w:val="870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Раздел %2."/>
      <w:lvlJc w:val="left"/>
      <w:pPr>
        <w:pStyle w:val="870"/>
        <w:ind w:left="720" w:hanging="36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870"/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3.%4."/>
      <w:lvlJc w:val="left"/>
      <w:pPr>
        <w:pStyle w:val="870"/>
        <w:ind w:left="1440" w:hanging="360"/>
        <w:tabs>
          <w:tab w:val="num" w:pos="1440" w:leader="none"/>
        </w:tabs>
      </w:pPr>
    </w:lvl>
    <w:lvl w:ilvl="4">
      <w:start w:val="1"/>
      <w:numFmt w:val="decimal"/>
      <w:isLgl w:val="false"/>
      <w:suff w:val="tab"/>
      <w:lvlText w:val="%3.%4.%5."/>
      <w:lvlJc w:val="left"/>
      <w:pPr>
        <w:pStyle w:val="870"/>
        <w:ind w:left="1800" w:hanging="360"/>
        <w:tabs>
          <w:tab w:val="num" w:pos="1800" w:leader="none"/>
        </w:tabs>
      </w:pPr>
    </w:lvl>
    <w:lvl w:ilvl="5">
      <w:start w:val="1"/>
      <w:numFmt w:val="decimal"/>
      <w:isLgl w:val="false"/>
      <w:suff w:val="tab"/>
      <w:lvlText w:val="%3.%4.%5.%6."/>
      <w:lvlJc w:val="left"/>
      <w:pPr>
        <w:pStyle w:val="870"/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70"/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70"/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pStyle w:val="870"/>
        <w:ind w:left="3240" w:hanging="360"/>
        <w:tabs>
          <w:tab w:val="num" w:pos="324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0"/>
        <w:ind w:left="10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0"/>
        <w:ind w:left="6480" w:hanging="180"/>
      </w:pPr>
    </w:lvl>
  </w:abstractNum>
  <w:abstractNum w:abstractNumId="8">
    <w:multiLevelType w:val="hybridMultilevel"/>
    <w:lvl w:ilvl="0">
      <w:start w:val="1"/>
      <w:numFmt w:val="upperRoman"/>
      <w:pStyle w:val="871"/>
      <w:isLgl w:val="false"/>
      <w:suff w:val="tab"/>
      <w:lvlText w:val="Часть %1."/>
      <w:lvlJc w:val="left"/>
      <w:pPr>
        <w:pStyle w:val="870"/>
        <w:ind w:left="992" w:firstLine="0"/>
        <w:tabs>
          <w:tab w:val="num" w:pos="1559" w:leader="none"/>
        </w:tabs>
      </w:pPr>
      <w:rPr>
        <w:rFonts w:ascii="Times New Roman" w:hAnsi="Times New Roman"/>
        <w:b/>
        <w:i w:val="false"/>
        <w:sz w:val="36"/>
        <w:szCs w:val="36"/>
      </w:rPr>
    </w:lvl>
    <w:lvl w:ilvl="1">
      <w:start w:val="2"/>
      <w:numFmt w:val="decimal"/>
      <w:isLgl w:val="false"/>
      <w:suff w:val="tab"/>
      <w:lvlText w:val="Раздел %2."/>
      <w:lvlJc w:val="left"/>
      <w:pPr>
        <w:pStyle w:val="870"/>
        <w:ind w:left="992" w:firstLine="0"/>
        <w:tabs>
          <w:tab w:val="num" w:pos="1559" w:leader="none"/>
        </w:tabs>
      </w:pPr>
      <w:rPr>
        <w:rFonts w:ascii="Times New Roman" w:hAnsi="Times New Roman"/>
        <w:b/>
        <w:i w:val="false"/>
        <w:sz w:val="32"/>
        <w:szCs w:val="32"/>
      </w:rPr>
    </w:lvl>
    <w:lvl w:ilvl="2">
      <w:start w:val="2"/>
      <w:numFmt w:val="decimal"/>
      <w:isLgl w:val="false"/>
      <w:suff w:val="tab"/>
      <w:lvlText w:val="%3."/>
      <w:lvlJc w:val="left"/>
      <w:pPr>
        <w:pStyle w:val="870"/>
        <w:ind w:left="992" w:firstLine="0"/>
        <w:tabs>
          <w:tab w:val="num" w:pos="1559" w:leader="none"/>
        </w:tabs>
      </w:pPr>
      <w:rPr>
        <w:rFonts w:ascii="Times New Roman" w:hAnsi="Times New Roman"/>
        <w:b/>
        <w:i w:val="false"/>
        <w:sz w:val="28"/>
        <w:szCs w:val="28"/>
      </w:rPr>
    </w:lvl>
    <w:lvl w:ilvl="3">
      <w:start w:val="1"/>
      <w:numFmt w:val="decimal"/>
      <w:isLgl w:val="false"/>
      <w:suff w:val="tab"/>
      <w:lvlText w:val="%3.%4."/>
      <w:lvlJc w:val="left"/>
      <w:pPr>
        <w:pStyle w:val="870"/>
        <w:ind w:left="992" w:firstLine="0"/>
        <w:tabs>
          <w:tab w:val="num" w:pos="1559" w:leader="none"/>
        </w:tabs>
      </w:pPr>
      <w:rPr>
        <w:rFonts w:ascii="Times New Roman" w:hAnsi="Times New Roman"/>
        <w:b/>
        <w:i w:val="false"/>
        <w:sz w:val="24"/>
        <w:szCs w:val="24"/>
      </w:rPr>
    </w:lvl>
    <w:lvl w:ilvl="4">
      <w:start w:val="1"/>
      <w:numFmt w:val="decimal"/>
      <w:isLgl w:val="false"/>
      <w:suff w:val="tab"/>
      <w:lvlText w:val="%3.%4.%5."/>
      <w:lvlJc w:val="left"/>
      <w:pPr>
        <w:pStyle w:val="870"/>
        <w:ind w:left="992" w:firstLine="0"/>
        <w:tabs>
          <w:tab w:val="num" w:pos="1559" w:leader="none"/>
        </w:tabs>
      </w:pPr>
      <w:rPr>
        <w:sz w:val="24"/>
      </w:rPr>
    </w:lvl>
    <w:lvl w:ilvl="5">
      <w:start w:val="1"/>
      <w:numFmt w:val="decimal"/>
      <w:isLgl w:val="false"/>
      <w:suff w:val="tab"/>
      <w:lvlText w:val="%3.%4.%5.%6."/>
      <w:lvlJc w:val="left"/>
      <w:pPr>
        <w:pStyle w:val="870"/>
        <w:ind w:left="992" w:firstLine="0"/>
        <w:tabs>
          <w:tab w:val="num" w:pos="155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70"/>
        <w:ind w:left="7617" w:hanging="360"/>
        <w:tabs>
          <w:tab w:val="num" w:pos="761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70"/>
        <w:ind w:left="7977" w:hanging="360"/>
        <w:tabs>
          <w:tab w:val="num" w:pos="7977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pStyle w:val="870"/>
        <w:ind w:left="8337" w:hanging="360"/>
        <w:tabs>
          <w:tab w:val="num" w:pos="8337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0"/>
        <w:ind w:left="10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0"/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0"/>
        <w:ind w:left="6386" w:hanging="360"/>
        <w:tabs>
          <w:tab w:val="num" w:pos="6386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870"/>
        <w:ind w:left="7106" w:hanging="360"/>
        <w:tabs>
          <w:tab w:val="num" w:pos="710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70"/>
        <w:ind w:left="7826" w:hanging="180"/>
        <w:tabs>
          <w:tab w:val="num" w:pos="782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70"/>
        <w:ind w:left="8546" w:hanging="360"/>
        <w:tabs>
          <w:tab w:val="num" w:pos="854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70"/>
        <w:ind w:left="9266" w:hanging="360"/>
        <w:tabs>
          <w:tab w:val="num" w:pos="926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70"/>
        <w:ind w:left="9986" w:hanging="180"/>
        <w:tabs>
          <w:tab w:val="num" w:pos="998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70"/>
        <w:ind w:left="10706" w:hanging="360"/>
        <w:tabs>
          <w:tab w:val="num" w:pos="1070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70"/>
        <w:ind w:left="11426" w:hanging="360"/>
        <w:tabs>
          <w:tab w:val="num" w:pos="1142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70"/>
        <w:ind w:left="12146" w:hanging="180"/>
        <w:tabs>
          <w:tab w:val="num" w:pos="12146" w:leader="none"/>
        </w:tabs>
      </w:pPr>
    </w:lvl>
  </w:abstractNum>
  <w:abstractNum w:abstractNumId="11">
    <w:multiLevelType w:val="hybridMultilevel"/>
    <w:lvl w:ilvl="0">
      <w:start w:val="1"/>
      <w:numFmt w:val="upperRoman"/>
      <w:pStyle w:val="890"/>
      <w:isLgl w:val="false"/>
      <w:suff w:val="tab"/>
      <w:lvlText w:val="Часть %1."/>
      <w:lvlJc w:val="left"/>
      <w:pPr>
        <w:pStyle w:val="870"/>
        <w:ind w:left="1134" w:firstLine="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Раздел %2."/>
      <w:lvlJc w:val="left"/>
      <w:pPr>
        <w:pStyle w:val="870"/>
        <w:ind w:left="1134" w:firstLine="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870"/>
        <w:ind w:left="1134" w:firstLine="0"/>
        <w:tabs>
          <w:tab w:val="num" w:pos="1418" w:leader="none"/>
        </w:tabs>
      </w:pPr>
    </w:lvl>
    <w:lvl w:ilvl="3">
      <w:start w:val="1"/>
      <w:numFmt w:val="decimal"/>
      <w:isLgl w:val="false"/>
      <w:suff w:val="tab"/>
      <w:lvlText w:val="%3.%4."/>
      <w:lvlJc w:val="left"/>
      <w:pPr>
        <w:pStyle w:val="870"/>
        <w:ind w:left="1134" w:firstLine="0"/>
        <w:tabs>
          <w:tab w:val="num" w:pos="1418" w:leader="none"/>
        </w:tabs>
      </w:pPr>
    </w:lvl>
    <w:lvl w:ilvl="4">
      <w:start w:val="1"/>
      <w:numFmt w:val="decimal"/>
      <w:isLgl w:val="false"/>
      <w:suff w:val="tab"/>
      <w:lvlText w:val="%3.%4.%5."/>
      <w:lvlJc w:val="left"/>
      <w:pPr>
        <w:pStyle w:val="870"/>
        <w:ind w:left="1134" w:firstLine="0"/>
        <w:tabs>
          <w:tab w:val="num" w:pos="1418" w:leader="none"/>
        </w:tabs>
      </w:pPr>
    </w:lvl>
    <w:lvl w:ilvl="5">
      <w:start w:val="1"/>
      <w:numFmt w:val="decimal"/>
      <w:isLgl w:val="false"/>
      <w:suff w:val="tab"/>
      <w:lvlText w:val="%3.%4.%5.%6."/>
      <w:lvlJc w:val="left"/>
      <w:pPr>
        <w:pStyle w:val="870"/>
        <w:ind w:left="1134" w:firstLine="0"/>
        <w:tabs>
          <w:tab w:val="num" w:pos="141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70"/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70"/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pStyle w:val="870"/>
        <w:ind w:left="3240" w:hanging="360"/>
        <w:tabs>
          <w:tab w:val="num" w:pos="324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0"/>
        <w:ind w:left="10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0"/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0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70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70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70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70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70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70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70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70"/>
        <w:ind w:left="6120" w:hanging="180"/>
        <w:tabs>
          <w:tab w:val="num" w:pos="612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70"/>
        <w:ind w:left="125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70"/>
        <w:ind w:left="197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70"/>
        <w:ind w:left="269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70"/>
        <w:ind w:left="341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70"/>
        <w:ind w:left="413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70"/>
        <w:ind w:left="485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70"/>
        <w:ind w:left="557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70"/>
        <w:ind w:left="629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70"/>
        <w:ind w:left="7019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870"/>
        <w:ind w:left="900" w:hanging="360"/>
        <w:tabs>
          <w:tab w:val="num" w:pos="900" w:leader="none"/>
        </w:tabs>
      </w:pPr>
      <w:rPr>
        <w:rFonts w:ascii="Times New Roman" w:hAnsi="Times New Roman" w:eastAsia="Times New Roman"/>
        <w:lang w:val="ru-RU"/>
      </w:rPr>
    </w:lvl>
    <w:lvl w:ilvl="1">
      <w:start w:val="1"/>
      <w:numFmt w:val="bullet"/>
      <w:isLgl w:val="false"/>
      <w:suff w:val="tab"/>
      <w:lvlText w:val="o"/>
      <w:lvlJc w:val="left"/>
      <w:pPr>
        <w:pStyle w:val="870"/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70"/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70"/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70"/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70"/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70"/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70"/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70"/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2"/>
      <w:lvlJc w:val="left"/>
      <w:pPr>
        <w:pStyle w:val="870"/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87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0"/>
        <w:ind w:left="6480" w:hanging="180"/>
      </w:p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870"/>
        <w:ind w:left="360" w:hanging="360"/>
      </w:pPr>
      <w:rPr>
        <w:rFonts w:eastAsia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pStyle w:val="870"/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870"/>
        <w:ind w:left="216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870"/>
        <w:ind w:left="288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870"/>
        <w:ind w:left="396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870"/>
        <w:ind w:left="468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870"/>
        <w:ind w:left="57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70"/>
        <w:ind w:left="648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70"/>
        <w:ind w:left="7560" w:hanging="1800"/>
      </w:pPr>
      <w:rPr>
        <w:rFonts w:eastAsia="Times New Roman"/>
      </w:rPr>
    </w:lvl>
  </w:abstractNum>
  <w:abstractNum w:abstractNumId="18">
    <w:multiLevelType w:val="hybridMultilevel"/>
    <w:lvl w:ilvl="0">
      <w:start w:val="1"/>
      <w:numFmt w:val="upperRoman"/>
      <w:pStyle w:val="883"/>
      <w:isLgl w:val="false"/>
      <w:suff w:val="tab"/>
      <w:lvlText w:val="Статья %1."/>
      <w:lvlJc w:val="left"/>
      <w:pPr>
        <w:pStyle w:val="870"/>
        <w:ind w:left="0" w:firstLine="0"/>
        <w:tabs>
          <w:tab w:val="num" w:pos="1440" w:leader="none"/>
        </w:tabs>
      </w:pPr>
      <w:rPr>
        <w:rFonts w:ascii="Times New Roman" w:hAnsi="Times New Roman"/>
        <w:b/>
        <w:sz w:val="36"/>
      </w:rPr>
    </w:lvl>
    <w:lvl w:ilvl="1">
      <w:start w:val="1"/>
      <w:numFmt w:val="decimal"/>
      <w:isLgl w:val="false"/>
      <w:suff w:val="tab"/>
      <w:lvlText w:val="%2"/>
      <w:lvlJc w:val="left"/>
      <w:pPr>
        <w:pStyle w:val="870"/>
        <w:ind w:left="0" w:firstLine="0"/>
        <w:tabs>
          <w:tab w:val="num" w:pos="1080" w:leader="none"/>
        </w:tabs>
      </w:pPr>
      <w:rPr>
        <w:rFonts w:ascii="Times New Roman" w:hAnsi="Times New Roman"/>
        <w:b/>
        <w:sz w:val="32"/>
      </w:rPr>
    </w:lvl>
    <w:lvl w:ilvl="2">
      <w:start w:val="1"/>
      <w:numFmt w:val="decimal"/>
      <w:isLgl w:val="false"/>
      <w:suff w:val="tab"/>
      <w:lvlText w:val="(%3)"/>
      <w:lvlJc w:val="left"/>
      <w:pPr>
        <w:pStyle w:val="870"/>
        <w:ind w:left="720" w:hanging="432"/>
        <w:tabs>
          <w:tab w:val="num" w:pos="720" w:leader="none"/>
        </w:tabs>
      </w:pPr>
      <w:rPr>
        <w:rFonts w:ascii="Times New Roman" w:hAnsi="Times New Roman"/>
        <w:b/>
        <w:sz w:val="28"/>
      </w:rPr>
    </w:lvl>
    <w:lvl w:ilvl="3">
      <w:start w:val="1"/>
      <w:numFmt w:val="decimal"/>
      <w:isLgl w:val="false"/>
      <w:suff w:val="tab"/>
      <w:lvlText w:val="(%4)"/>
      <w:lvlJc w:val="right"/>
      <w:pPr>
        <w:pStyle w:val="870"/>
        <w:ind w:left="864" w:hanging="144"/>
        <w:tabs>
          <w:tab w:val="num" w:pos="864" w:leader="none"/>
        </w:tabs>
      </w:pPr>
      <w:rPr>
        <w:rFonts w:ascii="Times New Roman" w:hAnsi="Times New Roman"/>
        <w:b/>
        <w:i/>
        <w:sz w:val="24"/>
      </w:rPr>
    </w:lvl>
    <w:lvl w:ilvl="4">
      <w:start w:val="1"/>
      <w:numFmt w:val="decimal"/>
      <w:pStyle w:val="875"/>
      <w:isLgl w:val="false"/>
      <w:suff w:val="tab"/>
      <w:lvlText w:val="%5)"/>
      <w:lvlJc w:val="left"/>
      <w:pPr>
        <w:pStyle w:val="870"/>
        <w:ind w:left="1008" w:hanging="432"/>
        <w:tabs>
          <w:tab w:val="num" w:pos="1008" w:leader="none"/>
        </w:tabs>
      </w:pPr>
    </w:lvl>
    <w:lvl w:ilvl="5">
      <w:start w:val="1"/>
      <w:numFmt w:val="lowerLetter"/>
      <w:pStyle w:val="876"/>
      <w:isLgl w:val="false"/>
      <w:suff w:val="tab"/>
      <w:lvlText w:val="%6)"/>
      <w:lvlJc w:val="left"/>
      <w:pPr>
        <w:pStyle w:val="870"/>
        <w:ind w:left="1152" w:hanging="432"/>
        <w:tabs>
          <w:tab w:val="num" w:pos="1152" w:leader="none"/>
        </w:tabs>
      </w:pPr>
    </w:lvl>
    <w:lvl w:ilvl="6">
      <w:start w:val="1"/>
      <w:numFmt w:val="lowerRoman"/>
      <w:pStyle w:val="877"/>
      <w:isLgl w:val="false"/>
      <w:suff w:val="tab"/>
      <w:lvlText w:val="%7)"/>
      <w:lvlJc w:val="right"/>
      <w:pPr>
        <w:pStyle w:val="870"/>
        <w:ind w:left="1296" w:hanging="288"/>
        <w:tabs>
          <w:tab w:val="num" w:pos="1296" w:leader="none"/>
        </w:tabs>
      </w:pPr>
    </w:lvl>
    <w:lvl w:ilvl="7">
      <w:start w:val="1"/>
      <w:numFmt w:val="lowerLetter"/>
      <w:pStyle w:val="878"/>
      <w:isLgl w:val="false"/>
      <w:suff w:val="tab"/>
      <w:lvlText w:val="%8."/>
      <w:lvlJc w:val="left"/>
      <w:pPr>
        <w:pStyle w:val="870"/>
        <w:ind w:left="1440" w:hanging="432"/>
        <w:tabs>
          <w:tab w:val="num" w:pos="1440" w:leader="none"/>
        </w:tabs>
      </w:pPr>
    </w:lvl>
    <w:lvl w:ilvl="8">
      <w:start w:val="1"/>
      <w:numFmt w:val="lowerRoman"/>
      <w:pStyle w:val="879"/>
      <w:isLgl w:val="false"/>
      <w:suff w:val="tab"/>
      <w:lvlText w:val="%9."/>
      <w:lvlJc w:val="right"/>
      <w:pPr>
        <w:pStyle w:val="870"/>
        <w:ind w:left="1584" w:hanging="144"/>
        <w:tabs>
          <w:tab w:val="num" w:pos="1584" w:leader="none"/>
        </w:tabs>
      </w:p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1"/>
      <w:lvlJc w:val="left"/>
      <w:pPr>
        <w:pStyle w:val="870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0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0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0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0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0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0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0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0"/>
        <w:ind w:left="612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0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0"/>
        <w:ind w:left="6480" w:hanging="180"/>
      </w:pPr>
    </w:lvl>
  </w:abstractNum>
  <w:abstractNum w:abstractNumId="21">
    <w:multiLevelType w:val="hybridMultilevel"/>
    <w:lvl w:ilvl="0">
      <w:start w:val="1"/>
      <w:numFmt w:val="upperRoman"/>
      <w:pStyle w:val="884"/>
      <w:isLgl w:val="false"/>
      <w:suff w:val="tab"/>
      <w:lvlText w:val="Часть %1."/>
      <w:lvlJc w:val="left"/>
      <w:pPr>
        <w:pStyle w:val="870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Раздел %2."/>
      <w:lvlJc w:val="left"/>
      <w:pPr>
        <w:pStyle w:val="870"/>
        <w:ind w:left="720" w:hanging="36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870"/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3.%4."/>
      <w:lvlJc w:val="left"/>
      <w:pPr>
        <w:pStyle w:val="870"/>
        <w:ind w:left="1440" w:hanging="360"/>
        <w:tabs>
          <w:tab w:val="num" w:pos="1440" w:leader="none"/>
        </w:tabs>
      </w:pPr>
    </w:lvl>
    <w:lvl w:ilvl="4">
      <w:start w:val="1"/>
      <w:numFmt w:val="decimal"/>
      <w:isLgl w:val="false"/>
      <w:suff w:val="tab"/>
      <w:lvlText w:val="%3.%4.%5."/>
      <w:lvlJc w:val="left"/>
      <w:pPr>
        <w:pStyle w:val="870"/>
        <w:ind w:left="1800" w:hanging="360"/>
        <w:tabs>
          <w:tab w:val="num" w:pos="1800" w:leader="none"/>
        </w:tabs>
      </w:pPr>
    </w:lvl>
    <w:lvl w:ilvl="5">
      <w:start w:val="1"/>
      <w:numFmt w:val="decimal"/>
      <w:isLgl w:val="false"/>
      <w:suff w:val="tab"/>
      <w:lvlText w:val="%3.%4.%5.%6."/>
      <w:lvlJc w:val="left"/>
      <w:pPr>
        <w:pStyle w:val="870"/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70"/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70"/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pStyle w:val="870"/>
        <w:ind w:left="3240" w:hanging="360"/>
        <w:tabs>
          <w:tab w:val="num" w:pos="324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0"/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0"/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0"/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0"/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0"/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0"/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0"/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0"/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0"/>
        <w:ind w:left="6688" w:hanging="180"/>
      </w:pPr>
    </w:lvl>
  </w:abstractNum>
  <w:abstractNum w:abstractNumId="2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870"/>
        <w:ind w:left="360" w:hanging="360"/>
      </w:pPr>
      <w:rPr>
        <w:rFonts w:eastAsia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pStyle w:val="870"/>
        <w:ind w:left="72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870"/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870"/>
        <w:ind w:left="180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870"/>
        <w:ind w:left="252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870"/>
        <w:ind w:left="288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870"/>
        <w:ind w:left="360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70"/>
        <w:ind w:left="39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70"/>
        <w:ind w:left="4680" w:hanging="1800"/>
      </w:pPr>
      <w:rPr>
        <w:rFonts w:eastAsia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0"/>
        <w:ind w:left="10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0"/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0"/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0"/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0"/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0"/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0"/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0"/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0"/>
        <w:ind w:left="6780" w:hanging="180"/>
      </w:pPr>
    </w:lvl>
  </w:abstractNum>
  <w:abstractNum w:abstractNumId="25">
    <w:multiLevelType w:val="hybridMultilevel"/>
    <w:lvl w:ilvl="0">
      <w:start w:val="1"/>
      <w:numFmt w:val="upperRoman"/>
      <w:pStyle w:val="886"/>
      <w:isLgl w:val="false"/>
      <w:suff w:val="tab"/>
      <w:lvlText w:val="Часть %1."/>
      <w:lvlJc w:val="left"/>
      <w:pPr>
        <w:pStyle w:val="870"/>
        <w:ind w:left="600" w:hanging="360"/>
        <w:tabs>
          <w:tab w:val="num" w:pos="600" w:leader="none"/>
        </w:tabs>
      </w:pPr>
    </w:lvl>
    <w:lvl w:ilvl="1">
      <w:start w:val="1"/>
      <w:numFmt w:val="decimal"/>
      <w:isLgl w:val="false"/>
      <w:suff w:val="tab"/>
      <w:lvlText w:val="Раздел %2."/>
      <w:lvlJc w:val="left"/>
      <w:pPr>
        <w:pStyle w:val="870"/>
        <w:ind w:left="960" w:hanging="360"/>
        <w:tabs>
          <w:tab w:val="num" w:pos="9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870"/>
        <w:ind w:left="1320" w:hanging="360"/>
        <w:tabs>
          <w:tab w:val="num" w:pos="1320" w:leader="none"/>
        </w:tabs>
      </w:pPr>
    </w:lvl>
    <w:lvl w:ilvl="3">
      <w:start w:val="1"/>
      <w:numFmt w:val="decimal"/>
      <w:isLgl w:val="false"/>
      <w:suff w:val="tab"/>
      <w:lvlText w:val="%3.%4."/>
      <w:lvlJc w:val="left"/>
      <w:pPr>
        <w:pStyle w:val="870"/>
        <w:ind w:left="1680" w:hanging="360"/>
        <w:tabs>
          <w:tab w:val="num" w:pos="1680" w:leader="none"/>
        </w:tabs>
      </w:pPr>
    </w:lvl>
    <w:lvl w:ilvl="4">
      <w:start w:val="1"/>
      <w:numFmt w:val="decimal"/>
      <w:isLgl w:val="false"/>
      <w:suff w:val="tab"/>
      <w:lvlText w:val="%3.%4.%5."/>
      <w:lvlJc w:val="left"/>
      <w:pPr>
        <w:pStyle w:val="870"/>
        <w:ind w:left="2040" w:hanging="360"/>
        <w:tabs>
          <w:tab w:val="num" w:pos="2040" w:leader="none"/>
        </w:tabs>
      </w:pPr>
    </w:lvl>
    <w:lvl w:ilvl="5">
      <w:start w:val="1"/>
      <w:numFmt w:val="decimal"/>
      <w:isLgl w:val="false"/>
      <w:suff w:val="tab"/>
      <w:lvlText w:val="%3.%4.%5.%6."/>
      <w:lvlJc w:val="left"/>
      <w:pPr>
        <w:pStyle w:val="870"/>
        <w:ind w:left="2400" w:hanging="360"/>
        <w:tabs>
          <w:tab w:val="num" w:pos="2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70"/>
        <w:ind w:left="2760" w:hanging="360"/>
        <w:tabs>
          <w:tab w:val="num" w:pos="2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70"/>
        <w:ind w:left="3120" w:hanging="360"/>
        <w:tabs>
          <w:tab w:val="num" w:pos="312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pStyle w:val="870"/>
        <w:ind w:left="3480" w:hanging="360"/>
        <w:tabs>
          <w:tab w:val="num" w:pos="3480" w:leader="none"/>
        </w:tabs>
      </w:pPr>
    </w:lvl>
  </w:abstractNum>
  <w:abstractNum w:abstractNumId="26">
    <w:multiLevelType w:val="hybridMultilevel"/>
    <w:lvl w:ilvl="0">
      <w:start w:val="3"/>
      <w:numFmt w:val="decimal"/>
      <w:isLgl w:val="false"/>
      <w:suff w:val="tab"/>
      <w:lvlText w:val="%1.3"/>
      <w:lvlJc w:val="left"/>
      <w:pPr>
        <w:pStyle w:val="870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0"/>
        <w:ind w:left="6480" w:hanging="180"/>
      </w:p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870"/>
        <w:ind w:left="36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pStyle w:val="870"/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70"/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70"/>
        <w:ind w:left="180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70"/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70"/>
        <w:ind w:left="28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70"/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70"/>
        <w:ind w:left="39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70"/>
        <w:ind w:left="4680" w:hanging="180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0"/>
        <w:ind w:left="319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870"/>
        <w:ind w:left="100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70"/>
        <w:ind w:left="3776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70"/>
        <w:ind w:left="4280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70"/>
        <w:ind w:left="4784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70"/>
        <w:ind w:left="5288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70"/>
        <w:ind w:left="5792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70"/>
        <w:ind w:left="6296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70"/>
        <w:ind w:left="6872" w:hanging="1440"/>
      </w:pPr>
    </w:lvl>
  </w:abstractNum>
  <w:num w:numId="1">
    <w:abstractNumId w:val="18"/>
  </w:num>
  <w:num w:numId="2">
    <w:abstractNumId w:val="8"/>
  </w:num>
  <w:num w:numId="3">
    <w:abstractNumId w:val="21"/>
  </w:num>
  <w:num w:numId="4">
    <w:abstractNumId w:val="0"/>
  </w:num>
  <w:num w:numId="5">
    <w:abstractNumId w:val="25"/>
  </w:num>
  <w:num w:numId="6">
    <w:abstractNumId w:val="11"/>
  </w:num>
  <w:num w:numId="7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lvl w:ilvl="0">
        <w:start w:val="1"/>
        <w:numFmt w:val="upperRoman"/>
        <w:isLgl w:val="false"/>
        <w:suff w:val="tab"/>
        <w:lvlText w:val="Часть %1."/>
        <w:lvlJc w:val="left"/>
        <w:pPr>
          <w:pStyle w:val="870"/>
          <w:ind w:left="1134" w:firstLine="0"/>
          <w:tabs>
            <w:tab w:val="num" w:pos="360" w:leader="none"/>
          </w:tabs>
        </w:pPr>
        <w:rPr>
          <w:b/>
          <w:sz w:val="36"/>
          <w:szCs w:val="36"/>
        </w:rPr>
      </w:lvl>
    </w:lvlOverride>
    <w:lvlOverride w:ilvl="1">
      <w:lvl w:ilvl="1">
        <w:start w:val="1"/>
        <w:numFmt w:val="decimal"/>
        <w:isLgl w:val="false"/>
        <w:suff w:val="tab"/>
        <w:lvlText w:val="Раздел %2."/>
        <w:lvlJc w:val="left"/>
        <w:pPr>
          <w:pStyle w:val="870"/>
          <w:ind w:left="1134" w:firstLine="0"/>
          <w:tabs>
            <w:tab w:val="num" w:pos="720" w:leader="none"/>
          </w:tabs>
        </w:pPr>
      </w:lvl>
    </w:lvlOverride>
    <w:lvlOverride w:ilvl="2">
      <w:lvl w:ilvl="2">
        <w:start w:val="1"/>
        <w:numFmt w:val="decimal"/>
        <w:isLgl w:val="false"/>
        <w:suff w:val="tab"/>
        <w:lvlText w:val="%3."/>
        <w:lvlJc w:val="left"/>
        <w:pPr>
          <w:pStyle w:val="870"/>
          <w:ind w:left="1134" w:firstLine="0"/>
          <w:tabs>
            <w:tab w:val="num" w:pos="1418" w:leader="none"/>
          </w:tabs>
        </w:pPr>
        <w:rPr>
          <w:b w:val="false"/>
          <w:sz w:val="24"/>
          <w:szCs w:val="24"/>
        </w:rPr>
      </w:lvl>
    </w:lvlOverride>
    <w:lvlOverride w:ilvl="3">
      <w:lvl w:ilvl="3">
        <w:start w:val="1"/>
        <w:numFmt w:val="decimal"/>
        <w:isLgl w:val="false"/>
        <w:suff w:val="tab"/>
        <w:lvlText w:val="%3.%4."/>
        <w:lvlJc w:val="left"/>
        <w:pPr>
          <w:pStyle w:val="870"/>
          <w:ind w:left="1134" w:firstLine="0"/>
          <w:tabs>
            <w:tab w:val="num" w:pos="1418" w:leader="none"/>
          </w:tabs>
        </w:pPr>
        <w:rPr>
          <w:b w:val="false"/>
          <w:sz w:val="24"/>
          <w:szCs w:val="24"/>
        </w:rPr>
      </w:lvl>
    </w:lvlOverride>
    <w:lvlOverride w:ilvl="4">
      <w:lvl w:ilvl="4">
        <w:start w:val="1"/>
        <w:numFmt w:val="decimal"/>
        <w:isLgl w:val="false"/>
        <w:suff w:val="tab"/>
        <w:lvlText w:val="%3.%4.%5."/>
        <w:lvlJc w:val="left"/>
        <w:pPr>
          <w:pStyle w:val="870"/>
          <w:ind w:left="1134" w:firstLine="0"/>
          <w:tabs>
            <w:tab w:val="num" w:pos="1418" w:leader="none"/>
          </w:tabs>
        </w:pPr>
        <w:rPr>
          <w:b w:val="false"/>
          <w:sz w:val="24"/>
          <w:szCs w:val="24"/>
        </w:rPr>
      </w:lvl>
    </w:lvlOverride>
    <w:lvlOverride w:ilvl="5">
      <w:lvl w:ilvl="5">
        <w:start w:val="1"/>
        <w:numFmt w:val="decimal"/>
        <w:isLgl w:val="false"/>
        <w:suff w:val="tab"/>
        <w:lvlText w:val="%3.%4.%5.%6."/>
        <w:lvlJc w:val="left"/>
        <w:pPr>
          <w:pStyle w:val="870"/>
          <w:ind w:left="1134" w:firstLine="0"/>
          <w:tabs>
            <w:tab w:val="num" w:pos="1418" w:leader="none"/>
          </w:tabs>
        </w:pPr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>
          <w:pStyle w:val="870"/>
          <w:ind w:left="2520" w:hanging="360"/>
          <w:tabs>
            <w:tab w:val="num" w:pos="2520" w:leader="none"/>
          </w:tabs>
        </w:pPr>
      </w:lvl>
    </w:lvlOverride>
    <w:lvlOverride w:ilvl="7">
      <w:lvl w:ilvl="7">
        <w:start w:val="1"/>
        <w:numFmt w:val="lowerLetter"/>
        <w:isLgl w:val="false"/>
        <w:suff w:val="tab"/>
        <w:lvlText w:val="%8."/>
        <w:lvlJc w:val="left"/>
        <w:pPr>
          <w:pStyle w:val="870"/>
          <w:ind w:left="2880" w:hanging="360"/>
          <w:tabs>
            <w:tab w:val="num" w:pos="2880" w:leader="none"/>
          </w:tabs>
        </w:pPr>
      </w:lvl>
    </w:lvlOverride>
    <w:lvlOverride w:ilvl="8">
      <w:lvl w:ilvl="8">
        <w:start w:val="1"/>
        <w:numFmt w:val="lowerRoman"/>
        <w:isLgl w:val="false"/>
        <w:suff w:val="tab"/>
        <w:lvlText w:val="%9."/>
        <w:lvlJc w:val="left"/>
        <w:pPr>
          <w:pStyle w:val="870"/>
          <w:ind w:left="3240" w:hanging="360"/>
          <w:tabs>
            <w:tab w:val="num" w:pos="3240" w:leader="none"/>
          </w:tabs>
        </w:pPr>
      </w:lvl>
    </w:lvlOverride>
  </w:num>
  <w:num w:numId="9">
    <w:abstractNumId w:val="10"/>
  </w:num>
  <w:num w:numId="10">
    <w:abstractNumId w:val="1"/>
  </w:num>
  <w:num w:numId="11">
    <w:abstractNumId w:val="24"/>
  </w:num>
  <w:num w:numId="12">
    <w:abstractNumId w:val="4"/>
  </w:num>
  <w:num w:numId="13">
    <w:abstractNumId w:val="9"/>
  </w:num>
  <w:num w:numId="14">
    <w:abstractNumId w:val="12"/>
  </w:num>
  <w:num w:numId="15">
    <w:abstractNumId w:val="22"/>
  </w:num>
  <w:num w:numId="16">
    <w:abstractNumId w:val="7"/>
  </w:num>
  <w:num w:numId="17">
    <w:abstractNumId w:val="5"/>
  </w:num>
  <w:num w:numId="18">
    <w:abstractNumId w:val="2"/>
  </w:num>
  <w:num w:numId="19">
    <w:abstractNumId w:val="14"/>
  </w:num>
  <w:num w:numId="20">
    <w:abstractNumId w:val="28"/>
  </w:num>
  <w:num w:numId="21">
    <w:abstractNumId w:val="15"/>
  </w:num>
  <w:num w:numId="22">
    <w:abstractNumId w:val="13"/>
  </w:num>
  <w:num w:numId="23">
    <w:abstractNumId w:val="20"/>
  </w:num>
  <w:num w:numId="24">
    <w:abstractNumId w:val="16"/>
  </w:num>
  <w:num w:numId="25">
    <w:abstractNumId w:val="19"/>
  </w:num>
  <w:num w:numId="26">
    <w:abstractNumId w:val="26"/>
  </w:num>
  <w:num w:numId="27">
    <w:abstractNumId w:val="23"/>
  </w:num>
  <w:num w:numId="28">
    <w:abstractNumId w:val="27"/>
  </w:num>
  <w:num w:numId="29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link w:val="69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93">
    <w:name w:val="Heading 1 Char"/>
    <w:link w:val="692"/>
    <w:uiPriority w:val="9"/>
    <w:rPr>
      <w:rFonts w:ascii="Arial" w:hAnsi="Arial" w:cs="Arial" w:eastAsia="Arial"/>
      <w:sz w:val="40"/>
      <w:szCs w:val="40"/>
    </w:rPr>
  </w:style>
  <w:style w:type="paragraph" w:styleId="694">
    <w:name w:val="Heading 2"/>
    <w:link w:val="69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95">
    <w:name w:val="Heading 2 Char"/>
    <w:link w:val="694"/>
    <w:uiPriority w:val="9"/>
    <w:rPr>
      <w:rFonts w:ascii="Arial" w:hAnsi="Arial" w:cs="Arial" w:eastAsia="Arial"/>
      <w:sz w:val="34"/>
    </w:rPr>
  </w:style>
  <w:style w:type="paragraph" w:styleId="696">
    <w:name w:val="Heading 3"/>
    <w:link w:val="69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97">
    <w:name w:val="Heading 3 Char"/>
    <w:link w:val="696"/>
    <w:uiPriority w:val="9"/>
    <w:rPr>
      <w:rFonts w:ascii="Arial" w:hAnsi="Arial" w:cs="Arial" w:eastAsia="Arial"/>
      <w:sz w:val="30"/>
      <w:szCs w:val="30"/>
    </w:rPr>
  </w:style>
  <w:style w:type="paragraph" w:styleId="698">
    <w:name w:val="Heading 4"/>
    <w:link w:val="69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99">
    <w:name w:val="Heading 4 Char"/>
    <w:link w:val="698"/>
    <w:uiPriority w:val="9"/>
    <w:rPr>
      <w:rFonts w:ascii="Arial" w:hAnsi="Arial" w:cs="Arial" w:eastAsia="Arial"/>
      <w:b/>
      <w:bCs/>
      <w:sz w:val="26"/>
      <w:szCs w:val="26"/>
    </w:rPr>
  </w:style>
  <w:style w:type="paragraph" w:styleId="700">
    <w:name w:val="Heading 5"/>
    <w:link w:val="70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01">
    <w:name w:val="Heading 5 Char"/>
    <w:link w:val="700"/>
    <w:uiPriority w:val="9"/>
    <w:rPr>
      <w:rFonts w:ascii="Arial" w:hAnsi="Arial" w:cs="Arial" w:eastAsia="Arial"/>
      <w:b/>
      <w:bCs/>
      <w:sz w:val="24"/>
      <w:szCs w:val="24"/>
    </w:rPr>
  </w:style>
  <w:style w:type="paragraph" w:styleId="702">
    <w:name w:val="Heading 6"/>
    <w:link w:val="70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03">
    <w:name w:val="Heading 6 Char"/>
    <w:link w:val="702"/>
    <w:uiPriority w:val="9"/>
    <w:rPr>
      <w:rFonts w:ascii="Arial" w:hAnsi="Arial" w:cs="Arial" w:eastAsia="Arial"/>
      <w:b/>
      <w:bCs/>
      <w:sz w:val="22"/>
      <w:szCs w:val="22"/>
    </w:rPr>
  </w:style>
  <w:style w:type="paragraph" w:styleId="704">
    <w:name w:val="Heading 7"/>
    <w:link w:val="70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05">
    <w:name w:val="Heading 7 Char"/>
    <w:link w:val="70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06">
    <w:name w:val="Heading 8"/>
    <w:link w:val="70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07">
    <w:name w:val="Heading 8 Char"/>
    <w:link w:val="706"/>
    <w:uiPriority w:val="9"/>
    <w:rPr>
      <w:rFonts w:ascii="Arial" w:hAnsi="Arial" w:cs="Arial" w:eastAsia="Arial"/>
      <w:i/>
      <w:iCs/>
      <w:sz w:val="22"/>
      <w:szCs w:val="22"/>
    </w:rPr>
  </w:style>
  <w:style w:type="paragraph" w:styleId="708">
    <w:name w:val="Heading 9"/>
    <w:link w:val="70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9">
    <w:name w:val="Heading 9 Char"/>
    <w:link w:val="708"/>
    <w:uiPriority w:val="9"/>
    <w:rPr>
      <w:rFonts w:ascii="Arial" w:hAnsi="Arial" w:cs="Arial" w:eastAsia="Arial"/>
      <w:i/>
      <w:iCs/>
      <w:sz w:val="21"/>
      <w:szCs w:val="21"/>
    </w:rPr>
  </w:style>
  <w:style w:type="paragraph" w:styleId="710">
    <w:name w:val="List Paragraph"/>
    <w:qFormat/>
    <w:uiPriority w:val="34"/>
    <w:pPr>
      <w:contextualSpacing w:val="true"/>
      <w:ind w:left="720"/>
    </w:pPr>
  </w:style>
  <w:style w:type="paragraph" w:styleId="711">
    <w:name w:val="No Spacing"/>
    <w:qFormat/>
    <w:uiPriority w:val="1"/>
    <w:pPr>
      <w:spacing w:lineRule="auto" w:line="240" w:after="0" w:before="0"/>
    </w:pPr>
  </w:style>
  <w:style w:type="paragraph" w:styleId="712">
    <w:name w:val="Title"/>
    <w:link w:val="71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link w:val="715"/>
    <w:qFormat/>
    <w:uiPriority w:val="11"/>
    <w:rPr>
      <w:sz w:val="24"/>
      <w:szCs w:val="24"/>
    </w:rPr>
    <w:pPr>
      <w:spacing w:after="200" w:before="200"/>
    </w:p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link w:val="717"/>
    <w:qFormat/>
    <w:uiPriority w:val="29"/>
    <w:rPr>
      <w:i/>
    </w:rPr>
    <w:pPr>
      <w:ind w:left="720" w:right="720"/>
    </w:p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link w:val="71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link w:val="72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link w:val="72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5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56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7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58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59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60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61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62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63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64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65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66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67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68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82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9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90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91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92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93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94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95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96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18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19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20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21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22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23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24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32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33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34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35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36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37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38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39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40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41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42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43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44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45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46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47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48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49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50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51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link w:val="854"/>
    <w:uiPriority w:val="99"/>
    <w:semiHidden/>
    <w:unhideWhenUsed/>
    <w:rPr>
      <w:sz w:val="18"/>
    </w:rPr>
    <w:pPr>
      <w:spacing w:lineRule="auto" w:line="240" w:after="40"/>
    </w:p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link w:val="857"/>
    <w:uiPriority w:val="99"/>
    <w:semiHidden/>
    <w:unhideWhenUsed/>
    <w:rPr>
      <w:sz w:val="20"/>
    </w:rPr>
    <w:pPr>
      <w:spacing w:lineRule="auto" w:line="240" w:after="0"/>
    </w:p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uiPriority w:val="39"/>
    <w:unhideWhenUsed/>
    <w:pPr>
      <w:ind w:left="0" w:right="0" w:firstLine="0"/>
      <w:spacing w:after="57"/>
    </w:pPr>
  </w:style>
  <w:style w:type="paragraph" w:styleId="860">
    <w:name w:val="toc 2"/>
    <w:uiPriority w:val="39"/>
    <w:unhideWhenUsed/>
    <w:pPr>
      <w:ind w:left="283" w:right="0" w:firstLine="0"/>
      <w:spacing w:after="57"/>
    </w:pPr>
  </w:style>
  <w:style w:type="paragraph" w:styleId="861">
    <w:name w:val="toc 3"/>
    <w:uiPriority w:val="39"/>
    <w:unhideWhenUsed/>
    <w:pPr>
      <w:ind w:left="567" w:right="0" w:firstLine="0"/>
      <w:spacing w:after="57"/>
    </w:pPr>
  </w:style>
  <w:style w:type="paragraph" w:styleId="862">
    <w:name w:val="toc 4"/>
    <w:uiPriority w:val="39"/>
    <w:unhideWhenUsed/>
    <w:pPr>
      <w:ind w:left="850" w:right="0" w:firstLine="0"/>
      <w:spacing w:after="57"/>
    </w:pPr>
  </w:style>
  <w:style w:type="paragraph" w:styleId="863">
    <w:name w:val="toc 5"/>
    <w:uiPriority w:val="39"/>
    <w:unhideWhenUsed/>
    <w:pPr>
      <w:ind w:left="1134" w:right="0" w:firstLine="0"/>
      <w:spacing w:after="57"/>
    </w:pPr>
  </w:style>
  <w:style w:type="paragraph" w:styleId="864">
    <w:name w:val="toc 6"/>
    <w:uiPriority w:val="39"/>
    <w:unhideWhenUsed/>
    <w:pPr>
      <w:ind w:left="1417" w:right="0" w:firstLine="0"/>
      <w:spacing w:after="57"/>
    </w:pPr>
  </w:style>
  <w:style w:type="paragraph" w:styleId="865">
    <w:name w:val="toc 7"/>
    <w:uiPriority w:val="39"/>
    <w:unhideWhenUsed/>
    <w:pPr>
      <w:ind w:left="1701" w:right="0" w:firstLine="0"/>
      <w:spacing w:after="57"/>
    </w:pPr>
  </w:style>
  <w:style w:type="paragraph" w:styleId="866">
    <w:name w:val="toc 8"/>
    <w:uiPriority w:val="39"/>
    <w:unhideWhenUsed/>
    <w:pPr>
      <w:ind w:left="1984" w:right="0" w:firstLine="0"/>
      <w:spacing w:after="57"/>
    </w:pPr>
  </w:style>
  <w:style w:type="paragraph" w:styleId="867">
    <w:name w:val="toc 9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uiPriority w:val="99"/>
    <w:unhideWhenUsed/>
    <w:pPr>
      <w:spacing w:after="0" w:afterAutospacing="0"/>
    </w:pPr>
  </w:style>
  <w:style w:type="paragraph" w:styleId="870">
    <w:name w:val="Обычный"/>
    <w:next w:val="870"/>
    <w:link w:val="870"/>
    <w:rPr>
      <w:sz w:val="24"/>
      <w:szCs w:val="24"/>
      <w:lang w:val="ru-RU" w:bidi="ar-SA" w:eastAsia="ru-RU"/>
    </w:rPr>
  </w:style>
  <w:style w:type="paragraph" w:styleId="871">
    <w:name w:val="Заголовок 1"/>
    <w:basedOn w:val="870"/>
    <w:next w:val="870"/>
    <w:link w:val="870"/>
    <w:rPr>
      <w:rFonts w:ascii="Arial" w:hAnsi="Arial"/>
      <w:b/>
      <w:bCs/>
      <w:sz w:val="32"/>
      <w:szCs w:val="32"/>
    </w:rPr>
    <w:pPr>
      <w:numPr>
        <w:ilvl w:val="0"/>
        <w:numId w:val="2"/>
      </w:numPr>
      <w:keepNext/>
      <w:spacing w:after="60" w:before="240"/>
      <w:outlineLvl w:val="0"/>
    </w:pPr>
  </w:style>
  <w:style w:type="paragraph" w:styleId="872">
    <w:name w:val="Заголовок 2"/>
    <w:basedOn w:val="870"/>
    <w:next w:val="870"/>
    <w:link w:val="870"/>
    <w:rPr>
      <w:rFonts w:ascii="Arial" w:hAnsi="Arial"/>
      <w:b/>
      <w:bCs/>
      <w:i/>
      <w:iCs/>
      <w:sz w:val="28"/>
      <w:szCs w:val="28"/>
    </w:rPr>
    <w:pPr>
      <w:keepNext/>
      <w:spacing w:after="60" w:before="240"/>
      <w:outlineLvl w:val="1"/>
    </w:pPr>
  </w:style>
  <w:style w:type="paragraph" w:styleId="873">
    <w:name w:val="Заголовок 3"/>
    <w:basedOn w:val="870"/>
    <w:next w:val="870"/>
    <w:link w:val="870"/>
    <w:rPr>
      <w:rFonts w:ascii="Arial" w:hAnsi="Arial"/>
      <w:b/>
      <w:bCs/>
      <w:sz w:val="26"/>
      <w:szCs w:val="26"/>
    </w:rPr>
    <w:pPr>
      <w:keepNext/>
      <w:spacing w:after="60" w:before="240"/>
      <w:outlineLvl w:val="2"/>
    </w:pPr>
  </w:style>
  <w:style w:type="paragraph" w:styleId="874">
    <w:name w:val="Заголовок 4"/>
    <w:basedOn w:val="870"/>
    <w:next w:val="870"/>
    <w:link w:val="870"/>
    <w:rPr>
      <w:b/>
      <w:bCs/>
      <w:sz w:val="28"/>
      <w:szCs w:val="28"/>
    </w:rPr>
    <w:pPr>
      <w:keepNext/>
      <w:spacing w:after="60" w:before="240"/>
      <w:outlineLvl w:val="3"/>
    </w:pPr>
  </w:style>
  <w:style w:type="paragraph" w:styleId="875">
    <w:name w:val="Заголовок 5"/>
    <w:basedOn w:val="870"/>
    <w:next w:val="870"/>
    <w:link w:val="870"/>
    <w:rPr>
      <w:b/>
      <w:bCs/>
      <w:i/>
      <w:iCs/>
      <w:sz w:val="26"/>
      <w:szCs w:val="26"/>
    </w:rPr>
    <w:pPr>
      <w:numPr>
        <w:ilvl w:val="4"/>
        <w:numId w:val="1"/>
      </w:numPr>
      <w:spacing w:after="60" w:before="240"/>
      <w:outlineLvl w:val="4"/>
    </w:pPr>
  </w:style>
  <w:style w:type="paragraph" w:styleId="876">
    <w:name w:val="Заголовок 6"/>
    <w:basedOn w:val="870"/>
    <w:next w:val="870"/>
    <w:link w:val="870"/>
    <w:rPr>
      <w:b/>
      <w:bCs/>
      <w:sz w:val="22"/>
      <w:szCs w:val="22"/>
    </w:rPr>
    <w:pPr>
      <w:numPr>
        <w:ilvl w:val="5"/>
        <w:numId w:val="1"/>
      </w:numPr>
      <w:spacing w:after="60" w:before="240"/>
      <w:outlineLvl w:val="5"/>
    </w:pPr>
  </w:style>
  <w:style w:type="paragraph" w:styleId="877">
    <w:name w:val="Заголовок 7"/>
    <w:basedOn w:val="870"/>
    <w:next w:val="870"/>
    <w:link w:val="870"/>
    <w:pPr>
      <w:numPr>
        <w:ilvl w:val="6"/>
        <w:numId w:val="1"/>
      </w:numPr>
      <w:spacing w:after="60" w:before="240"/>
      <w:outlineLvl w:val="6"/>
    </w:pPr>
  </w:style>
  <w:style w:type="paragraph" w:styleId="878">
    <w:name w:val="Заголовок 8"/>
    <w:basedOn w:val="870"/>
    <w:next w:val="870"/>
    <w:link w:val="870"/>
    <w:rPr>
      <w:i/>
      <w:iCs/>
    </w:rPr>
    <w:pPr>
      <w:numPr>
        <w:ilvl w:val="7"/>
        <w:numId w:val="1"/>
      </w:numPr>
      <w:spacing w:after="60" w:before="240"/>
      <w:outlineLvl w:val="7"/>
    </w:pPr>
  </w:style>
  <w:style w:type="paragraph" w:styleId="879">
    <w:name w:val="Заголовок 9"/>
    <w:basedOn w:val="870"/>
    <w:next w:val="870"/>
    <w:link w:val="870"/>
    <w:rPr>
      <w:rFonts w:ascii="Arial" w:hAnsi="Arial"/>
      <w:sz w:val="22"/>
      <w:szCs w:val="22"/>
    </w:rPr>
    <w:pPr>
      <w:numPr>
        <w:ilvl w:val="8"/>
        <w:numId w:val="1"/>
      </w:numPr>
      <w:spacing w:after="60" w:before="240"/>
      <w:outlineLvl w:val="8"/>
    </w:pPr>
  </w:style>
  <w:style w:type="character" w:styleId="880">
    <w:name w:val="Основной шрифт абзаца"/>
    <w:next w:val="880"/>
    <w:link w:val="870"/>
    <w:semiHidden/>
  </w:style>
  <w:style w:type="table" w:styleId="881">
    <w:name w:val="Обычная таблица"/>
    <w:next w:val="881"/>
    <w:link w:val="870"/>
    <w:semiHidden/>
    <w:tblPr/>
  </w:style>
  <w:style w:type="numbering" w:styleId="882">
    <w:name w:val="Нет списка"/>
    <w:next w:val="882"/>
    <w:link w:val="870"/>
    <w:semiHidden/>
  </w:style>
  <w:style w:type="numbering" w:styleId="883">
    <w:name w:val="Статья / Раздел,Часть/ Раздел,1"/>
    <w:basedOn w:val="882"/>
    <w:next w:val="883"/>
    <w:link w:val="870"/>
    <w:pPr>
      <w:numPr>
        <w:numId w:val="1"/>
      </w:numPr>
    </w:pPr>
  </w:style>
  <w:style w:type="paragraph" w:styleId="884">
    <w:name w:val="Оглавление 1"/>
    <w:basedOn w:val="870"/>
    <w:next w:val="870"/>
    <w:link w:val="870"/>
    <w:semiHidden/>
    <w:rPr>
      <w:rFonts w:ascii="Arial" w:hAnsi="Arial"/>
      <w:b/>
      <w:bCs/>
      <w:caps/>
    </w:rPr>
    <w:pPr>
      <w:numPr>
        <w:ilvl w:val="0"/>
        <w:numId w:val="3"/>
      </w:numPr>
      <w:ind w:left="1452" w:hanging="885"/>
      <w:spacing w:before="360"/>
      <w:tabs>
        <w:tab w:val="clear" w:pos="360" w:leader="none"/>
        <w:tab w:val="num" w:pos="1452" w:leader="none"/>
      </w:tabs>
    </w:pPr>
  </w:style>
  <w:style w:type="paragraph" w:styleId="885">
    <w:name w:val="Оглавление 2"/>
    <w:basedOn w:val="870"/>
    <w:next w:val="870"/>
    <w:link w:val="870"/>
    <w:semiHidden/>
    <w:rPr>
      <w:b/>
      <w:bCs/>
      <w:sz w:val="20"/>
      <w:szCs w:val="20"/>
    </w:rPr>
    <w:pPr>
      <w:numPr>
        <w:ilvl w:val="0"/>
        <w:numId w:val="4"/>
      </w:numPr>
      <w:ind w:left="76" w:firstLine="284"/>
      <w:spacing w:before="240"/>
    </w:pPr>
  </w:style>
  <w:style w:type="paragraph" w:styleId="886">
    <w:name w:val="Оглавление 3"/>
    <w:basedOn w:val="870"/>
    <w:next w:val="870"/>
    <w:link w:val="870"/>
    <w:semiHidden/>
    <w:rPr>
      <w:sz w:val="20"/>
      <w:szCs w:val="20"/>
    </w:rPr>
    <w:pPr>
      <w:numPr>
        <w:ilvl w:val="0"/>
        <w:numId w:val="5"/>
      </w:numPr>
      <w:ind w:left="794" w:firstLine="57"/>
      <w:tabs>
        <w:tab w:val="clear" w:pos="600" w:leader="none"/>
        <w:tab w:val="num" w:pos="1046" w:leader="none"/>
      </w:tabs>
    </w:pPr>
  </w:style>
  <w:style w:type="numbering" w:styleId="887">
    <w:name w:val="Стиль1"/>
    <w:next w:val="887"/>
    <w:link w:val="870"/>
    <w:pPr>
      <w:numPr>
        <w:numId w:val="2"/>
      </w:numPr>
    </w:pPr>
  </w:style>
  <w:style w:type="paragraph" w:styleId="888">
    <w:name w:val="Мой"/>
    <w:basedOn w:val="870"/>
    <w:next w:val="888"/>
    <w:link w:val="870"/>
  </w:style>
  <w:style w:type="paragraph" w:styleId="889">
    <w:name w:val="Оглавление 4"/>
    <w:basedOn w:val="870"/>
    <w:next w:val="870"/>
    <w:link w:val="870"/>
    <w:semiHidden/>
    <w:rPr>
      <w:sz w:val="20"/>
      <w:szCs w:val="20"/>
    </w:rPr>
  </w:style>
  <w:style w:type="numbering" w:styleId="890">
    <w:name w:val="МОЙ"/>
    <w:next w:val="890"/>
    <w:link w:val="870"/>
    <w:pPr>
      <w:numPr>
        <w:numId w:val="6"/>
      </w:numPr>
    </w:pPr>
  </w:style>
  <w:style w:type="paragraph" w:styleId="891">
    <w:name w:val="1 Знак Char Знак Char Знак"/>
    <w:basedOn w:val="870"/>
    <w:next w:val="891"/>
    <w:link w:val="870"/>
    <w:rPr>
      <w:rFonts w:eastAsia="Calibri"/>
      <w:sz w:val="20"/>
      <w:szCs w:val="20"/>
      <w:lang w:eastAsia="zh-CN"/>
    </w:rPr>
    <w:pPr>
      <w:spacing w:lineRule="exact" w:line="240" w:after="160"/>
    </w:pPr>
  </w:style>
  <w:style w:type="paragraph" w:styleId="892">
    <w:name w:val="Основной текст с отступом 3"/>
    <w:basedOn w:val="870"/>
    <w:next w:val="892"/>
    <w:link w:val="893"/>
    <w:rPr>
      <w:rFonts w:ascii="Calibri" w:hAnsi="Calibri"/>
      <w:sz w:val="16"/>
      <w:szCs w:val="16"/>
    </w:rPr>
    <w:pPr>
      <w:ind w:left="283"/>
      <w:spacing w:lineRule="auto" w:line="276" w:after="120"/>
    </w:pPr>
  </w:style>
  <w:style w:type="character" w:styleId="893">
    <w:name w:val="Основной текст с отступом 3 Знак"/>
    <w:next w:val="893"/>
    <w:link w:val="892"/>
    <w:rPr>
      <w:rFonts w:ascii="Calibri" w:hAnsi="Calibri"/>
      <w:sz w:val="16"/>
      <w:szCs w:val="16"/>
    </w:rPr>
  </w:style>
  <w:style w:type="paragraph" w:styleId="894">
    <w:name w:val="Абзац списка"/>
    <w:basedOn w:val="870"/>
    <w:next w:val="894"/>
    <w:link w:val="870"/>
    <w:rPr>
      <w:rFonts w:ascii="Calibri" w:hAnsi="Calibri"/>
      <w:sz w:val="22"/>
      <w:szCs w:val="22"/>
    </w:rPr>
    <w:pPr>
      <w:contextualSpacing w:val="true"/>
      <w:ind w:left="720"/>
      <w:spacing w:lineRule="auto" w:line="276" w:after="200"/>
    </w:pPr>
  </w:style>
  <w:style w:type="table" w:styleId="895">
    <w:name w:val="Сетка таблицы"/>
    <w:basedOn w:val="881"/>
    <w:next w:val="895"/>
    <w:link w:val="870"/>
    <w:tblPr/>
  </w:style>
  <w:style w:type="paragraph" w:styleId="896">
    <w:name w:val="ConsPlusNonformat"/>
    <w:next w:val="896"/>
    <w:link w:val="897"/>
    <w:rPr>
      <w:rFonts w:ascii="Courier New" w:hAnsi="Courier New"/>
      <w:lang w:val="ru-RU" w:bidi="ar-SA" w:eastAsia="ru-RU"/>
    </w:rPr>
    <w:pPr>
      <w:widowControl w:val="off"/>
    </w:pPr>
  </w:style>
  <w:style w:type="character" w:styleId="897">
    <w:name w:val="ConsPlusNonformat Знак"/>
    <w:next w:val="897"/>
    <w:link w:val="896"/>
    <w:rPr>
      <w:rFonts w:ascii="Courier New" w:hAnsi="Courier New"/>
      <w:lang w:val="ru-RU" w:bidi="ar-SA" w:eastAsia="ru-RU"/>
    </w:rPr>
  </w:style>
  <w:style w:type="paragraph" w:styleId="898">
    <w:name w:val="Название"/>
    <w:basedOn w:val="870"/>
    <w:next w:val="898"/>
    <w:link w:val="899"/>
    <w:rPr>
      <w:b/>
      <w:bCs/>
    </w:rPr>
    <w:pPr>
      <w:jc w:val="center"/>
      <w:outlineLvl w:val="0"/>
    </w:pPr>
  </w:style>
  <w:style w:type="character" w:styleId="899">
    <w:name w:val="Название Знак"/>
    <w:next w:val="899"/>
    <w:link w:val="898"/>
    <w:rPr>
      <w:b/>
      <w:bCs/>
      <w:sz w:val="24"/>
      <w:szCs w:val="24"/>
      <w:lang w:val="ru-RU" w:bidi="ar-SA" w:eastAsia="ru-RU"/>
    </w:rPr>
  </w:style>
  <w:style w:type="character" w:styleId="900">
    <w:name w:val="Гиперссылка"/>
    <w:next w:val="900"/>
    <w:link w:val="870"/>
    <w:rPr>
      <w:color w:val="0000FF"/>
      <w:u w:val="single"/>
    </w:rPr>
  </w:style>
  <w:style w:type="paragraph" w:styleId="901">
    <w:name w:val=" Знак1 Знак Знак Знак1"/>
    <w:basedOn w:val="870"/>
    <w:next w:val="901"/>
    <w:link w:val="870"/>
    <w:rPr>
      <w:rFonts w:ascii="Verdana" w:hAnsi="Verdana"/>
      <w:sz w:val="16"/>
      <w:szCs w:val="20"/>
    </w:rPr>
    <w:pPr>
      <w:ind w:firstLine="709"/>
      <w:spacing w:lineRule="exact" w:line="240" w:after="160"/>
    </w:pPr>
  </w:style>
  <w:style w:type="paragraph" w:styleId="902">
    <w:name w:val="Верхний колонтитул"/>
    <w:basedOn w:val="870"/>
    <w:next w:val="902"/>
    <w:link w:val="903"/>
    <w:rPr>
      <w:sz w:val="20"/>
      <w:szCs w:val="20"/>
    </w:rPr>
    <w:pPr>
      <w:tabs>
        <w:tab w:val="center" w:pos="4153" w:leader="none"/>
        <w:tab w:val="right" w:pos="8306" w:leader="none"/>
      </w:tabs>
    </w:pPr>
  </w:style>
  <w:style w:type="character" w:styleId="903">
    <w:name w:val="Верхний колонтитул Знак"/>
    <w:basedOn w:val="880"/>
    <w:next w:val="903"/>
    <w:link w:val="902"/>
  </w:style>
  <w:style w:type="paragraph" w:styleId="904">
    <w:name w:val="Текст выноски"/>
    <w:basedOn w:val="870"/>
    <w:next w:val="904"/>
    <w:link w:val="905"/>
    <w:rPr>
      <w:rFonts w:ascii="Tahoma" w:hAnsi="Tahoma"/>
      <w:sz w:val="16"/>
      <w:szCs w:val="16"/>
    </w:rPr>
  </w:style>
  <w:style w:type="character" w:styleId="905">
    <w:name w:val="Текст выноски Знак"/>
    <w:next w:val="905"/>
    <w:link w:val="904"/>
    <w:rPr>
      <w:rFonts w:ascii="Tahoma" w:hAnsi="Tahoma"/>
      <w:sz w:val="16"/>
      <w:szCs w:val="16"/>
    </w:rPr>
  </w:style>
  <w:style w:type="character" w:styleId="906" w:default="1">
    <w:name w:val="Default Paragraph Font"/>
    <w:uiPriority w:val="1"/>
    <w:semiHidden/>
    <w:unhideWhenUsed/>
  </w:style>
  <w:style w:type="numbering" w:styleId="907" w:default="1">
    <w:name w:val="No List"/>
    <w:uiPriority w:val="99"/>
    <w:semiHidden/>
    <w:unhideWhenUsed/>
  </w:style>
  <w:style w:type="paragraph" w:styleId="908" w:default="1">
    <w:name w:val="Normal"/>
    <w:qFormat/>
  </w:style>
  <w:style w:type="table" w:styleId="90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43.rosstat.gov.ru/folder/231912" TargetMode="External"/><Relationship Id="rId11" Type="http://schemas.openxmlformats.org/officeDocument/2006/relationships/hyperlink" Target="https://43.rosstat.gov.ru/storage/mediabank/Mes_cena_04(3).ht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2026-05-25T13:03:47Z</dcterms:modified>
</cp:coreProperties>
</file>