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jc w:val="right"/>
        <w:rPr>
          <w:sz w:val="24"/>
          <w:szCs w:val="24"/>
        </w:rPr>
      </w:pPr>
      <w:r>
        <w:rPr>
          <w:sz w:val="24"/>
          <w:szCs w:val="24"/>
        </w:rPr>
      </w:r>
    </w:p>
    <w:p>
      <w:pPr>
        <w:pStyle w:val="NoSpacing"/>
        <w:jc w:val="center"/>
        <w:rPr>
          <w:rFonts w:ascii="Times New Roman" w:hAnsi="Times New Roman"/>
          <w:sz w:val="24"/>
          <w:szCs w:val="24"/>
        </w:rPr>
      </w:pPr>
      <w:r>
        <w:rPr>
          <w:rFonts w:ascii="Times New Roman" w:hAnsi="Times New Roman"/>
          <w:sz w:val="24"/>
          <w:szCs w:val="24"/>
        </w:rPr>
        <w:t>Проект договора № __________</w:t>
      </w:r>
    </w:p>
    <w:p>
      <w:pPr>
        <w:pStyle w:val="NoSpacing"/>
        <w:jc w:val="center"/>
        <w:rPr>
          <w:rFonts w:ascii="Times New Roman" w:hAnsi="Times New Roman"/>
          <w:sz w:val="24"/>
          <w:szCs w:val="24"/>
        </w:rPr>
      </w:pPr>
      <w:r>
        <w:rPr>
          <w:rFonts w:ascii="Times New Roman" w:hAnsi="Times New Roman"/>
          <w:sz w:val="24"/>
          <w:szCs w:val="24"/>
        </w:rPr>
        <w:t>на поставку товара</w:t>
      </w:r>
    </w:p>
    <w:p>
      <w:pPr>
        <w:pStyle w:val="NoSpacing"/>
        <w:jc w:val="both"/>
        <w:rPr>
          <w:rFonts w:ascii="Times New Roman" w:hAnsi="Times New Roman"/>
          <w:sz w:val="24"/>
          <w:szCs w:val="24"/>
        </w:rPr>
      </w:pPr>
      <w:r>
        <w:rPr>
          <w:rFonts w:ascii="Times New Roman" w:hAnsi="Times New Roman"/>
          <w:sz w:val="24"/>
          <w:szCs w:val="24"/>
        </w:rPr>
      </w:r>
    </w:p>
    <w:tbl>
      <w:tblPr>
        <w:tblW w:w="10174" w:type="dxa"/>
        <w:jc w:val="left"/>
        <w:tblInd w:w="0" w:type="dxa"/>
        <w:tblLayout w:type="fixed"/>
        <w:tblCellMar>
          <w:top w:w="0" w:type="dxa"/>
          <w:left w:w="108" w:type="dxa"/>
          <w:bottom w:w="0" w:type="dxa"/>
          <w:right w:w="108" w:type="dxa"/>
        </w:tblCellMar>
        <w:tblLook w:lastRow="0" w:firstRow="0" w:lastColumn="0" w:firstColumn="0" w:val="0000" w:noHBand="0" w:noVBand="0"/>
      </w:tblPr>
      <w:tblGrid>
        <w:gridCol w:w="5060"/>
        <w:gridCol w:w="5113"/>
      </w:tblGrid>
      <w:tr>
        <w:trPr>
          <w:trHeight w:val="343" w:hRule="atLeast"/>
        </w:trPr>
        <w:tc>
          <w:tcPr>
            <w:tcW w:w="5060" w:type="dxa"/>
            <w:tcBorders/>
          </w:tcPr>
          <w:p>
            <w:pPr>
              <w:pStyle w:val="NoSpacing"/>
              <w:widowControl w:val="false"/>
              <w:jc w:val="both"/>
              <w:rPr>
                <w:rFonts w:ascii="Times New Roman" w:hAnsi="Times New Roman"/>
                <w:sz w:val="24"/>
                <w:szCs w:val="24"/>
              </w:rPr>
            </w:pPr>
            <w:r>
              <w:rPr>
                <w:rFonts w:ascii="Times New Roman" w:hAnsi="Times New Roman"/>
                <w:sz w:val="24"/>
                <w:szCs w:val="24"/>
              </w:rPr>
              <w:t>г. Астрахань</w:t>
            </w:r>
          </w:p>
        </w:tc>
        <w:tc>
          <w:tcPr>
            <w:tcW w:w="5113" w:type="dxa"/>
            <w:tcBorders/>
          </w:tcPr>
          <w:p>
            <w:pPr>
              <w:pStyle w:val="NoSpacing"/>
              <w:widowControl w:val="false"/>
              <w:jc w:val="righ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«_____» _______2026 г.</w:t>
            </w:r>
          </w:p>
        </w:tc>
      </w:tr>
    </w:tbl>
    <w:p>
      <w:pPr>
        <w:pStyle w:val="NoSpacing"/>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firstLine="567"/>
        <w:jc w:val="both"/>
        <w:rPr>
          <w:rFonts w:ascii="Times New Roman" w:hAnsi="Times New Roman"/>
          <w:sz w:val="24"/>
          <w:szCs w:val="24"/>
        </w:rPr>
      </w:pPr>
      <w:r>
        <w:rPr>
          <w:rFonts w:ascii="Times New Roman" w:hAnsi="Times New Roman"/>
          <w:bCs/>
          <w:sz w:val="24"/>
          <w:szCs w:val="24"/>
        </w:rPr>
        <w:t>Главное управление Министерства Российской Федерации по делам гражданской      обороны, чрезвычайным ситуациям и ликвидации последствии стихийных бедствии по Астраханской области (далее - Главное управление МЧС России по Астраханской области) , в лице _____, действующего на основании ____</w:t>
      </w:r>
      <w:r>
        <w:rPr>
          <w:rFonts w:ascii="Times New Roman" w:hAnsi="Times New Roman"/>
          <w:sz w:val="24"/>
          <w:szCs w:val="24"/>
        </w:rPr>
        <w:t xml:space="preserve">, выступающее от имени Российской Федерации, именуемое в дальнейшем "Государственный заказчик", с одной стороны  и ____, в лице ______, действующей на основании ______, именуемое в дальнейшем "Поставщик", с другой стороны, а вместе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w:t>
      </w:r>
      <w:bookmarkStart w:id="0" w:name="_GoBack1"/>
      <w:r>
        <w:rPr>
          <w:rFonts w:ascii="Times New Roman" w:hAnsi="Times New Roman"/>
          <w:sz w:val="24"/>
          <w:szCs w:val="24"/>
        </w:rPr>
        <w:t>госуд</w:t>
      </w:r>
      <w:bookmarkEnd w:id="0"/>
      <w:r>
        <w:rPr>
          <w:rFonts w:ascii="Times New Roman" w:hAnsi="Times New Roman"/>
          <w:sz w:val="24"/>
          <w:szCs w:val="24"/>
        </w:rPr>
        <w:t>арственных и муниципальных нужд», на основании итогового протокола подведения закупочной сессии от ______ № _______, заключили настоящий договор о нижеследующем:</w:t>
      </w:r>
    </w:p>
    <w:p>
      <w:pPr>
        <w:pStyle w:val="NoSpacing"/>
        <w:ind w:firstLine="709"/>
        <w:jc w:val="both"/>
        <w:rPr>
          <w:rFonts w:ascii="Times New Roman" w:hAnsi="Times New Roman"/>
          <w:sz w:val="24"/>
          <w:szCs w:val="24"/>
        </w:rPr>
      </w:pPr>
      <w:r>
        <w:rPr>
          <w:rFonts w:ascii="Times New Roman" w:hAnsi="Times New Roman"/>
          <w:sz w:val="24"/>
          <w:szCs w:val="24"/>
        </w:rPr>
      </w:r>
    </w:p>
    <w:p>
      <w:pPr>
        <w:pStyle w:val="NoSpacing"/>
        <w:numPr>
          <w:ilvl w:val="0"/>
          <w:numId w:val="2"/>
        </w:numPr>
        <w:ind w:left="0" w:hanging="0"/>
        <w:jc w:val="center"/>
        <w:rPr>
          <w:rFonts w:ascii="Times New Roman" w:hAnsi="Times New Roman" w:eastAsia="Times New Roman"/>
          <w:sz w:val="24"/>
          <w:szCs w:val="24"/>
          <w:lang w:eastAsia="ru-RU"/>
        </w:rPr>
      </w:pPr>
      <w:r>
        <w:rPr>
          <w:rFonts w:eastAsia="Times New Roman" w:ascii="Times New Roman" w:hAnsi="Times New Roman"/>
          <w:b/>
          <w:sz w:val="24"/>
          <w:szCs w:val="24"/>
          <w:lang w:eastAsia="ru-RU"/>
        </w:rPr>
        <w:t>Предмет Договора</w:t>
      </w:r>
    </w:p>
    <w:p>
      <w:pPr>
        <w:pStyle w:val="ConsPlusNormal1"/>
        <w:ind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1.1. Поставщик обязуется п</w:t>
      </w:r>
      <w:r>
        <w:rPr>
          <w:rFonts w:cs="Times New Roman" w:ascii="Times New Roman" w:hAnsi="Times New Roman"/>
          <w:color w:val="000000"/>
          <w:sz w:val="24"/>
          <w:szCs w:val="24"/>
        </w:rPr>
        <w:t xml:space="preserve">оставить периферийные устройства </w:t>
      </w:r>
      <w:r>
        <w:rPr>
          <w:rFonts w:cs="Times New Roman" w:ascii="Times New Roman" w:hAnsi="Times New Roman"/>
          <w:color w:val="000000"/>
          <w:sz w:val="24"/>
          <w:szCs w:val="24"/>
        </w:rPr>
        <w:t xml:space="preserve">и клавиатуры </w:t>
      </w:r>
      <w:r>
        <w:rPr>
          <w:rFonts w:cs="Times New Roman" w:ascii="Times New Roman" w:hAnsi="Times New Roman"/>
          <w:color w:val="000000"/>
          <w:sz w:val="24"/>
          <w:szCs w:val="24"/>
        </w:rPr>
        <w:t>взамен вышедших из строя</w:t>
      </w:r>
      <w:r>
        <w:rPr>
          <w:rFonts w:cs="Times New Roman" w:ascii="Times New Roman" w:hAnsi="Times New Roman"/>
          <w:iCs/>
          <w:color w:val="000000"/>
          <w:sz w:val="24"/>
          <w:szCs w:val="24"/>
        </w:rPr>
        <w:t xml:space="preserve"> для нужд Главного управления МЧС России по Астраханской области</w:t>
      </w:r>
      <w:r>
        <w:rPr>
          <w:rFonts w:cs="Times New Roman" w:ascii="Times New Roman" w:hAnsi="Times New Roman"/>
          <w:sz w:val="24"/>
          <w:szCs w:val="24"/>
        </w:rPr>
        <w:t xml:space="preserve"> (далее - Товар), а Государственный заказчик обязуется принять и оплатить Товар в порядке и на условиях, предусмотренных Договором.</w:t>
      </w:r>
    </w:p>
    <w:p>
      <w:pPr>
        <w:pStyle w:val="ConsPlusNormal1"/>
        <w:tabs>
          <w:tab w:val="clear" w:pos="708"/>
          <w:tab w:val="left" w:pos="284" w:leader="none"/>
          <w:tab w:val="left" w:pos="1365" w:leader="none"/>
        </w:tabs>
        <w:ind w:hanging="0"/>
        <w:jc w:val="both"/>
        <w:rPr>
          <w:rFonts w:ascii="Times New Roman" w:hAnsi="Times New Roman" w:cs="Times New Roman"/>
          <w:sz w:val="24"/>
          <w:szCs w:val="24"/>
        </w:rPr>
      </w:pPr>
      <w:r>
        <w:rPr>
          <w:rFonts w:cs="Times New Roman" w:ascii="Times New Roman" w:hAnsi="Times New Roman"/>
          <w:sz w:val="24"/>
          <w:szCs w:val="24"/>
        </w:rPr>
        <w:tab/>
        <w:t>1.2. Наименование, количество и иные характеристики поставляемого Товара указаны в  спецификации поставляемого товара (приложение № 1 к  Договору), описании объекта закупки (приложение № 2 к Договору) являющихся неотъемлемой частью Договора.</w:t>
      </w:r>
    </w:p>
    <w:p>
      <w:pPr>
        <w:pStyle w:val="ConsPlusNormal1"/>
        <w:tabs>
          <w:tab w:val="clear" w:pos="708"/>
          <w:tab w:val="left" w:pos="284" w:leader="none"/>
          <w:tab w:val="left" w:pos="1365" w:leader="none"/>
        </w:tabs>
        <w:ind w:hanging="0"/>
        <w:jc w:val="both"/>
        <w:rPr>
          <w:rFonts w:ascii="Times New Roman" w:hAnsi="Times New Roman" w:cs="Times New Roman"/>
          <w:sz w:val="24"/>
          <w:szCs w:val="24"/>
        </w:rPr>
      </w:pPr>
      <w:r>
        <w:rPr>
          <w:rFonts w:cs="Times New Roman" w:ascii="Times New Roman" w:hAnsi="Times New Roman"/>
          <w:sz w:val="24"/>
          <w:szCs w:val="24"/>
        </w:rPr>
        <w:tab/>
        <w:t>1.3. ИКЗ 261301506715530150100100360000000244.</w:t>
      </w:r>
    </w:p>
    <w:p>
      <w:pPr>
        <w:pStyle w:val="NoSpacing"/>
        <w:ind w:firstLine="709"/>
        <w:jc w:val="both"/>
        <w:rPr>
          <w:rFonts w:ascii="Times New Roman" w:hAnsi="Times New Roman"/>
          <w:sz w:val="24"/>
          <w:szCs w:val="24"/>
        </w:rPr>
      </w:pPr>
      <w:r>
        <w:rPr>
          <w:rFonts w:ascii="Times New Roman" w:hAnsi="Times New Roman"/>
          <w:sz w:val="24"/>
          <w:szCs w:val="24"/>
        </w:rPr>
      </w:r>
    </w:p>
    <w:p>
      <w:pPr>
        <w:pStyle w:val="NoSpacing"/>
        <w:jc w:val="center"/>
        <w:rPr>
          <w:rFonts w:ascii="Times New Roman" w:hAnsi="Times New Roman"/>
          <w:color w:val="000000" w:themeColor="text1"/>
          <w:sz w:val="24"/>
          <w:szCs w:val="24"/>
        </w:rPr>
      </w:pPr>
      <w:r>
        <w:rPr>
          <w:rFonts w:ascii="Times New Roman" w:hAnsi="Times New Roman"/>
          <w:b/>
          <w:color w:val="000000" w:themeColor="text1"/>
          <w:sz w:val="24"/>
          <w:szCs w:val="24"/>
        </w:rPr>
        <w:t>2. Цена договора и порядок оплаты</w:t>
      </w:r>
    </w:p>
    <w:p>
      <w:pPr>
        <w:pStyle w:val="NoSpacing"/>
        <w:tabs>
          <w:tab w:val="clear" w:pos="708"/>
          <w:tab w:val="left" w:pos="284" w:leader="none"/>
        </w:tabs>
        <w:jc w:val="both"/>
        <w:rPr>
          <w:rFonts w:ascii="Times New Roman" w:hAnsi="Times New Roman"/>
          <w:sz w:val="24"/>
          <w:szCs w:val="24"/>
        </w:rPr>
      </w:pPr>
      <w:r>
        <w:rPr>
          <w:rFonts w:ascii="Times New Roman" w:hAnsi="Times New Roman"/>
          <w:color w:val="000000" w:themeColor="text1"/>
          <w:sz w:val="24"/>
          <w:szCs w:val="24"/>
        </w:rPr>
        <w:tab/>
        <w:t>2.1.</w:t>
      </w:r>
      <w:r>
        <w:rPr>
          <w:rFonts w:ascii="Times New Roman" w:hAnsi="Times New Roman"/>
          <w:color w:val="000000"/>
          <w:sz w:val="24"/>
          <w:szCs w:val="24"/>
        </w:rPr>
        <w:t xml:space="preserve"> </w:t>
      </w:r>
      <w:r>
        <w:rPr>
          <w:rFonts w:eastAsia="Arial Unicode MS" w:ascii="Times New Roman" w:hAnsi="Times New Roman"/>
          <w:color w:val="000000"/>
          <w:sz w:val="24"/>
          <w:szCs w:val="24"/>
        </w:rPr>
        <w:t>Цена Договора составляет _____ (_____) рублей _____  копеек, в том числе НДС _____ % - _____ (_____) рублей _____ копеек/НДС  не облагается.</w:t>
      </w:r>
    </w:p>
    <w:p>
      <w:pPr>
        <w:pStyle w:val="ConsNormal"/>
        <w:tabs>
          <w:tab w:val="clear" w:pos="708"/>
          <w:tab w:val="left" w:pos="284" w:leader="none"/>
        </w:tabs>
        <w:rPr>
          <w:rFonts w:ascii="Times New Roman" w:hAnsi="Times New Roman" w:cs="Times New Roman"/>
          <w:sz w:val="24"/>
          <w:szCs w:val="24"/>
        </w:rPr>
      </w:pPr>
      <w:r>
        <w:rPr>
          <w:rFonts w:cs="Times New Roman" w:ascii="Times New Roman" w:hAnsi="Times New Roman"/>
          <w:color w:val="000000" w:themeColor="text1"/>
          <w:sz w:val="24"/>
          <w:szCs w:val="24"/>
        </w:rPr>
        <w:tab/>
        <w:t>2.2.</w:t>
      </w:r>
      <w:r>
        <w:rPr>
          <w:rFonts w:cs="Times New Roman" w:ascii="Times New Roman" w:hAnsi="Times New Roman"/>
          <w:sz w:val="24"/>
          <w:szCs w:val="24"/>
        </w:rPr>
        <w:t xml:space="preserve"> Цена договора включает стоимость тары (упаковки), расходы на уплату налогов, на уплату таможенных пошлин, сборов и других обязательных платежей в бюджеты всех уровней, на перевозку (доставку).</w:t>
      </w:r>
    </w:p>
    <w:p>
      <w:pPr>
        <w:pStyle w:val="ConsNormal"/>
        <w:tabs>
          <w:tab w:val="clear" w:pos="708"/>
          <w:tab w:val="left" w:pos="284" w:leader="none"/>
        </w:tabs>
        <w:rPr>
          <w:rFonts w:ascii="Times New Roman" w:hAnsi="Times New Roman" w:cs="Times New Roman"/>
          <w:sz w:val="24"/>
          <w:szCs w:val="24"/>
        </w:rPr>
      </w:pPr>
      <w:r>
        <w:rPr>
          <w:rFonts w:cs="Times New Roman" w:ascii="Times New Roman" w:hAnsi="Times New Roman"/>
          <w:sz w:val="24"/>
          <w:szCs w:val="24"/>
        </w:rPr>
        <w:tab/>
        <w:t>2.3. Цена договора является твердой и определяется на весь срок исполнения договора. Изменение цены допускается только в случаях, предусмотренных законом.</w:t>
      </w:r>
    </w:p>
    <w:p>
      <w:pPr>
        <w:pStyle w:val="ConsNormal"/>
        <w:ind w:firstLine="284"/>
        <w:rPr>
          <w:rFonts w:ascii="Times New Roman" w:hAnsi="Times New Roman" w:cs="Times New Roman"/>
          <w:sz w:val="24"/>
          <w:szCs w:val="24"/>
        </w:rPr>
      </w:pPr>
      <w:r>
        <w:rPr>
          <w:rFonts w:cs="Times New Roman" w:ascii="Times New Roman" w:hAnsi="Times New Roman"/>
          <w:sz w:val="24"/>
          <w:szCs w:val="24"/>
        </w:rPr>
        <w:t>2.4. Сумма, подлежащая уплате, уменьшается на размер связанных с оплатой договора налогов, сборов и иных обязательных платежей в бюджеты бюджетной системы Российской Федерации, уплатить которые Государственный заказчик обязан в соответствии с законодательством.</w:t>
      </w:r>
    </w:p>
    <w:p>
      <w:pPr>
        <w:pStyle w:val="ConsNormal"/>
        <w:ind w:firstLine="284"/>
        <w:rPr>
          <w:rFonts w:ascii="Times New Roman" w:hAnsi="Times New Roman" w:cs="Times New Roman"/>
          <w:sz w:val="24"/>
          <w:szCs w:val="24"/>
        </w:rPr>
      </w:pPr>
      <w:r>
        <w:rPr>
          <w:rFonts w:cs="Times New Roman" w:ascii="Times New Roman" w:hAnsi="Times New Roman"/>
          <w:sz w:val="24"/>
          <w:szCs w:val="24"/>
        </w:rPr>
        <w:t>2.5. Источник финансирования:</w:t>
      </w:r>
    </w:p>
    <w:p>
      <w:pPr>
        <w:pStyle w:val="ConsNormal"/>
        <w:rPr>
          <w:rFonts w:ascii="Times New Roman" w:hAnsi="Times New Roman" w:eastAsia="Times New Roman" w:cs="Times New Roman"/>
          <w:sz w:val="24"/>
          <w:szCs w:val="24"/>
        </w:rPr>
      </w:pPr>
      <w:r>
        <w:rPr>
          <w:rFonts w:cs="Times New Roman" w:ascii="Times New Roman" w:hAnsi="Times New Roman"/>
          <w:color w:val="000000"/>
          <w:kern w:val="2"/>
          <w:sz w:val="24"/>
          <w:szCs w:val="24"/>
        </w:rPr>
        <w:t xml:space="preserve">Федеральный бюджет </w:t>
      </w:r>
      <w:r>
        <w:rPr>
          <w:rFonts w:cs="Times New Roman" w:ascii="Times New Roman" w:hAnsi="Times New Roman"/>
          <w:sz w:val="24"/>
          <w:szCs w:val="24"/>
        </w:rPr>
        <w:t xml:space="preserve">ЛБО 2026 года, КБК </w:t>
      </w:r>
      <w:r>
        <w:rPr>
          <w:rFonts w:eastAsia="Calibri" w:cs="Times New Roman" w:ascii="Times New Roman" w:hAnsi="Times New Roman"/>
          <w:sz w:val="24"/>
          <w:szCs w:val="24"/>
        </w:rPr>
        <w:t>1</w:t>
      </w:r>
      <w:r>
        <w:rPr>
          <w:rFonts w:eastAsia="Times New Roman" w:cs="Times New Roman" w:ascii="Times New Roman" w:hAnsi="Times New Roman"/>
          <w:sz w:val="24"/>
          <w:szCs w:val="24"/>
        </w:rPr>
        <w:t xml:space="preserve">77 0310 1040190049 242, КМИ 177.00100177.17.Э.311.26 </w:t>
      </w:r>
    </w:p>
    <w:p>
      <w:pPr>
        <w:pStyle w:val="NoSpacing"/>
        <w:ind w:firstLine="284"/>
        <w:jc w:val="both"/>
        <w:rPr>
          <w:rFonts w:ascii="Times New Roman" w:hAnsi="Times New Roman"/>
          <w:sz w:val="24"/>
          <w:szCs w:val="24"/>
        </w:rPr>
      </w:pPr>
      <w:r>
        <w:rPr>
          <w:rFonts w:ascii="Times New Roman" w:hAnsi="Times New Roman"/>
          <w:sz w:val="24"/>
          <w:szCs w:val="24"/>
        </w:rPr>
        <w:t>2.6. Расчет между Государственным заказчиком и Поставщиком осуществляется безналичным платежом, путем перечисления Государственным заказчиком денежных средств на расчетный счет Поставщика.</w:t>
      </w:r>
    </w:p>
    <w:p>
      <w:pPr>
        <w:pStyle w:val="Normal"/>
        <w:spacing w:before="0" w:after="0"/>
        <w:ind w:firstLine="284"/>
        <w:jc w:val="both"/>
        <w:rPr>
          <w:rFonts w:ascii="Times New Roman" w:hAnsi="Times New Roman"/>
          <w:shd w:fill="FFFFFF" w:val="clear"/>
        </w:rPr>
      </w:pPr>
      <w:r>
        <w:rPr>
          <w:rFonts w:ascii="Times New Roman" w:hAnsi="Times New Roman"/>
          <w:sz w:val="24"/>
          <w:szCs w:val="24"/>
          <w:shd w:fill="FFFFFF" w:val="clear"/>
        </w:rPr>
        <w:t>2.7. Оплата производится Государственным заказчиком в течение 10 (десяти) рабочих дней на основании надлежащим образом оформленных и предоставленных в адрес Государственного заказчика следующих документов:</w:t>
      </w:r>
    </w:p>
    <w:p>
      <w:pPr>
        <w:pStyle w:val="ConsNormal"/>
        <w:rPr>
          <w:rFonts w:ascii="Times New Roman" w:hAnsi="Times New Roman"/>
        </w:rPr>
      </w:pPr>
      <w:r>
        <w:rPr>
          <w:rFonts w:cs="Times New Roman" w:ascii="Times New Roman" w:hAnsi="Times New Roman"/>
          <w:sz w:val="24"/>
          <w:szCs w:val="24"/>
        </w:rPr>
        <w:t>- счет/счет-фактура (при наличии);</w:t>
      </w:r>
    </w:p>
    <w:p>
      <w:pPr>
        <w:pStyle w:val="ConsNormal"/>
        <w:rPr>
          <w:rFonts w:ascii="Times New Roman" w:hAnsi="Times New Roman" w:cs="Times New Roman"/>
          <w:sz w:val="24"/>
          <w:szCs w:val="24"/>
        </w:rPr>
      </w:pPr>
      <w:r>
        <w:rPr>
          <w:rFonts w:cs="Times New Roman" w:ascii="Times New Roman" w:hAnsi="Times New Roman"/>
          <w:sz w:val="24"/>
          <w:szCs w:val="24"/>
        </w:rPr>
        <w:t>- универсальный передаточный документ (при наличии);</w:t>
      </w:r>
    </w:p>
    <w:p>
      <w:pPr>
        <w:pStyle w:val="ConsNormal"/>
        <w:rPr>
          <w:rFonts w:ascii="Times New Roman" w:hAnsi="Times New Roman" w:cs="Times New Roman"/>
          <w:sz w:val="24"/>
          <w:szCs w:val="24"/>
        </w:rPr>
      </w:pPr>
      <w:r>
        <w:rPr>
          <w:rFonts w:cs="Times New Roman" w:ascii="Times New Roman" w:hAnsi="Times New Roman"/>
          <w:sz w:val="24"/>
          <w:szCs w:val="24"/>
        </w:rPr>
        <w:t>- акт приемки поставленного товара;</w:t>
      </w:r>
    </w:p>
    <w:p>
      <w:pPr>
        <w:pStyle w:val="ConsNormal"/>
        <w:rPr>
          <w:rFonts w:ascii="Times New Roman" w:hAnsi="Times New Roman" w:cs="Times New Roman"/>
          <w:sz w:val="24"/>
          <w:szCs w:val="24"/>
        </w:rPr>
      </w:pPr>
      <w:r>
        <w:rPr>
          <w:rFonts w:cs="Times New Roman" w:ascii="Times New Roman" w:hAnsi="Times New Roman"/>
          <w:sz w:val="24"/>
          <w:szCs w:val="24"/>
        </w:rPr>
        <w:t>- товарная накладная;</w:t>
      </w:r>
    </w:p>
    <w:p>
      <w:pPr>
        <w:pStyle w:val="ConsNormal"/>
        <w:rPr>
          <w:rFonts w:ascii="Times New Roman" w:hAnsi="Times New Roman" w:cs="Times New Roman"/>
          <w:sz w:val="24"/>
          <w:szCs w:val="24"/>
        </w:rPr>
      </w:pPr>
      <w:r>
        <w:rPr>
          <w:rFonts w:cs="Times New Roman" w:ascii="Times New Roman" w:hAnsi="Times New Roman"/>
          <w:sz w:val="24"/>
          <w:szCs w:val="24"/>
        </w:rPr>
        <w:t>- акт приема-передачи товара.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 xml:space="preserve">2.8. На всех платежных документах и актах, обязательно должны быть указаны наименование Государственного заказчика, номер и дата договора, даты оформления и подписания документов, наименование товара. </w:t>
      </w:r>
    </w:p>
    <w:p>
      <w:pPr>
        <w:pStyle w:val="Normal"/>
        <w:widowControl w:val="false"/>
        <w:tabs>
          <w:tab w:val="clear" w:pos="708"/>
          <w:tab w:val="left" w:pos="284" w:leader="none"/>
        </w:tabs>
        <w:spacing w:before="0" w:after="200"/>
        <w:contextualSpacing/>
        <w:jc w:val="both"/>
        <w:rPr>
          <w:rFonts w:ascii="Times New Roman" w:hAnsi="Times New Roman"/>
          <w:sz w:val="24"/>
          <w:szCs w:val="24"/>
        </w:rPr>
      </w:pPr>
      <w:r>
        <w:rPr>
          <w:rFonts w:ascii="Times New Roman" w:hAnsi="Times New Roman"/>
          <w:kern w:val="2"/>
          <w:sz w:val="24"/>
          <w:szCs w:val="24"/>
          <w:lang w:eastAsia="ar-SA"/>
        </w:rPr>
        <w:tab/>
        <w:t>2.9. В случае неисполнения либо ненадлежащего исполнения обязательств, предусмотренных договором, оплата по договору может быть осуществлена Государственным заказчиком путем выплаты Поставщику суммы, уменьшенной на сумму неустоек (пени, штраф).</w:t>
      </w:r>
    </w:p>
    <w:p>
      <w:pPr>
        <w:pStyle w:val="Normal"/>
        <w:widowControl w:val="false"/>
        <w:tabs>
          <w:tab w:val="clear" w:pos="708"/>
          <w:tab w:val="left" w:pos="284" w:leader="none"/>
        </w:tabs>
        <w:spacing w:before="0" w:after="200"/>
        <w:contextualSpacing/>
        <w:jc w:val="both"/>
        <w:rPr>
          <w:rFonts w:ascii="Times New Roman" w:hAnsi="Times New Roman"/>
          <w:sz w:val="24"/>
          <w:szCs w:val="24"/>
        </w:rPr>
      </w:pPr>
      <w:r>
        <w:rPr>
          <w:rFonts w:ascii="Times New Roman" w:hAnsi="Times New Roman"/>
          <w:kern w:val="2"/>
          <w:sz w:val="24"/>
          <w:szCs w:val="24"/>
          <w:lang w:eastAsia="ar-SA"/>
        </w:rPr>
        <w:tab/>
        <w:t xml:space="preserve">2.10. </w:t>
      </w:r>
      <w:r>
        <w:rPr>
          <w:rFonts w:ascii="Times New Roman" w:hAnsi="Times New Roman"/>
          <w:sz w:val="24"/>
          <w:szCs w:val="24"/>
        </w:rPr>
        <w:t>Днем оплаты считается день списания денежных средств со счета Государственного заказчика.</w:t>
      </w:r>
    </w:p>
    <w:p>
      <w:pPr>
        <w:pStyle w:val="NoSpacing"/>
        <w:ind w:left="360" w:hanging="0"/>
        <w:jc w:val="center"/>
        <w:rPr>
          <w:rFonts w:ascii="Times New Roman" w:hAnsi="Times New Roman"/>
          <w:color w:val="000000" w:themeColor="text1"/>
          <w:sz w:val="24"/>
          <w:szCs w:val="24"/>
        </w:rPr>
      </w:pPr>
      <w:r>
        <w:rPr>
          <w:rFonts w:ascii="Times New Roman" w:hAnsi="Times New Roman"/>
          <w:b/>
          <w:color w:val="000000" w:themeColor="text1"/>
          <w:sz w:val="24"/>
          <w:szCs w:val="24"/>
        </w:rPr>
        <w:t>3.Обязанности и права Сторон</w:t>
      </w:r>
    </w:p>
    <w:p>
      <w:pPr>
        <w:pStyle w:val="Normal"/>
        <w:tabs>
          <w:tab w:val="clear" w:pos="708"/>
          <w:tab w:val="left" w:pos="284" w:leader="none"/>
        </w:tabs>
        <w:spacing w:before="0" w:after="0"/>
        <w:contextualSpacing/>
        <w:jc w:val="both"/>
        <w:rPr>
          <w:rFonts w:ascii="Times New Roman" w:hAnsi="Times New Roman"/>
          <w:sz w:val="24"/>
          <w:szCs w:val="24"/>
        </w:rPr>
      </w:pPr>
      <w:r>
        <w:rPr>
          <w:rFonts w:ascii="Times New Roman" w:hAnsi="Times New Roman"/>
          <w:sz w:val="24"/>
          <w:szCs w:val="24"/>
        </w:rPr>
        <w:tab/>
        <w:t>3.1. Государственный заказчик вправе:</w:t>
      </w:r>
    </w:p>
    <w:p>
      <w:pPr>
        <w:pStyle w:val="Normal"/>
        <w:spacing w:before="240" w:after="0"/>
        <w:ind w:firstLine="284"/>
        <w:contextualSpacing/>
        <w:jc w:val="both"/>
        <w:rPr>
          <w:rFonts w:ascii="Times New Roman" w:hAnsi="Times New Roman"/>
          <w:sz w:val="24"/>
          <w:szCs w:val="24"/>
        </w:rPr>
      </w:pPr>
      <w:r>
        <w:rPr>
          <w:rFonts w:ascii="Times New Roman" w:hAnsi="Times New Roman"/>
          <w:sz w:val="24"/>
          <w:szCs w:val="24"/>
        </w:rPr>
        <w:t xml:space="preserve">3.1.1. Требовать от Поставщика надлежащего исполнения обязательств, предусмотренных договором. </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3.1.2. Требовать от Поставщика своевременного устранения выявленных недостатков продукции;</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3.1.3. Осуществлять контроль исполнения договора, в том числе на отдельных этапах его исполнения, без вмешательства в оперативную хозяйственную деятельность Поставщика.</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3.1.4.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pPr>
        <w:pStyle w:val="Normal"/>
        <w:spacing w:before="240" w:after="0"/>
        <w:ind w:firstLine="284"/>
        <w:contextualSpacing/>
        <w:jc w:val="both"/>
        <w:rPr>
          <w:rFonts w:ascii="Times New Roman" w:hAnsi="Times New Roman"/>
          <w:sz w:val="24"/>
          <w:szCs w:val="24"/>
        </w:rPr>
      </w:pPr>
      <w:r>
        <w:rPr>
          <w:rFonts w:ascii="Times New Roman" w:hAnsi="Times New Roman"/>
          <w:sz w:val="24"/>
          <w:szCs w:val="24"/>
        </w:rPr>
        <w:t>3.1.5. Запрашивать у Поставщика информацию о ходе и состоянии исполнения обязательств Поставщика по договору.</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3.1.6. Осуществлять контроль за соблюдением сроков поставки и качеством товара.</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3.1.7. Для проверки соответствия качества поставляемых товаров привлекать независимых экспертов.</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3.1.8. Отказать Поставщику в приемке товара в соответствии с условиями договора и приложениями к нему.</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 xml:space="preserve">3.1.9. Уведомить Поставщика об изменении адреса и/или банковских реквизитов в течение </w:t>
      </w:r>
      <w:r>
        <w:rPr>
          <w:rFonts w:ascii="Times New Roman" w:hAnsi="Times New Roman"/>
          <w:b/>
          <w:bCs/>
          <w:i/>
          <w:iCs/>
          <w:sz w:val="24"/>
          <w:szCs w:val="24"/>
        </w:rPr>
        <w:t>3 (трех) рабочих</w:t>
      </w:r>
      <w:r>
        <w:rPr>
          <w:rFonts w:ascii="Times New Roman" w:hAnsi="Times New Roman"/>
          <w:sz w:val="24"/>
          <w:szCs w:val="24"/>
        </w:rPr>
        <w:t xml:space="preserve"> дней со дня внесения таких изменений.</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3.1.10. Пользоваться иными установленными договором и законодательством Российской Федерации правами.</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3.2. Государственный заказчик обязан:</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3.2.1. Принять поставленную продукцию, соответствующую требованиям, установленным договором, и оплаты этой продукции на указанных в нем условиях;</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3.2.2. Направлять Поставщику уведомления об уплате в добровольном порядке сумм неустойки (пеней, штрафов), предусмотренных договором за неисполнение (ненадлежащее исполнение) Поставщиком своих обязательств по договору.</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3.2.3. В случае неуплаты Поставщиком в добровольном порядке предусмотренных договором сумм неустойки (пеней, штрафов) взыскивать их в судебном порядке.</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3.2.4. При обнаружении уполномоченными контрольными органами несоответствия количества, ассортимента, комплектности и стоимости поставленного товара условиям договора вызвать полномочных представителей Поставщика для представления разъяснений в отношении поставленного товара.</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 xml:space="preserve">3.2.5. В случае изменения адресов поставки товара не позднее чем за </w:t>
      </w:r>
      <w:r>
        <w:rPr>
          <w:rFonts w:ascii="Times New Roman" w:hAnsi="Times New Roman"/>
          <w:b/>
          <w:bCs/>
          <w:i/>
          <w:iCs/>
          <w:sz w:val="24"/>
          <w:szCs w:val="24"/>
        </w:rPr>
        <w:t>3 (три)</w:t>
      </w:r>
      <w:r>
        <w:rPr>
          <w:rFonts w:ascii="Times New Roman" w:hAnsi="Times New Roman"/>
          <w:sz w:val="24"/>
          <w:szCs w:val="24"/>
        </w:rPr>
        <w:t xml:space="preserve"> дня до начала поставки по новому адресу Государственного заказчика уведомить Поставщика о таком изменении.</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3.3. Поставщик вправе:</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3.3.1. Требовать своевременной оплаты на условиях, предусмотренных договором, надлежащим образом поставленной и принятой Государственным заказчиком продукции;</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3.3.2. С письменного согласия Государственного заказчика привлечь к исполнению своих обязательств по договору третьих лиц. При этом Поставщик несет ответственность перед Государственным заказчиком за неисполнение или ненадлежащее исполнение обязательств третьими лицами. Привлечение третьих лиц не влечет за собой изменение стоимости и количества товара по договору.</w:t>
      </w:r>
    </w:p>
    <w:p>
      <w:pPr>
        <w:pStyle w:val="Normal"/>
        <w:spacing w:before="240" w:after="0"/>
        <w:ind w:firstLine="284"/>
        <w:contextualSpacing/>
        <w:jc w:val="both"/>
        <w:rPr>
          <w:rFonts w:ascii="Times New Roman" w:hAnsi="Times New Roman"/>
          <w:sz w:val="24"/>
          <w:szCs w:val="24"/>
        </w:rPr>
      </w:pPr>
      <w:r>
        <w:rPr>
          <w:rFonts w:ascii="Times New Roman" w:hAnsi="Times New Roman"/>
          <w:sz w:val="24"/>
          <w:szCs w:val="24"/>
        </w:rPr>
        <w:t>3.3.3. Запрашивать у Государственного заказчика предоставления разъяснений и уточнений по вопросам поставки товара в рамках договора.</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3.4. Поставщик обязан:</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3.4.1. Своевременно и надлежащим образом поставить товар в соответствии с условиями договора и приложений к нему,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договором.</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color w:val="000000" w:themeColor="text1"/>
          <w:sz w:val="24"/>
          <w:szCs w:val="24"/>
        </w:rPr>
        <w:tab/>
        <w:t>3.4.2.</w:t>
      </w:r>
      <w:r>
        <w:rPr>
          <w:rFonts w:ascii="Times New Roman" w:hAnsi="Times New Roman"/>
          <w:sz w:val="24"/>
          <w:szCs w:val="24"/>
        </w:rPr>
        <w:t xml:space="preserve"> Представить Государственному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color w:val="000000" w:themeColor="text1"/>
          <w:sz w:val="24"/>
          <w:szCs w:val="24"/>
        </w:rPr>
        <w:tab/>
        <w:t>3.4.3.</w:t>
      </w:r>
      <w:r>
        <w:rPr>
          <w:rFonts w:ascii="Times New Roman" w:hAnsi="Times New Roman"/>
          <w:sz w:val="24"/>
          <w:szCs w:val="24"/>
        </w:rPr>
        <w:t xml:space="preserve"> Представить по запросу Государственного заказчика в сроки, указанные в таком запросе, информацию о ходе исполнения обязательств по договору.</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 xml:space="preserve">3.4.4. Представить Государственному заказчику сведения об изменении своего фактического местонахождения в срок не позднее </w:t>
      </w:r>
      <w:r>
        <w:rPr>
          <w:rFonts w:ascii="Times New Roman" w:hAnsi="Times New Roman"/>
          <w:b/>
          <w:bCs/>
          <w:i/>
          <w:iCs/>
          <w:sz w:val="24"/>
          <w:szCs w:val="24"/>
        </w:rPr>
        <w:t>3 (трех) рабочих</w:t>
      </w:r>
      <w:r>
        <w:rPr>
          <w:rFonts w:ascii="Times New Roman" w:hAnsi="Times New Roman"/>
          <w:sz w:val="24"/>
          <w:szCs w:val="24"/>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договоре.</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3.4.5. Представить Государственному заказчику надлежащим образом заверенные копии документов, подтверждающих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договора (сертификаты соответствия, декларации о соответствии, санитарно-эпидемиологические заключения и т.д.).</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3.4.6. За счет собственных или привлеченных сил и средств поставить продукцию, на условиях, предусмотренных договором,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договором.</w:t>
      </w:r>
    </w:p>
    <w:p>
      <w:pPr>
        <w:pStyle w:val="Normal"/>
        <w:spacing w:lineRule="auto" w:line="360" w:before="240" w:after="0"/>
        <w:ind w:firstLine="284"/>
        <w:contextualSpacing/>
        <w:jc w:val="both"/>
        <w:rPr>
          <w:rFonts w:ascii="Times New Roman" w:hAnsi="Times New Roman"/>
          <w:sz w:val="24"/>
          <w:szCs w:val="24"/>
        </w:rPr>
      </w:pPr>
      <w:r>
        <w:rPr>
          <w:rFonts w:ascii="Times New Roman" w:hAnsi="Times New Roman"/>
          <w:color w:val="000000" w:themeColor="text1"/>
          <w:sz w:val="24"/>
          <w:szCs w:val="24"/>
        </w:rPr>
        <w:t>3.4.7.</w:t>
      </w:r>
      <w:r>
        <w:rPr>
          <w:rFonts w:ascii="Times New Roman" w:hAnsi="Times New Roman"/>
          <w:sz w:val="24"/>
          <w:szCs w:val="24"/>
        </w:rPr>
        <w:t xml:space="preserve"> Обеспечить допуск уполномоченных представителей Государственного заказчика в организацию Поставщика и условий для осуществления ими контроля за исполнением договора в соответствии с законодательством Российской Федерации о государственном оборонном заказе, в том числе на отдельных этапах его исполнения.</w:t>
      </w:r>
    </w:p>
    <w:p>
      <w:pPr>
        <w:pStyle w:val="Normal"/>
        <w:spacing w:before="240" w:after="0"/>
        <w:ind w:firstLine="284"/>
        <w:contextualSpacing/>
        <w:jc w:val="both"/>
        <w:rPr>
          <w:rFonts w:ascii="Times New Roman" w:hAnsi="Times New Roman"/>
          <w:sz w:val="24"/>
          <w:szCs w:val="24"/>
        </w:rPr>
      </w:pPr>
      <w:r>
        <w:rPr>
          <w:rFonts w:ascii="Times New Roman" w:hAnsi="Times New Roman"/>
          <w:sz w:val="24"/>
          <w:szCs w:val="24"/>
        </w:rPr>
        <w:t>3.4.8. Соответствовать в течение всего срока действия договора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pPr>
        <w:pStyle w:val="Normal"/>
        <w:spacing w:before="240" w:after="0"/>
        <w:ind w:firstLine="284"/>
        <w:contextualSpacing/>
        <w:jc w:val="both"/>
        <w:rPr>
          <w:rFonts w:ascii="Times New Roman" w:hAnsi="Times New Roman"/>
          <w:sz w:val="24"/>
          <w:szCs w:val="24"/>
        </w:rPr>
      </w:pPr>
      <w:r>
        <w:rPr>
          <w:rFonts w:ascii="Times New Roman" w:hAnsi="Times New Roman"/>
          <w:color w:val="000000" w:themeColor="text1"/>
          <w:sz w:val="24"/>
          <w:szCs w:val="24"/>
        </w:rPr>
        <w:t>3.4.9.</w:t>
      </w:r>
      <w:r>
        <w:rPr>
          <w:rFonts w:ascii="Times New Roman" w:hAnsi="Times New Roman"/>
          <w:sz w:val="24"/>
          <w:szCs w:val="24"/>
        </w:rPr>
        <w:t xml:space="preserve"> Устранить за свой счет недостатки и дефекты, выявленные при приемке продукции и в течение гарантийного срока, если гарантийные обязательства установлены договором на поставку этой продукции.</w:t>
      </w:r>
    </w:p>
    <w:p>
      <w:pPr>
        <w:pStyle w:val="Normal"/>
        <w:spacing w:before="240" w:after="0"/>
        <w:ind w:firstLine="284"/>
        <w:contextualSpacing/>
        <w:jc w:val="both"/>
        <w:rPr>
          <w:rFonts w:ascii="Times New Roman" w:hAnsi="Times New Roman"/>
          <w:sz w:val="24"/>
          <w:szCs w:val="24"/>
        </w:rPr>
      </w:pPr>
      <w:r>
        <w:rPr>
          <w:rFonts w:ascii="Times New Roman" w:hAnsi="Times New Roman"/>
          <w:sz w:val="24"/>
          <w:szCs w:val="24"/>
        </w:rPr>
        <w:t>3.4.10. Исполнять иные обязательства, предусмотренные действующим российским законодательством и договором.</w:t>
      </w:r>
    </w:p>
    <w:p>
      <w:pPr>
        <w:pStyle w:val="Normal"/>
        <w:spacing w:before="240" w:after="0"/>
        <w:ind w:firstLine="540"/>
        <w:contextualSpacing/>
        <w:jc w:val="both"/>
        <w:rPr>
          <w:rFonts w:ascii="Times New Roman" w:hAnsi="Times New Roman"/>
          <w:sz w:val="24"/>
          <w:szCs w:val="24"/>
        </w:rPr>
      </w:pPr>
      <w:r>
        <w:rPr>
          <w:rFonts w:ascii="Times New Roman" w:hAnsi="Times New Roman"/>
          <w:sz w:val="24"/>
          <w:szCs w:val="24"/>
        </w:rPr>
      </w:r>
    </w:p>
    <w:p>
      <w:pPr>
        <w:pStyle w:val="ConsNormal"/>
        <w:jc w:val="center"/>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ConsNormal"/>
        <w:jc w:val="center"/>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ConsNormal"/>
        <w:jc w:val="center"/>
        <w:rPr>
          <w:rFonts w:ascii="Times New Roman" w:hAnsi="Times New Roman" w:cs="Times New Roman"/>
          <w:color w:val="000000" w:themeColor="text1"/>
          <w:sz w:val="24"/>
          <w:szCs w:val="24"/>
        </w:rPr>
      </w:pPr>
      <w:r>
        <w:rPr>
          <w:rFonts w:cs="Times New Roman" w:ascii="Times New Roman" w:hAnsi="Times New Roman"/>
          <w:b/>
          <w:color w:val="000000" w:themeColor="text1"/>
          <w:sz w:val="24"/>
          <w:szCs w:val="24"/>
        </w:rPr>
        <w:t>4. Срок и условия поставки</w:t>
      </w:r>
    </w:p>
    <w:p>
      <w:pPr>
        <w:pStyle w:val="Cons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4.1. Срок поставки товара: в</w:t>
      </w:r>
      <w:r>
        <w:rPr>
          <w:rFonts w:cs="Times New Roman" w:ascii="Times New Roman" w:hAnsi="Times New Roman"/>
          <w:iCs/>
          <w:color w:val="000000"/>
          <w:sz w:val="24"/>
          <w:szCs w:val="24"/>
        </w:rPr>
        <w:t xml:space="preserve"> течение 30 (тридцати) календарных дней с даты заключения </w:t>
      </w:r>
      <w:r>
        <w:rPr>
          <w:rFonts w:cs="Times New Roman" w:ascii="Times New Roman" w:hAnsi="Times New Roman"/>
          <w:sz w:val="24"/>
          <w:szCs w:val="24"/>
        </w:rPr>
        <w:t xml:space="preserve">договора. </w:t>
      </w:r>
    </w:p>
    <w:p>
      <w:pPr>
        <w:pStyle w:val="ConsNormal"/>
        <w:ind w:firstLine="284"/>
        <w:rPr>
          <w:rFonts w:ascii="Times New Roman" w:hAnsi="Times New Roman" w:cs="Times New Roman"/>
          <w:sz w:val="24"/>
          <w:szCs w:val="24"/>
        </w:rPr>
      </w:pPr>
      <w:r>
        <w:rPr>
          <w:rFonts w:cs="Times New Roman" w:ascii="Times New Roman" w:hAnsi="Times New Roman"/>
          <w:sz w:val="24"/>
          <w:szCs w:val="24"/>
        </w:rPr>
        <w:t xml:space="preserve">4.2. Поставка товара осуществляется путем его доставки Государственному заказчику по адресу: </w:t>
      </w:r>
      <w:r>
        <w:rPr>
          <w:rFonts w:cs="Times New Roman" w:ascii="Times New Roman" w:hAnsi="Times New Roman"/>
          <w:color w:val="000000"/>
          <w:sz w:val="24"/>
          <w:szCs w:val="24"/>
        </w:rPr>
        <w:t>Астраханская область, г. Астрахань, ул. Тамбовская, 3.</w:t>
      </w:r>
    </w:p>
    <w:p>
      <w:pPr>
        <w:pStyle w:val="Standard"/>
        <w:jc w:val="both"/>
        <w:rPr>
          <w:rFonts w:ascii="Tinos" w:hAnsi="Tinos"/>
          <w:sz w:val="24"/>
        </w:rPr>
      </w:pPr>
      <w:r>
        <w:rPr>
          <w:sz w:val="24"/>
        </w:rPr>
        <w:tab/>
      </w:r>
      <w:r>
        <w:rPr>
          <w:rFonts w:cs="Times New Roman"/>
          <w:sz w:val="24"/>
        </w:rPr>
        <w:t xml:space="preserve">Поставка Товара производится Поставщиком в рабочие дни: </w:t>
      </w:r>
      <w:r>
        <w:rPr>
          <w:rStyle w:val="Docy"/>
          <w:rFonts w:cs="Times New Roman" w:ascii="Times New Roman" w:hAnsi="Times New Roman"/>
          <w:b/>
          <w:bCs/>
          <w:iCs/>
          <w:color w:val="000000"/>
          <w:sz w:val="24"/>
        </w:rPr>
        <w:t xml:space="preserve"> </w:t>
      </w:r>
      <w:r>
        <w:rPr>
          <w:rStyle w:val="Docy"/>
          <w:rFonts w:ascii="Times New Roman" w:hAnsi="Times New Roman"/>
          <w:iCs/>
          <w:color w:val="000000"/>
          <w:sz w:val="24"/>
        </w:rPr>
        <w:t>с понедельника по четверг с 9:30 до 17:30, в пятницу с 09:30 до 16:30</w:t>
      </w:r>
      <w:r>
        <w:rPr>
          <w:rStyle w:val="Docy"/>
          <w:rFonts w:cs="Times New Roman" w:ascii="Times New Roman" w:hAnsi="Times New Roman"/>
          <w:iCs/>
          <w:color w:val="000000"/>
          <w:sz w:val="24"/>
        </w:rPr>
        <w:t xml:space="preserve"> часов, </w:t>
      </w:r>
      <w:r>
        <w:rPr>
          <w:rFonts w:ascii="Tinos" w:hAnsi="Tinos"/>
          <w:sz w:val="24"/>
        </w:rPr>
        <w:t>обеденный перерыв с 13.00 ч. до 13.45 ч. (время местное). Поставщик не менее чем за 1 (один) рабочий день до осуществления поставки Товара уведомляет по телефону 8 (8512) 44-12-55 доб. 169 Государственному заказчика о времени и дате доставки Товара в место поставки. Поставщик осуществляет доставку, погрузку, разгрузку и подъем Товара на этаж своими силами и за свой счет. Поставка товара осуществляется одной партией.</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4.3. Право выбора вида транспорта и определения других условий доставки принадлежит Поставщику.</w:t>
      </w:r>
    </w:p>
    <w:p>
      <w:pPr>
        <w:pStyle w:val="ConsNormal"/>
        <w:ind w:firstLine="540"/>
        <w:rPr>
          <w:rFonts w:ascii="Times New Roman" w:hAnsi="Times New Roman" w:cs="Times New Roman"/>
          <w:sz w:val="24"/>
          <w:szCs w:val="24"/>
        </w:rPr>
      </w:pPr>
      <w:r>
        <w:rPr>
          <w:rFonts w:cs="Times New Roman" w:ascii="Times New Roman" w:hAnsi="Times New Roman"/>
          <w:sz w:val="24"/>
          <w:szCs w:val="24"/>
        </w:rPr>
        <w:t>Доставка осуществляется за счет Поставщика.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 xml:space="preserve">4.4. Поставщик считается исполнившим обязанность по поставке товара </w:t>
      </w:r>
      <w:r>
        <w:rPr>
          <w:rFonts w:cs="Times New Roman" w:ascii="Times New Roman" w:hAnsi="Times New Roman"/>
          <w:color w:val="000000"/>
          <w:sz w:val="24"/>
          <w:szCs w:val="24"/>
        </w:rPr>
        <w:t>с даты подписания документа о приемке, подписанного Государственным заказчиком.</w:t>
      </w:r>
    </w:p>
    <w:p>
      <w:pPr>
        <w:pStyle w:val="ConsNormal"/>
        <w:ind w:firstLine="284"/>
        <w:rPr>
          <w:rFonts w:ascii="Times New Roman" w:hAnsi="Times New Roman" w:cs="Times New Roman"/>
          <w:sz w:val="24"/>
          <w:szCs w:val="24"/>
        </w:rPr>
      </w:pPr>
      <w:r>
        <w:rPr>
          <w:rFonts w:cs="Times New Roman" w:ascii="Times New Roman" w:hAnsi="Times New Roman"/>
          <w:sz w:val="24"/>
          <w:szCs w:val="24"/>
        </w:rPr>
        <w:t>4.5. Поставщик обязан восполнить недопоставленное количество товара в течение 10 (десяти) дней после истечения срока поставки.</w:t>
      </w:r>
    </w:p>
    <w:p>
      <w:pPr>
        <w:pStyle w:val="ConsNormal"/>
        <w:ind w:firstLine="284"/>
        <w:rPr>
          <w:rFonts w:ascii="Times New Roman" w:hAnsi="Times New Roman" w:cs="Times New Roman"/>
          <w:sz w:val="24"/>
          <w:szCs w:val="24"/>
        </w:rPr>
      </w:pPr>
      <w:r>
        <w:rPr>
          <w:rFonts w:cs="Times New Roman" w:ascii="Times New Roman" w:hAnsi="Times New Roman"/>
          <w:sz w:val="24"/>
          <w:szCs w:val="24"/>
        </w:rPr>
        <w:t>4.6. Государственный заказчик вправе, уведомив Поставщика, отказаться от принятия товаров, поставка которых просрочена.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4.7. Тара (упаковка).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4.7.1. Поставляемый товар должен быть затарен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pPr>
        <w:pStyle w:val="ConsNormal"/>
        <w:ind w:firstLine="284"/>
        <w:rPr>
          <w:rFonts w:ascii="Times New Roman" w:hAnsi="Times New Roman" w:cs="Times New Roman"/>
          <w:sz w:val="24"/>
          <w:szCs w:val="24"/>
        </w:rPr>
      </w:pPr>
      <w:r>
        <w:rPr>
          <w:rFonts w:cs="Times New Roman" w:ascii="Times New Roman" w:hAnsi="Times New Roman"/>
          <w:sz w:val="24"/>
          <w:szCs w:val="24"/>
        </w:rPr>
        <w:t>4.7.2. Тара (упаковка) является одноразовой, возврату Поставщику не подлежит.</w:t>
      </w:r>
    </w:p>
    <w:p>
      <w:pPr>
        <w:pStyle w:val="ConsNormal"/>
        <w:ind w:firstLine="284"/>
        <w:rPr>
          <w:rFonts w:ascii="Times New Roman" w:hAnsi="Times New Roman" w:cs="Times New Roman"/>
          <w:sz w:val="24"/>
          <w:szCs w:val="24"/>
        </w:rPr>
      </w:pPr>
      <w:r>
        <w:rPr>
          <w:rFonts w:cs="Times New Roman" w:ascii="Times New Roman" w:hAnsi="Times New Roman"/>
          <w:sz w:val="24"/>
          <w:szCs w:val="24"/>
        </w:rPr>
        <w:t>4.7.3. Стоимость тары (упаковки) товара входит в его цену и отдельно не оплачивается.</w:t>
      </w:r>
    </w:p>
    <w:p>
      <w:pPr>
        <w:pStyle w:val="ConsNormal"/>
        <w:ind w:firstLine="284"/>
        <w:rPr>
          <w:rFonts w:ascii="Times New Roman" w:hAnsi="Times New Roman" w:cs="Times New Roman"/>
          <w:sz w:val="24"/>
          <w:szCs w:val="24"/>
        </w:rPr>
      </w:pPr>
      <w:r>
        <w:rPr>
          <w:rFonts w:cs="Times New Roman" w:ascii="Times New Roman" w:hAnsi="Times New Roman"/>
          <w:sz w:val="24"/>
          <w:szCs w:val="24"/>
        </w:rPr>
        <w:t>4.7.4. Если товар передается в ненадлежащей таре (упаковке) либо без нее, Государственный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4.8. Маркировка товара должна соответствовать обязательным требованиям.</w:t>
      </w:r>
    </w:p>
    <w:p>
      <w:pPr>
        <w:pStyle w:val="ConsNormal"/>
        <w:ind w:firstLine="284"/>
        <w:rPr>
          <w:rFonts w:ascii="Times New Roman" w:hAnsi="Times New Roman" w:cs="Times New Roman"/>
          <w:sz w:val="24"/>
          <w:szCs w:val="24"/>
        </w:rPr>
      </w:pPr>
      <w:r>
        <w:rPr>
          <w:rFonts w:cs="Times New Roman" w:ascii="Times New Roman" w:hAnsi="Times New Roman"/>
          <w:sz w:val="24"/>
          <w:szCs w:val="24"/>
        </w:rPr>
        <w:t xml:space="preserve">4.9. Право собственности на товар переходит к Государственному заказчику </w:t>
      </w:r>
      <w:r>
        <w:rPr>
          <w:rFonts w:cs="Times New Roman" w:ascii="Times New Roman" w:hAnsi="Times New Roman"/>
          <w:color w:val="000000"/>
          <w:sz w:val="24"/>
          <w:szCs w:val="24"/>
        </w:rPr>
        <w:t>с даты размещения в единой информационной системе документа о приемке, подписанного Государственным заказчиком.</w:t>
      </w:r>
    </w:p>
    <w:p>
      <w:pPr>
        <w:pStyle w:val="ConsNormal"/>
        <w:ind w:firstLine="284"/>
        <w:rPr>
          <w:rFonts w:ascii="Times New Roman" w:hAnsi="Times New Roman" w:cs="Times New Roman"/>
          <w:color w:val="000000"/>
          <w:sz w:val="24"/>
          <w:szCs w:val="24"/>
        </w:rPr>
      </w:pPr>
      <w:r>
        <w:rPr>
          <w:rFonts w:cs="Times New Roman" w:ascii="Times New Roman" w:hAnsi="Times New Roman"/>
          <w:color w:val="000000"/>
          <w:sz w:val="24"/>
          <w:szCs w:val="24"/>
        </w:rPr>
        <w:t>4.10. Риски случайной гибели и случайного повреждения товара переходят к Государственному заказчику с момента вручения ему товара.</w:t>
      </w:r>
    </w:p>
    <w:p>
      <w:pPr>
        <w:pStyle w:val="NoSpacing"/>
        <w:ind w:firstLine="709"/>
        <w:jc w:val="both"/>
        <w:rPr>
          <w:rFonts w:ascii="Times New Roman" w:hAnsi="Times New Roman"/>
          <w:sz w:val="24"/>
          <w:szCs w:val="24"/>
        </w:rPr>
      </w:pPr>
      <w:r>
        <w:rPr>
          <w:rFonts w:ascii="Times New Roman" w:hAnsi="Times New Roman"/>
          <w:sz w:val="24"/>
          <w:szCs w:val="24"/>
        </w:rPr>
      </w:r>
    </w:p>
    <w:p>
      <w:pPr>
        <w:pStyle w:val="ConsNormal"/>
        <w:jc w:val="center"/>
        <w:rPr>
          <w:rFonts w:ascii="Times New Roman" w:hAnsi="Times New Roman" w:cs="Times New Roman"/>
          <w:sz w:val="24"/>
          <w:szCs w:val="24"/>
        </w:rPr>
      </w:pPr>
      <w:r>
        <w:rPr>
          <w:rFonts w:cs="Times New Roman" w:ascii="Times New Roman" w:hAnsi="Times New Roman"/>
          <w:b/>
          <w:sz w:val="24"/>
          <w:szCs w:val="24"/>
        </w:rPr>
        <w:t>5. Приемка товара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5.1. Государственный 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5.2. Осмотр товара и проверка его количества, качества и комплектности производятся в месте доставки в день вручения товара Государственному заказчику. Государственный заказчик не принимает товар, если в ходе осмотра и проверки обнаружится, что он не соответствует условиям договора.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5.3. Проверка количества товара производится путем подсчета товарных единиц.</w:t>
      </w:r>
    </w:p>
    <w:p>
      <w:pPr>
        <w:pStyle w:val="ConsNormal"/>
        <w:ind w:firstLine="284"/>
        <w:rPr>
          <w:rFonts w:ascii="Times New Roman" w:hAnsi="Times New Roman" w:cs="Times New Roman"/>
          <w:sz w:val="24"/>
          <w:szCs w:val="24"/>
        </w:rPr>
      </w:pPr>
      <w:r>
        <w:rPr>
          <w:rFonts w:cs="Times New Roman" w:ascii="Times New Roman" w:hAnsi="Times New Roman"/>
          <w:sz w:val="24"/>
          <w:szCs w:val="24"/>
        </w:rPr>
        <w:t>5.4. Проверка комплектности товара осуществляется путем визуального осмотра.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5.5.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pPr>
        <w:pStyle w:val="ConsNormal"/>
        <w:ind w:firstLine="284"/>
        <w:rPr>
          <w:rFonts w:ascii="Times New Roman" w:hAnsi="Times New Roman" w:cs="Times New Roman"/>
          <w:sz w:val="24"/>
          <w:szCs w:val="24"/>
        </w:rPr>
      </w:pPr>
      <w:r>
        <w:rPr>
          <w:rFonts w:cs="Times New Roman" w:ascii="Times New Roman" w:hAnsi="Times New Roman"/>
          <w:sz w:val="24"/>
          <w:szCs w:val="24"/>
        </w:rPr>
        <w:t>5.6.</w:t>
      </w:r>
      <w:r>
        <w:rPr>
          <w:rFonts w:cs="Times New Roman" w:ascii="Times New Roman" w:hAnsi="Times New Roman"/>
          <w:b/>
          <w:bCs/>
          <w:sz w:val="24"/>
          <w:szCs w:val="24"/>
        </w:rPr>
        <w:t xml:space="preserve"> </w:t>
      </w:r>
      <w:r>
        <w:rPr>
          <w:rFonts w:cs="Times New Roman" w:ascii="Times New Roman" w:hAnsi="Times New Roman"/>
          <w:b/>
          <w:bCs/>
          <w:color w:val="000000"/>
          <w:sz w:val="24"/>
          <w:szCs w:val="24"/>
        </w:rPr>
        <w:t>Приемка товара осуществляется по форме 0510452.</w:t>
      </w:r>
    </w:p>
    <w:p>
      <w:pPr>
        <w:pStyle w:val="Normal"/>
        <w:tabs>
          <w:tab w:val="clear" w:pos="708"/>
          <w:tab w:val="left" w:pos="1134" w:leader="none"/>
        </w:tabs>
        <w:spacing w:before="0" w:after="0"/>
        <w:ind w:firstLine="284"/>
        <w:jc w:val="both"/>
        <w:rPr>
          <w:rFonts w:ascii="Times New Roman" w:hAnsi="Times New Roman"/>
          <w:color w:val="000000" w:themeColor="text1"/>
          <w:sz w:val="24"/>
          <w:szCs w:val="24"/>
        </w:rPr>
      </w:pPr>
      <w:r>
        <w:rPr>
          <w:rFonts w:ascii="Times New Roman" w:hAnsi="Times New Roman"/>
          <w:color w:val="000000"/>
          <w:sz w:val="24"/>
          <w:szCs w:val="24"/>
        </w:rPr>
        <w:t xml:space="preserve">5.7. По итогам приемки товара Государственный Заказчик оформляет на бумажном носителе Акт приемки товаров, работ, услуг (ф.0510452) по унифицированной форме, установленной Приказом Минфина России от 15.06.2021 № 61н и передает Поставщику для подписания. </w:t>
      </w:r>
    </w:p>
    <w:p>
      <w:pPr>
        <w:pStyle w:val="Normal"/>
        <w:tabs>
          <w:tab w:val="clear" w:pos="708"/>
          <w:tab w:val="left" w:pos="1134" w:leader="none"/>
        </w:tabs>
        <w:spacing w:before="0" w:after="0"/>
        <w:ind w:firstLine="540"/>
        <w:jc w:val="both"/>
        <w:rPr>
          <w:rFonts w:ascii="Times New Roman" w:hAnsi="Times New Roman"/>
          <w:color w:val="000000"/>
          <w:sz w:val="24"/>
          <w:szCs w:val="24"/>
        </w:rPr>
      </w:pPr>
      <w:r>
        <w:rPr>
          <w:rFonts w:ascii="Times New Roman" w:hAnsi="Times New Roman"/>
          <w:color w:val="000000" w:themeColor="text1"/>
          <w:sz w:val="24"/>
          <w:szCs w:val="24"/>
        </w:rPr>
        <w:t>Акт формируется на основании документов, предоставленных Поставщиком и подтверждающих поставки товара, указанных</w:t>
      </w:r>
      <w:r>
        <w:rPr>
          <w:rFonts w:ascii="Times New Roman" w:hAnsi="Times New Roman"/>
          <w:color w:val="000000"/>
          <w:sz w:val="24"/>
          <w:szCs w:val="24"/>
        </w:rPr>
        <w:t xml:space="preserve"> в пункте 2.7 настоящего договора (при наличии). </w:t>
      </w:r>
    </w:p>
    <w:p>
      <w:pPr>
        <w:pStyle w:val="Normal"/>
        <w:tabs>
          <w:tab w:val="clear" w:pos="708"/>
          <w:tab w:val="left" w:pos="1134" w:leader="none"/>
        </w:tabs>
        <w:spacing w:before="0" w:after="0"/>
        <w:ind w:firstLine="284"/>
        <w:jc w:val="both"/>
        <w:rPr>
          <w:rFonts w:ascii="Times New Roman" w:hAnsi="Times New Roman"/>
          <w:sz w:val="24"/>
          <w:szCs w:val="24"/>
        </w:rPr>
      </w:pPr>
      <w:r>
        <w:rPr>
          <w:rStyle w:val="D6d6e2e2e5e5f2f2eeeee2e2eeeee5e5e2e2fbfbe4e4e5e5ebebe5e5edede8e8e5e5e4e4ebebffffd2d2e5e5eaeaf1f1f2f2"/>
          <w:rFonts w:ascii="Times New Roman" w:hAnsi="Times New Roman"/>
          <w:color w:val="000000"/>
          <w:sz w:val="24"/>
          <w:szCs w:val="24"/>
          <w:lang w:eastAsia="zh-CN" w:bidi="hi-IN"/>
        </w:rPr>
        <w:t>5.8.Акт приемки товаров, работ, услуг (ф.0510452) составляется в двух экземплярах, по одному экземпляру для каждой из Сторон.</w:t>
      </w:r>
    </w:p>
    <w:p>
      <w:pPr>
        <w:pStyle w:val="Normal"/>
        <w:spacing w:before="0" w:after="0"/>
        <w:ind w:firstLine="284"/>
        <w:jc w:val="both"/>
        <w:rPr>
          <w:rFonts w:ascii="Times New Roman" w:hAnsi="Times New Roman"/>
          <w:sz w:val="24"/>
          <w:szCs w:val="24"/>
        </w:rPr>
      </w:pPr>
      <w:bookmarkStart w:id="1" w:name="sub_408"/>
      <w:bookmarkEnd w:id="1"/>
      <w:r>
        <w:rPr>
          <w:rStyle w:val="D6d6e2e2e5e5f2f2eeeee2e2eeeee5e5e2e2fbfbe4e4e5e5ebebe5e5edede8e8e5e5e4e4ebebffffd2d2e5e5eaeaf1f1f2f2"/>
          <w:rFonts w:ascii="Times New Roman" w:hAnsi="Times New Roman"/>
          <w:sz w:val="24"/>
          <w:szCs w:val="24"/>
          <w:lang w:eastAsia="zh-CN" w:bidi="hi-IN"/>
        </w:rPr>
        <w:t>5.9. Датой приемки поставленного товара считается дата подписания Государственным заказчиком Акта приемки товаров, работ, услуг (ф.0510452).</w:t>
      </w:r>
    </w:p>
    <w:p>
      <w:pPr>
        <w:pStyle w:val="Normal"/>
        <w:spacing w:before="0" w:after="0"/>
        <w:ind w:firstLine="284"/>
        <w:jc w:val="both"/>
        <w:rPr>
          <w:rFonts w:ascii="Times New Roman" w:hAnsi="Times New Roman"/>
          <w:sz w:val="24"/>
          <w:szCs w:val="24"/>
        </w:rPr>
      </w:pPr>
      <w:r>
        <w:rPr>
          <w:rFonts w:ascii="Times New Roman" w:hAnsi="Times New Roman"/>
          <w:sz w:val="24"/>
          <w:szCs w:val="24"/>
        </w:rPr>
      </w:r>
    </w:p>
    <w:p>
      <w:pPr>
        <w:pStyle w:val="ConsNormal"/>
        <w:jc w:val="center"/>
        <w:rPr>
          <w:rFonts w:ascii="Times New Roman" w:hAnsi="Times New Roman" w:cs="Times New Roman"/>
          <w:color w:val="000000" w:themeColor="text1"/>
          <w:sz w:val="24"/>
          <w:szCs w:val="24"/>
        </w:rPr>
      </w:pPr>
      <w:r>
        <w:rPr>
          <w:rFonts w:cs="Times New Roman" w:ascii="Times New Roman" w:hAnsi="Times New Roman"/>
          <w:b/>
          <w:color w:val="000000" w:themeColor="text1"/>
          <w:sz w:val="24"/>
          <w:szCs w:val="24"/>
        </w:rPr>
        <w:t>6. Комплектность и документы на товар</w:t>
      </w:r>
    </w:p>
    <w:p>
      <w:pPr>
        <w:pStyle w:val="ConsNormal"/>
        <w:ind w:firstLine="284"/>
        <w:rPr>
          <w:rFonts w:ascii="Times New Roman" w:hAnsi="Times New Roman" w:cs="Times New Roman"/>
          <w:sz w:val="24"/>
          <w:szCs w:val="24"/>
        </w:rPr>
      </w:pPr>
      <w:r>
        <w:rPr>
          <w:rFonts w:cs="Times New Roman" w:ascii="Times New Roman" w:hAnsi="Times New Roman"/>
          <w:color w:val="000000"/>
          <w:sz w:val="24"/>
          <w:szCs w:val="24"/>
        </w:rPr>
        <w:t>6.1. Комплектность товара определяется обычаями или иными обычно предъявляемыми требованиями.</w:t>
      </w:r>
    </w:p>
    <w:p>
      <w:pPr>
        <w:pStyle w:val="ConsNormal"/>
        <w:ind w:firstLine="284"/>
        <w:rPr>
          <w:rFonts w:ascii="Times New Roman" w:hAnsi="Times New Roman" w:cs="Times New Roman"/>
          <w:sz w:val="24"/>
          <w:szCs w:val="24"/>
        </w:rPr>
      </w:pPr>
      <w:r>
        <w:rPr>
          <w:rFonts w:cs="Times New Roman" w:ascii="Times New Roman" w:hAnsi="Times New Roman"/>
          <w:sz w:val="24"/>
          <w:szCs w:val="24"/>
        </w:rPr>
        <w:t>6.2. В случае предъявления Государственным заказчиком требования о доукомплектовании товара Поставщик обязан выполнить соответствующее требование в течение 10 (десяти) дней с момента его получения. В требовании Государственного заказчика должны быть указаны недостающие предметы.</w:t>
      </w:r>
    </w:p>
    <w:p>
      <w:pPr>
        <w:pStyle w:val="ConsNormal"/>
        <w:ind w:firstLine="284"/>
        <w:rPr>
          <w:rFonts w:ascii="Times New Roman" w:hAnsi="Times New Roman" w:cs="Times New Roman"/>
          <w:sz w:val="24"/>
          <w:szCs w:val="24"/>
        </w:rPr>
      </w:pPr>
      <w:r>
        <w:rPr>
          <w:rFonts w:cs="Times New Roman" w:ascii="Times New Roman" w:hAnsi="Times New Roman"/>
          <w:sz w:val="24"/>
          <w:szCs w:val="24"/>
        </w:rPr>
        <w:t>6.3. Документы на товар.</w:t>
      </w:r>
    </w:p>
    <w:p>
      <w:pPr>
        <w:pStyle w:val="ConsNormal"/>
        <w:ind w:firstLine="284"/>
        <w:rPr>
          <w:rFonts w:ascii="Times New Roman" w:hAnsi="Times New Roman" w:cs="Times New Roman"/>
          <w:sz w:val="24"/>
          <w:szCs w:val="24"/>
        </w:rPr>
      </w:pPr>
      <w:r>
        <w:rPr>
          <w:rFonts w:cs="Times New Roman" w:ascii="Times New Roman" w:hAnsi="Times New Roman"/>
          <w:sz w:val="24"/>
          <w:szCs w:val="24"/>
        </w:rPr>
        <w:t>6.4. Поставщик обязан передать Государственному заказчику следующие документы на товар:</w:t>
      </w:r>
    </w:p>
    <w:p>
      <w:pPr>
        <w:pStyle w:val="ConsNormal"/>
        <w:ind w:firstLine="540"/>
        <w:rPr>
          <w:rFonts w:ascii="Times New Roman" w:hAnsi="Times New Roman" w:cs="Times New Roman"/>
          <w:sz w:val="24"/>
          <w:szCs w:val="24"/>
        </w:rPr>
      </w:pPr>
      <w:r>
        <w:rPr>
          <w:rFonts w:cs="Times New Roman" w:ascii="Times New Roman" w:hAnsi="Times New Roman"/>
          <w:sz w:val="24"/>
          <w:szCs w:val="24"/>
        </w:rPr>
        <w:t>- копия сертификатов, формуляров, паспортов качества товара, сертификаты/декларации о соответствии (при наличии);</w:t>
      </w:r>
    </w:p>
    <w:p>
      <w:pPr>
        <w:pStyle w:val="ConsNormal"/>
        <w:ind w:firstLine="540"/>
        <w:rPr>
          <w:rFonts w:ascii="Times New Roman" w:hAnsi="Times New Roman" w:cs="Times New Roman"/>
          <w:sz w:val="24"/>
          <w:szCs w:val="24"/>
        </w:rPr>
      </w:pPr>
      <w:r>
        <w:rPr>
          <w:rFonts w:cs="Times New Roman" w:ascii="Times New Roman" w:hAnsi="Times New Roman"/>
          <w:sz w:val="24"/>
          <w:szCs w:val="24"/>
        </w:rPr>
        <w:t>- счет-фактуру в двух экземплярах либо УПД (один экземпляр возвращается Поставщику после подписания);</w:t>
      </w:r>
    </w:p>
    <w:p>
      <w:pPr>
        <w:pStyle w:val="ConsNormal"/>
        <w:ind w:firstLine="540"/>
        <w:rPr>
          <w:rFonts w:ascii="Times New Roman" w:hAnsi="Times New Roman" w:cs="Times New Roman"/>
          <w:sz w:val="24"/>
          <w:szCs w:val="24"/>
        </w:rPr>
      </w:pPr>
      <w:r>
        <w:rPr>
          <w:rFonts w:cs="Times New Roman" w:ascii="Times New Roman" w:hAnsi="Times New Roman"/>
          <w:sz w:val="24"/>
          <w:szCs w:val="24"/>
        </w:rPr>
        <w:t>- товарную накладную в двух экземплярах на товар (каждую партию) (один экземпляр возвращается Поставщику после подписания);</w:t>
      </w:r>
    </w:p>
    <w:p>
      <w:pPr>
        <w:pStyle w:val="ConsNormal"/>
        <w:ind w:firstLine="540"/>
        <w:rPr>
          <w:rFonts w:ascii="Times New Roman" w:hAnsi="Times New Roman" w:cs="Times New Roman"/>
          <w:sz w:val="24"/>
          <w:szCs w:val="24"/>
        </w:rPr>
      </w:pPr>
      <w:r>
        <w:rPr>
          <w:rFonts w:cs="Times New Roman" w:ascii="Times New Roman" w:hAnsi="Times New Roman"/>
          <w:sz w:val="24"/>
          <w:szCs w:val="24"/>
        </w:rPr>
        <w:t>- акт приема-передачи товара (при наличии).</w:t>
      </w:r>
    </w:p>
    <w:p>
      <w:pPr>
        <w:pStyle w:val="ConsNormal"/>
        <w:ind w:firstLine="284"/>
        <w:rPr>
          <w:rFonts w:ascii="Times New Roman" w:hAnsi="Times New Roman" w:cs="Times New Roman"/>
          <w:sz w:val="24"/>
          <w:szCs w:val="24"/>
        </w:rPr>
      </w:pPr>
      <w:r>
        <w:rPr>
          <w:rFonts w:cs="Times New Roman" w:ascii="Times New Roman" w:hAnsi="Times New Roman"/>
          <w:sz w:val="24"/>
          <w:szCs w:val="24"/>
        </w:rPr>
        <w:t>6.5. Счет-фактура передается Государственному заказчику при отгрузке товара (партии).</w:t>
      </w:r>
    </w:p>
    <w:p>
      <w:pPr>
        <w:pStyle w:val="ConsNormal"/>
        <w:ind w:firstLine="540"/>
        <w:rPr>
          <w:rFonts w:ascii="Times New Roman" w:hAnsi="Times New Roman" w:cs="Times New Roman"/>
          <w:sz w:val="24"/>
          <w:szCs w:val="24"/>
        </w:rPr>
      </w:pPr>
      <w:r>
        <w:rPr>
          <w:rFonts w:cs="Times New Roman" w:ascii="Times New Roman" w:hAnsi="Times New Roman"/>
          <w:sz w:val="24"/>
          <w:szCs w:val="24"/>
        </w:rPr>
        <w:t>Накладная и другие документы на товар передаются одновременно с товаром.</w:t>
      </w:r>
    </w:p>
    <w:p>
      <w:pPr>
        <w:pStyle w:val="ConsNormal"/>
        <w:ind w:firstLine="284"/>
        <w:rPr>
          <w:rFonts w:ascii="Times New Roman" w:hAnsi="Times New Roman" w:cs="Times New Roman"/>
          <w:sz w:val="24"/>
          <w:szCs w:val="24"/>
        </w:rPr>
      </w:pPr>
      <w:r>
        <w:rPr>
          <w:rFonts w:cs="Times New Roman" w:ascii="Times New Roman" w:hAnsi="Times New Roman"/>
          <w:sz w:val="24"/>
          <w:szCs w:val="24"/>
        </w:rPr>
        <w:t xml:space="preserve">6.6. Подтверждением приемки товара по количеству, качеству, ассортименту и комплектности является подписание Государственным заказчиком </w:t>
      </w:r>
      <w:r>
        <w:rPr>
          <w:rFonts w:cs="Times New Roman" w:ascii="Times New Roman" w:hAnsi="Times New Roman"/>
          <w:color w:val="000000"/>
          <w:sz w:val="24"/>
          <w:szCs w:val="24"/>
        </w:rPr>
        <w:t>документа о приемке.</w:t>
      </w:r>
    </w:p>
    <w:p>
      <w:pPr>
        <w:pStyle w:val="ConsNormal"/>
        <w:jc w:val="center"/>
        <w:rPr>
          <w:rFonts w:ascii="Times New Roman" w:hAnsi="Times New Roman" w:cs="Times New Roman"/>
          <w:b/>
          <w:b/>
          <w:sz w:val="24"/>
          <w:szCs w:val="24"/>
        </w:rPr>
      </w:pPr>
      <w:r>
        <w:rPr>
          <w:rFonts w:cs="Times New Roman" w:ascii="Times New Roman" w:hAnsi="Times New Roman"/>
          <w:b/>
          <w:sz w:val="24"/>
          <w:szCs w:val="24"/>
        </w:rPr>
      </w:r>
    </w:p>
    <w:p>
      <w:pPr>
        <w:pStyle w:val="ConsNormal"/>
        <w:jc w:val="center"/>
        <w:rPr>
          <w:rFonts w:ascii="Times New Roman" w:hAnsi="Times New Roman" w:cs="Times New Roman"/>
          <w:sz w:val="24"/>
          <w:szCs w:val="24"/>
        </w:rPr>
      </w:pPr>
      <w:r>
        <w:rPr>
          <w:rFonts w:cs="Times New Roman" w:ascii="Times New Roman" w:hAnsi="Times New Roman"/>
          <w:b/>
          <w:sz w:val="24"/>
          <w:szCs w:val="24"/>
        </w:rPr>
        <w:t>7. Качество и безопасность товара</w:t>
      </w:r>
    </w:p>
    <w:p>
      <w:pPr>
        <w:pStyle w:val="ConsNormal"/>
        <w:ind w:firstLine="284"/>
        <w:rPr>
          <w:rFonts w:ascii="Times New Roman" w:hAnsi="Times New Roman" w:cs="Times New Roman"/>
          <w:sz w:val="24"/>
          <w:szCs w:val="24"/>
        </w:rPr>
      </w:pPr>
      <w:r>
        <w:rPr>
          <w:rFonts w:eastAsia="Times New Roman" w:cs="Times New Roman" w:ascii="Times New Roman" w:hAnsi="Times New Roman"/>
          <w:bCs/>
          <w:color w:val="000000"/>
          <w:sz w:val="24"/>
          <w:szCs w:val="24"/>
        </w:rPr>
        <w:t>7.1. Качество и безопасность товара должны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p>
    <w:p>
      <w:pPr>
        <w:pStyle w:val="Normal"/>
        <w:spacing w:lineRule="auto" w:line="240" w:before="0" w:after="0"/>
        <w:ind w:firstLine="709"/>
        <w:jc w:val="both"/>
        <w:rPr>
          <w:rFonts w:ascii="Times New Roman" w:hAnsi="Times New Roman"/>
          <w:color w:val="C9211E"/>
          <w:sz w:val="24"/>
          <w:szCs w:val="24"/>
        </w:rPr>
      </w:pPr>
      <w:r>
        <w:rPr>
          <w:rFonts w:ascii="Times New Roman" w:hAnsi="Times New Roman"/>
          <w:color w:val="C9211E"/>
          <w:sz w:val="24"/>
          <w:szCs w:val="24"/>
        </w:rPr>
      </w:r>
    </w:p>
    <w:p>
      <w:pPr>
        <w:pStyle w:val="Normal"/>
        <w:spacing w:lineRule="auto" w:line="240" w:before="0" w:after="0"/>
        <w:jc w:val="center"/>
        <w:rPr>
          <w:rFonts w:ascii="Times New Roman" w:hAnsi="Times New Roman"/>
          <w:color w:val="000000" w:themeColor="text1"/>
          <w:sz w:val="24"/>
          <w:szCs w:val="24"/>
        </w:rPr>
      </w:pPr>
      <w:r>
        <w:rPr>
          <w:rFonts w:eastAsia="Times New Roman" w:ascii="Times New Roman" w:hAnsi="Times New Roman"/>
          <w:b/>
          <w:bCs/>
          <w:color w:val="000000" w:themeColor="text1"/>
          <w:sz w:val="24"/>
          <w:szCs w:val="24"/>
          <w:lang w:eastAsia="ru-RU"/>
        </w:rPr>
        <w:t>8. Ответственность Сторон</w:t>
      </w:r>
    </w:p>
    <w:p>
      <w:pPr>
        <w:pStyle w:val="ConsNormal"/>
        <w:ind w:firstLine="284"/>
        <w:rPr>
          <w:rFonts w:ascii="Times New Roman" w:hAnsi="Times New Roman" w:cs="Times New Roman"/>
          <w:sz w:val="24"/>
          <w:szCs w:val="24"/>
        </w:rPr>
      </w:pPr>
      <w:r>
        <w:rPr>
          <w:rFonts w:cs="Times New Roman" w:ascii="Times New Roman" w:hAnsi="Times New Roman"/>
          <w:sz w:val="24"/>
          <w:szCs w:val="24"/>
        </w:rPr>
        <w:t>8.1. За неисполнение или ненадлежащее исполнение обязательств по настоящему договору Стороны несут ответственность, предусмотренную действующим законодательством Российской Федерации.</w:t>
      </w:r>
    </w:p>
    <w:p>
      <w:pPr>
        <w:pStyle w:val="ConsNormal"/>
        <w:ind w:firstLine="284"/>
        <w:rPr>
          <w:rFonts w:ascii="Times New Roman" w:hAnsi="Times New Roman" w:cs="Times New Roman"/>
          <w:sz w:val="24"/>
          <w:szCs w:val="24"/>
        </w:rPr>
      </w:pPr>
      <w:r>
        <w:rPr>
          <w:rFonts w:cs="Times New Roman" w:ascii="Times New Roman" w:hAnsi="Times New Roman"/>
          <w:sz w:val="24"/>
          <w:szCs w:val="24"/>
        </w:rPr>
        <w:t>8.2. Взыскание неустойки с Поставщика.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8.3.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Государственный заказчик направляет Поставщику требование об уплате неустоек (штрафов, пеней).</w:t>
      </w:r>
    </w:p>
    <w:p>
      <w:pPr>
        <w:pStyle w:val="ConsNormal"/>
        <w:ind w:firstLine="284"/>
        <w:rPr>
          <w:rFonts w:ascii="Times New Roman" w:hAnsi="Times New Roman" w:cs="Times New Roman"/>
          <w:sz w:val="24"/>
          <w:szCs w:val="24"/>
        </w:rPr>
      </w:pPr>
      <w:r>
        <w:rPr>
          <w:rFonts w:cs="Times New Roman" w:ascii="Times New Roman" w:hAnsi="Times New Roman"/>
          <w:sz w:val="24"/>
          <w:szCs w:val="24"/>
        </w:rPr>
        <w:t>8.4.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ConsNormal"/>
        <w:ind w:firstLine="284"/>
        <w:rPr>
          <w:rFonts w:ascii="Times New Roman" w:hAnsi="Times New Roman" w:cs="Times New Roman"/>
          <w:sz w:val="24"/>
          <w:szCs w:val="24"/>
        </w:rPr>
      </w:pPr>
      <w:r>
        <w:rPr>
          <w:rFonts w:cs="Times New Roman" w:ascii="Times New Roman" w:hAnsi="Times New Roman"/>
          <w:sz w:val="24"/>
          <w:szCs w:val="24"/>
        </w:rPr>
        <w:t>8.5.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Размер штрафа определяется в соответствии с Постановлением Правительства Российской Федерации от 30.08.2017 № 1042 либо устанавливается законом.</w:t>
      </w:r>
    </w:p>
    <w:p>
      <w:pPr>
        <w:pStyle w:val="ConsNormal"/>
        <w:ind w:firstLine="540"/>
        <w:rPr>
          <w:rFonts w:ascii="Times New Roman" w:hAnsi="Times New Roman" w:cs="Times New Roman"/>
          <w:sz w:val="24"/>
          <w:szCs w:val="24"/>
        </w:rPr>
      </w:pPr>
      <w:r>
        <w:rPr>
          <w:rFonts w:cs="Times New Roman" w:ascii="Times New Roman" w:hAnsi="Times New Roman"/>
          <w:sz w:val="24"/>
          <w:szCs w:val="24"/>
        </w:rPr>
        <w:t>Если иное не предусмотрено законом, размер штрафа устанавливается в следующем порядке:</w:t>
      </w:r>
    </w:p>
    <w:p>
      <w:pPr>
        <w:pStyle w:val="ConsNormal"/>
        <w:ind w:firstLine="540"/>
        <w:rPr>
          <w:rFonts w:ascii="Times New Roman" w:hAnsi="Times New Roman" w:cs="Times New Roman"/>
          <w:sz w:val="24"/>
          <w:szCs w:val="24"/>
        </w:rPr>
      </w:pPr>
      <w:r>
        <w:rPr>
          <w:rFonts w:cs="Times New Roman" w:ascii="Times New Roman" w:hAnsi="Times New Roman"/>
          <w:sz w:val="24"/>
          <w:szCs w:val="24"/>
        </w:rPr>
        <w:t xml:space="preserve">а) 10 % от цены договора (этапа) в случае, если цена Договора (этапа) не превышает 3 млн руб.; </w:t>
      </w:r>
    </w:p>
    <w:p>
      <w:pPr>
        <w:pStyle w:val="ConsNormal"/>
        <w:ind w:firstLine="284"/>
        <w:rPr>
          <w:rFonts w:ascii="Times New Roman" w:hAnsi="Times New Roman" w:cs="Times New Roman"/>
          <w:sz w:val="24"/>
          <w:szCs w:val="24"/>
        </w:rPr>
      </w:pPr>
      <w:r>
        <w:rPr>
          <w:rFonts w:cs="Times New Roman" w:ascii="Times New Roman" w:hAnsi="Times New Roman"/>
          <w:sz w:val="24"/>
          <w:szCs w:val="24"/>
        </w:rPr>
        <w:t>8.6. Взыскание неустойки с Государственного заказчика.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8.7. В случае просрочки исполнения Государственным заказчиком обязательств, предусмотренных договором, а также в иных случаях неисполнения или ненадлежащего исполнения Государственным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ConsNormal"/>
        <w:ind w:firstLine="284"/>
        <w:rPr>
          <w:rFonts w:ascii="Times New Roman" w:hAnsi="Times New Roman" w:cs="Times New Roman"/>
          <w:sz w:val="24"/>
          <w:szCs w:val="24"/>
        </w:rPr>
      </w:pPr>
      <w:r>
        <w:rPr>
          <w:rFonts w:cs="Times New Roman" w:ascii="Times New Roman" w:hAnsi="Times New Roman"/>
          <w:sz w:val="24"/>
          <w:szCs w:val="24"/>
        </w:rPr>
        <w:t>8.8. Штрафы начисляются за ненадлежащее исполнение Государственным заказчиком обязательств, предусмотренных договором, за исключением просрочки исполнения обязательств, предусмотренных договором. Размер штрафа определяется в соответствии с Постановлением Правительства Российской Федерации от 30.08.2017 № 1042 либо устанавливается законом.</w:t>
      </w:r>
    </w:p>
    <w:p>
      <w:pPr>
        <w:pStyle w:val="ConsNormal"/>
        <w:ind w:firstLine="540"/>
        <w:rPr>
          <w:rFonts w:ascii="Times New Roman" w:hAnsi="Times New Roman" w:cs="Times New Roman"/>
          <w:sz w:val="24"/>
          <w:szCs w:val="24"/>
        </w:rPr>
      </w:pPr>
      <w:r>
        <w:rPr>
          <w:rFonts w:cs="Times New Roman" w:ascii="Times New Roman" w:hAnsi="Times New Roman"/>
          <w:sz w:val="24"/>
          <w:szCs w:val="24"/>
        </w:rPr>
        <w:t>За каждый факт неисполнения Государственным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pPr>
        <w:pStyle w:val="ConsNormal"/>
        <w:ind w:firstLine="540"/>
        <w:rPr>
          <w:rFonts w:ascii="Times New Roman" w:hAnsi="Times New Roman" w:cs="Times New Roman"/>
          <w:sz w:val="24"/>
          <w:szCs w:val="24"/>
        </w:rPr>
      </w:pPr>
      <w:r>
        <w:rPr>
          <w:rFonts w:cs="Times New Roman" w:ascii="Times New Roman" w:hAnsi="Times New Roman"/>
          <w:sz w:val="24"/>
          <w:szCs w:val="24"/>
        </w:rPr>
        <w:t>а) 1 000 руб., если цена договора не превышает 3 млн руб. (включительно);</w:t>
      </w:r>
    </w:p>
    <w:p>
      <w:pPr>
        <w:pStyle w:val="ConsNormal"/>
        <w:ind w:firstLine="284"/>
        <w:rPr>
          <w:rFonts w:ascii="Times New Roman" w:hAnsi="Times New Roman" w:cs="Times New Roman"/>
          <w:sz w:val="24"/>
          <w:szCs w:val="24"/>
        </w:rPr>
      </w:pPr>
      <w:r>
        <w:rPr>
          <w:rFonts w:eastAsia="Times New Roman" w:cs="Times New Roman" w:ascii="Times New Roman" w:hAnsi="Times New Roman"/>
          <w:color w:val="000000"/>
          <w:sz w:val="24"/>
          <w:szCs w:val="24"/>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pStyle w:val="ConsNormal"/>
        <w:ind w:firstLine="54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center"/>
        <w:rPr>
          <w:rFonts w:ascii="Times New Roman" w:hAnsi="Times New Roman"/>
          <w:sz w:val="24"/>
          <w:szCs w:val="24"/>
        </w:rPr>
      </w:pPr>
      <w:r>
        <w:rPr>
          <w:rFonts w:eastAsia="Times New Roman" w:ascii="Times New Roman" w:hAnsi="Times New Roman"/>
          <w:b/>
          <w:bCs/>
          <w:color w:val="000000"/>
          <w:sz w:val="24"/>
          <w:szCs w:val="24"/>
          <w:lang w:eastAsia="ru-RU"/>
        </w:rPr>
        <w:t>9. Обстоятельства непреодолимой силы</w:t>
      </w:r>
    </w:p>
    <w:p>
      <w:pPr>
        <w:pStyle w:val="Normal"/>
        <w:shd w:val="clear" w:color="auto" w:fill="FFFFFF"/>
        <w:spacing w:before="0" w:after="0"/>
        <w:ind w:firstLine="284"/>
        <w:jc w:val="both"/>
        <w:rPr>
          <w:rFonts w:ascii="Times New Roman" w:hAnsi="Times New Roman"/>
          <w:sz w:val="24"/>
          <w:szCs w:val="24"/>
        </w:rPr>
      </w:pPr>
      <w:r>
        <w:rPr>
          <w:rFonts w:ascii="Times New Roman" w:hAnsi="Times New Roman"/>
          <w:sz w:val="24"/>
          <w:szCs w:val="24"/>
        </w:rPr>
        <w:t>9.1. Стороны не несут ответственность за полное или частичное неисполнение предусмотренных настоящим Договором обязательств, если такое неисполнение связано с обстоятельствами непреодолимой силы.</w:t>
      </w:r>
    </w:p>
    <w:p>
      <w:pPr>
        <w:pStyle w:val="Normal"/>
        <w:shd w:val="clear" w:color="auto" w:fill="FFFFFF"/>
        <w:spacing w:before="0" w:after="0"/>
        <w:ind w:firstLine="284"/>
        <w:jc w:val="both"/>
        <w:rPr>
          <w:rFonts w:ascii="Times New Roman" w:hAnsi="Times New Roman"/>
          <w:sz w:val="24"/>
          <w:szCs w:val="24"/>
        </w:rPr>
      </w:pPr>
      <w:r>
        <w:rPr>
          <w:rFonts w:ascii="Times New Roman" w:hAnsi="Times New Roman"/>
          <w:sz w:val="24"/>
          <w:szCs w:val="24"/>
        </w:rPr>
        <w:t>9.2. Сторона, для которой создалась невозможность исполнения обязательств по Договору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hd w:val="clear" w:color="auto" w:fill="FFFFFF"/>
        <w:spacing w:before="0" w:after="0"/>
        <w:ind w:firstLine="284"/>
        <w:jc w:val="both"/>
        <w:rPr>
          <w:rFonts w:ascii="Times New Roman" w:hAnsi="Times New Roman"/>
          <w:sz w:val="24"/>
          <w:szCs w:val="24"/>
        </w:rPr>
      </w:pPr>
      <w:r>
        <w:rPr>
          <w:rFonts w:ascii="Times New Roman" w:hAnsi="Times New Roman"/>
          <w:sz w:val="24"/>
          <w:szCs w:val="24"/>
        </w:rPr>
        <w:t>9.3. В случае возникновения обстоятельств непреодолимой силы Стороны вправе расторгнуть настоящий Договор, и в этом случае ни одна из Сторон не вправе требовать возмещения убытков.</w:t>
      </w:r>
    </w:p>
    <w:p>
      <w:pPr>
        <w:pStyle w:val="Normal"/>
        <w:shd w:val="clear" w:color="auto" w:fill="FFFFFF"/>
        <w:spacing w:before="0" w:after="0"/>
        <w:ind w:firstLine="284"/>
        <w:jc w:val="both"/>
        <w:rPr>
          <w:rFonts w:ascii="Times New Roman" w:hAnsi="Times New Roman"/>
          <w:sz w:val="24"/>
          <w:szCs w:val="24"/>
        </w:rPr>
      </w:pPr>
      <w:r>
        <w:rPr>
          <w:rFonts w:eastAsia="Times New Roman" w:ascii="Times New Roman" w:hAnsi="Times New Roman"/>
          <w:color w:val="000000"/>
          <w:sz w:val="24"/>
          <w:szCs w:val="24"/>
          <w:lang w:eastAsia="ru-RU"/>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spacing w:lineRule="auto" w:line="240" w:before="0" w:after="0"/>
        <w:ind w:firstLine="709"/>
        <w:jc w:val="center"/>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r>
    </w:p>
    <w:p>
      <w:pPr>
        <w:pStyle w:val="ConsNormal"/>
        <w:jc w:val="center"/>
        <w:rPr>
          <w:rFonts w:ascii="Times New Roman" w:hAnsi="Times New Roman" w:cs="Times New Roman"/>
          <w:sz w:val="24"/>
          <w:szCs w:val="24"/>
        </w:rPr>
      </w:pPr>
      <w:r>
        <w:rPr>
          <w:rFonts w:cs="Times New Roman" w:ascii="Times New Roman" w:hAnsi="Times New Roman"/>
          <w:b/>
          <w:sz w:val="24"/>
          <w:szCs w:val="24"/>
        </w:rPr>
        <w:t>10. Расторжение договора</w:t>
      </w:r>
    </w:p>
    <w:p>
      <w:pPr>
        <w:pStyle w:val="Normal"/>
        <w:spacing w:before="0" w:after="0"/>
        <w:ind w:firstLine="284"/>
        <w:jc w:val="both"/>
        <w:rPr>
          <w:rFonts w:ascii="Times New Roman" w:hAnsi="Times New Roman"/>
          <w:sz w:val="24"/>
          <w:szCs w:val="24"/>
        </w:rPr>
      </w:pPr>
      <w:r>
        <w:rPr>
          <w:rFonts w:ascii="Times New Roman" w:hAnsi="Times New Roman"/>
          <w:sz w:val="24"/>
          <w:szCs w:val="24"/>
        </w:rPr>
        <w:t xml:space="preserve">10.1.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а также в случаях, предусмотренных ст. 95 </w:t>
      </w:r>
      <w:r>
        <w:rPr>
          <w:rFonts w:ascii="Times New Roman" w:hAnsi="Times New Roman"/>
          <w:color w:val="000000"/>
          <w:sz w:val="24"/>
          <w:szCs w:val="24"/>
        </w:rPr>
        <w:t>Закона о контрактной системе</w:t>
      </w:r>
      <w:r>
        <w:rPr>
          <w:rFonts w:ascii="Times New Roman" w:hAnsi="Times New Roman"/>
          <w:sz w:val="24"/>
          <w:szCs w:val="24"/>
        </w:rPr>
        <w:t>.</w:t>
      </w:r>
    </w:p>
    <w:p>
      <w:pPr>
        <w:pStyle w:val="ConsNormal"/>
        <w:ind w:firstLine="540"/>
        <w:rPr>
          <w:rFonts w:ascii="Times New Roman" w:hAnsi="Times New Roman" w:cs="Times New Roman"/>
          <w:sz w:val="24"/>
          <w:szCs w:val="24"/>
        </w:rPr>
      </w:pPr>
      <w:r>
        <w:rPr>
          <w:rFonts w:cs="Times New Roman" w:ascii="Times New Roman" w:hAnsi="Times New Roman"/>
          <w:sz w:val="24"/>
          <w:szCs w:val="24"/>
        </w:rPr>
      </w:r>
    </w:p>
    <w:p>
      <w:pPr>
        <w:pStyle w:val="ConsNormal"/>
        <w:jc w:val="center"/>
        <w:rPr>
          <w:rFonts w:ascii="Times New Roman" w:hAnsi="Times New Roman" w:cs="Times New Roman"/>
          <w:sz w:val="24"/>
          <w:szCs w:val="24"/>
        </w:rPr>
      </w:pPr>
      <w:r>
        <w:rPr>
          <w:rFonts w:cs="Times New Roman" w:ascii="Times New Roman" w:hAnsi="Times New Roman"/>
          <w:b/>
          <w:sz w:val="24"/>
          <w:szCs w:val="24"/>
        </w:rPr>
        <w:t>11. Разрешение споров, порядок изменения договора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11.1. Все споры и разногласия, возникающие между Сторонами в рамках договора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Арбитражным судом Астраханской области в соответствии с законодательством Российской Федерации.</w:t>
      </w:r>
    </w:p>
    <w:p>
      <w:pPr>
        <w:pStyle w:val="ConsNormal"/>
        <w:ind w:firstLine="540"/>
        <w:rPr>
          <w:rFonts w:ascii="Times New Roman" w:hAnsi="Times New Roman" w:cs="Times New Roman"/>
          <w:sz w:val="24"/>
          <w:szCs w:val="24"/>
        </w:rPr>
      </w:pPr>
      <w:r>
        <w:rPr>
          <w:rFonts w:cs="Times New Roman" w:ascii="Times New Roman" w:hAnsi="Times New Roman"/>
          <w:sz w:val="24"/>
          <w:szCs w:val="24"/>
        </w:rPr>
        <w:t>Претензионный досудебный порядок разрешения споров является обязательным. Срок ответа на претензию – 10 календарных дней с момента получения. При неразрешении спора спор рассматривается в судебном порядке.</w:t>
      </w:r>
    </w:p>
    <w:p>
      <w:pPr>
        <w:pStyle w:val="Normal"/>
        <w:spacing w:before="0" w:after="0"/>
        <w:ind w:firstLine="284"/>
        <w:jc w:val="both"/>
        <w:rPr>
          <w:rFonts w:ascii="Times New Roman" w:hAnsi="Times New Roman"/>
          <w:sz w:val="24"/>
          <w:szCs w:val="24"/>
        </w:rPr>
      </w:pPr>
      <w:r>
        <w:rPr>
          <w:rFonts w:ascii="Times New Roman" w:hAnsi="Times New Roman"/>
          <w:sz w:val="24"/>
          <w:szCs w:val="24"/>
        </w:rPr>
        <w:t xml:space="preserve">11.2. Изменение и дополнение договора возможно по соглашению Сторон в случаях и порядке, предусмотренных </w:t>
      </w:r>
      <w:hyperlink r:id="rId2">
        <w:r>
          <w:rPr>
            <w:rFonts w:ascii="Times New Roman" w:hAnsi="Times New Roman"/>
            <w:sz w:val="24"/>
            <w:szCs w:val="24"/>
          </w:rPr>
          <w:t xml:space="preserve"> ст. 95</w:t>
        </w:r>
      </w:hyperlink>
      <w:r>
        <w:rPr>
          <w:rFonts w:ascii="Times New Roman" w:hAnsi="Times New Roman"/>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firstLine="284"/>
        <w:jc w:val="both"/>
        <w:rPr>
          <w:rFonts w:ascii="Times New Roman" w:hAnsi="Times New Roman"/>
          <w:sz w:val="24"/>
          <w:szCs w:val="24"/>
        </w:rPr>
      </w:pPr>
      <w:r>
        <w:rPr>
          <w:rFonts w:eastAsia="Times New Roman" w:ascii="Times New Roman" w:hAnsi="Times New Roman"/>
          <w:color w:val="000000"/>
          <w:sz w:val="24"/>
          <w:szCs w:val="24"/>
          <w:lang w:eastAsia="ru-RU"/>
        </w:rPr>
        <w:t>11.3.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дополнительных соглашений к договору, которые являются его неотъемлемой частью.</w:t>
      </w:r>
    </w:p>
    <w:p>
      <w:pPr>
        <w:pStyle w:val="Normal"/>
        <w:spacing w:lineRule="auto" w:line="240" w:before="0" w:after="0"/>
        <w:ind w:firstLine="709"/>
        <w:jc w:val="both"/>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spacing w:before="0" w:after="0"/>
        <w:jc w:val="center"/>
        <w:rPr>
          <w:rFonts w:ascii="Times New Roman" w:hAnsi="Times New Roman"/>
          <w:sz w:val="24"/>
          <w:szCs w:val="24"/>
        </w:rPr>
      </w:pPr>
      <w:r>
        <w:rPr>
          <w:rFonts w:ascii="Times New Roman" w:hAnsi="Times New Roman"/>
          <w:b/>
          <w:sz w:val="24"/>
          <w:szCs w:val="24"/>
        </w:rPr>
        <w:t>12. Срок действия договора</w:t>
      </w:r>
    </w:p>
    <w:p>
      <w:pPr>
        <w:pStyle w:val="Normal"/>
        <w:spacing w:before="0" w:after="0"/>
        <w:ind w:firstLine="284"/>
        <w:jc w:val="both"/>
        <w:rPr>
          <w:rFonts w:ascii="Times New Roman" w:hAnsi="Times New Roman"/>
          <w:sz w:val="24"/>
          <w:szCs w:val="24"/>
        </w:rPr>
      </w:pPr>
      <w:r>
        <w:rPr>
          <w:rFonts w:ascii="Times New Roman" w:hAnsi="Times New Roman"/>
          <w:sz w:val="24"/>
          <w:szCs w:val="24"/>
        </w:rPr>
        <w:t xml:space="preserve">12.1. Срок действия договора устанавливается со дня его заключения </w:t>
      </w:r>
      <w:r>
        <w:rPr>
          <w:rFonts w:ascii="Times New Roman" w:hAnsi="Times New Roman"/>
          <w:color w:val="111111"/>
          <w:sz w:val="24"/>
          <w:szCs w:val="24"/>
        </w:rPr>
        <w:t>по 30.12.2026г.</w:t>
      </w:r>
      <w:r>
        <w:rPr>
          <w:rFonts w:ascii="Times New Roman" w:hAnsi="Times New Roman"/>
          <w:color w:val="FF0000"/>
          <w:sz w:val="24"/>
          <w:szCs w:val="24"/>
        </w:rPr>
        <w:t xml:space="preserve"> </w:t>
      </w:r>
      <w:r>
        <w:rPr>
          <w:rFonts w:ascii="Times New Roman" w:hAnsi="Times New Roman"/>
          <w:sz w:val="24"/>
          <w:szCs w:val="24"/>
        </w:rPr>
        <w:t>(включительно), а в части оплаты – до полного исполнения сторонами финансовых обязательств по договору.</w:t>
      </w:r>
    </w:p>
    <w:p>
      <w:pPr>
        <w:pStyle w:val="Normal"/>
        <w:spacing w:before="0" w:after="0"/>
        <w:ind w:firstLine="567"/>
        <w:jc w:val="both"/>
        <w:rPr>
          <w:rFonts w:ascii="Times New Roman" w:hAnsi="Times New Roman"/>
          <w:sz w:val="24"/>
          <w:szCs w:val="24"/>
        </w:rPr>
      </w:pPr>
      <w:r>
        <w:rPr>
          <w:rFonts w:ascii="Times New Roman" w:hAnsi="Times New Roman"/>
          <w:sz w:val="24"/>
          <w:szCs w:val="24"/>
        </w:rPr>
      </w:r>
    </w:p>
    <w:p>
      <w:pPr>
        <w:pStyle w:val="Normal"/>
        <w:spacing w:before="0" w:after="0"/>
        <w:jc w:val="center"/>
        <w:rPr>
          <w:rFonts w:ascii="Times New Roman" w:hAnsi="Times New Roman"/>
          <w:sz w:val="24"/>
          <w:szCs w:val="24"/>
        </w:rPr>
      </w:pPr>
      <w:r>
        <w:rPr>
          <w:rFonts w:ascii="Times New Roman" w:hAnsi="Times New Roman"/>
          <w:b/>
          <w:sz w:val="24"/>
          <w:szCs w:val="24"/>
        </w:rPr>
        <w:t>13. Заключительные положения</w:t>
      </w:r>
    </w:p>
    <w:p>
      <w:pPr>
        <w:pStyle w:val="Normal"/>
        <w:spacing w:before="0" w:after="0"/>
        <w:ind w:firstLine="284"/>
        <w:jc w:val="both"/>
        <w:rPr>
          <w:rFonts w:ascii="Times New Roman" w:hAnsi="Times New Roman"/>
          <w:sz w:val="24"/>
          <w:szCs w:val="24"/>
        </w:rPr>
      </w:pPr>
      <w:r>
        <w:rPr>
          <w:rFonts w:ascii="Times New Roman" w:hAnsi="Times New Roman"/>
          <w:sz w:val="24"/>
          <w:szCs w:val="24"/>
        </w:rPr>
        <w:t>13.1. К отношениям Сторон по тем вопросам, которые не урегулированы или не полностью урегулированы договором, применяется законодательство Российской Федерации.</w:t>
      </w:r>
    </w:p>
    <w:p>
      <w:pPr>
        <w:pStyle w:val="Normal"/>
        <w:spacing w:before="0" w:after="0"/>
        <w:ind w:firstLine="284"/>
        <w:jc w:val="both"/>
        <w:rPr>
          <w:rFonts w:ascii="Times New Roman" w:hAnsi="Times New Roman"/>
          <w:sz w:val="24"/>
          <w:szCs w:val="24"/>
        </w:rPr>
      </w:pPr>
      <w:r>
        <w:rPr>
          <w:rFonts w:ascii="Times New Roman" w:hAnsi="Times New Roman"/>
          <w:sz w:val="24"/>
          <w:szCs w:val="24"/>
        </w:rPr>
        <w:t>13.2. Настоящий договор совершен в двух экземплярах - по одному экземпляру для каждой Стороны, причем оба экземпляра имеют одинаковую юридическую силу.</w:t>
      </w:r>
    </w:p>
    <w:p>
      <w:pPr>
        <w:pStyle w:val="Normal"/>
        <w:spacing w:before="0" w:after="0"/>
        <w:ind w:firstLine="284"/>
        <w:jc w:val="both"/>
        <w:rPr>
          <w:rFonts w:ascii="Times New Roman" w:hAnsi="Times New Roman"/>
          <w:sz w:val="24"/>
          <w:szCs w:val="24"/>
        </w:rPr>
      </w:pPr>
      <w:r>
        <w:rPr>
          <w:rFonts w:ascii="Times New Roman" w:hAnsi="Times New Roman"/>
          <w:sz w:val="24"/>
          <w:szCs w:val="24"/>
        </w:rPr>
        <w:t>13.3. Неотъемлемыми частями настоящего договора являются:</w:t>
      </w:r>
    </w:p>
    <w:p>
      <w:pPr>
        <w:pStyle w:val="Normal"/>
        <w:spacing w:before="0" w:after="0"/>
        <w:ind w:firstLine="284"/>
        <w:jc w:val="both"/>
        <w:rPr>
          <w:rFonts w:ascii="Times New Roman" w:hAnsi="Times New Roman"/>
          <w:sz w:val="24"/>
          <w:szCs w:val="24"/>
        </w:rPr>
      </w:pPr>
      <w:r>
        <w:rPr>
          <w:rFonts w:ascii="Times New Roman" w:hAnsi="Times New Roman"/>
          <w:sz w:val="24"/>
          <w:szCs w:val="24"/>
        </w:rPr>
        <w:t>13.3.1. Приложение № 1 Спецификация поставляемого товара.</w:t>
      </w:r>
    </w:p>
    <w:p>
      <w:pPr>
        <w:pStyle w:val="Normal"/>
        <w:spacing w:before="0" w:after="0"/>
        <w:ind w:firstLine="284"/>
        <w:jc w:val="both"/>
        <w:rPr>
          <w:rFonts w:ascii="Times New Roman" w:hAnsi="Times New Roman"/>
          <w:sz w:val="24"/>
          <w:szCs w:val="24"/>
        </w:rPr>
      </w:pPr>
      <w:r>
        <w:rPr>
          <w:rFonts w:ascii="Times New Roman" w:hAnsi="Times New Roman"/>
          <w:sz w:val="24"/>
          <w:szCs w:val="24"/>
        </w:rPr>
        <w:t>13.3.2. Приложение № 2</w:t>
      </w:r>
      <w:r>
        <w:rPr>
          <w:rFonts w:ascii="Times New Roman" w:hAnsi="Times New Roman"/>
          <w:color w:val="000000"/>
          <w:sz w:val="24"/>
          <w:szCs w:val="24"/>
        </w:rPr>
        <w:t xml:space="preserve"> «</w:t>
      </w:r>
      <w:r>
        <w:rPr>
          <w:rFonts w:eastAsia="Times New Roman" w:ascii="Times New Roman" w:hAnsi="Times New Roman"/>
          <w:color w:val="000000"/>
          <w:sz w:val="24"/>
          <w:szCs w:val="24"/>
          <w:lang w:eastAsia="ru-RU"/>
        </w:rPr>
        <w:t xml:space="preserve">Описание объекта закупки на поставку периферийных устройств  </w:t>
      </w:r>
      <w:r>
        <w:rPr>
          <w:rFonts w:eastAsia="Times New Roman" w:ascii="Times New Roman" w:hAnsi="Times New Roman"/>
          <w:color w:val="000000"/>
          <w:sz w:val="24"/>
          <w:szCs w:val="24"/>
          <w:lang w:eastAsia="ru-RU"/>
        </w:rPr>
        <w:t>и клавиатуры</w:t>
      </w:r>
      <w:r>
        <w:rPr>
          <w:rFonts w:eastAsia="Times New Roman" w:ascii="Times New Roman" w:hAnsi="Times New Roman"/>
          <w:color w:val="000000"/>
          <w:sz w:val="24"/>
          <w:szCs w:val="24"/>
          <w:lang w:eastAsia="ru-RU"/>
        </w:rPr>
        <w:t xml:space="preserve"> взамен вышедших из строя для нужд </w:t>
      </w:r>
      <w:r>
        <w:rPr>
          <w:rFonts w:eastAsia="Times New Roman" w:ascii="Times New Roman" w:hAnsi="Times New Roman"/>
          <w:iCs/>
          <w:color w:val="000000"/>
          <w:sz w:val="24"/>
          <w:szCs w:val="24"/>
          <w:lang w:eastAsia="ru-RU"/>
        </w:rPr>
        <w:t>Главного управления МЧС России по Астраханской области</w:t>
      </w:r>
      <w:r>
        <w:rPr>
          <w:rFonts w:eastAsia="Times New Roman" w:ascii="Times New Roman" w:hAnsi="Times New Roman"/>
          <w:color w:val="000000"/>
          <w:sz w:val="24"/>
          <w:szCs w:val="24"/>
          <w:lang w:eastAsia="ru-RU"/>
        </w:rPr>
        <w:t>».</w:t>
      </w:r>
    </w:p>
    <w:p>
      <w:pPr>
        <w:pStyle w:val="Normal"/>
        <w:spacing w:lineRule="auto" w:line="240" w:before="0" w:after="0"/>
        <w:jc w:val="both"/>
        <w:rPr>
          <w:rFonts w:ascii="Times New Roman" w:hAnsi="Times New Roman" w:eastAsia="Times New Roman"/>
          <w:color w:val="C9211E"/>
          <w:sz w:val="24"/>
          <w:szCs w:val="24"/>
          <w:lang w:eastAsia="ru-RU"/>
        </w:rPr>
      </w:pPr>
      <w:r>
        <w:rPr>
          <w:rFonts w:eastAsia="Times New Roman" w:ascii="Times New Roman" w:hAnsi="Times New Roman"/>
          <w:color w:val="C9211E"/>
          <w:sz w:val="24"/>
          <w:szCs w:val="24"/>
          <w:lang w:eastAsia="ru-RU"/>
        </w:rPr>
      </w:r>
    </w:p>
    <w:p>
      <w:pPr>
        <w:pStyle w:val="NoSpacing"/>
        <w:jc w:val="center"/>
        <w:rPr>
          <w:rFonts w:ascii="Times New Roman" w:hAnsi="Times New Roman"/>
          <w:sz w:val="24"/>
          <w:szCs w:val="24"/>
        </w:rPr>
      </w:pPr>
      <w:r>
        <w:rPr>
          <w:rFonts w:ascii="Times New Roman" w:hAnsi="Times New Roman"/>
          <w:b/>
          <w:sz w:val="24"/>
          <w:szCs w:val="24"/>
        </w:rPr>
        <w:t>14. Юридические адреса, банковские реквизиты</w:t>
      </w:r>
    </w:p>
    <w:tbl>
      <w:tblPr>
        <w:tblStyle w:val="af9"/>
        <w:tblW w:w="10038" w:type="dxa"/>
        <w:jc w:val="left"/>
        <w:tblInd w:w="153" w:type="dxa"/>
        <w:tblLayout w:type="fixed"/>
        <w:tblCellMar>
          <w:top w:w="55" w:type="dxa"/>
          <w:left w:w="108" w:type="dxa"/>
          <w:bottom w:w="55" w:type="dxa"/>
          <w:right w:w="108" w:type="dxa"/>
        </w:tblCellMar>
        <w:tblLook w:noVBand="1" w:val="04a0" w:noHBand="0" w:lastColumn="0" w:firstColumn="1" w:lastRow="0" w:firstRow="1"/>
      </w:tblPr>
      <w:tblGrid>
        <w:gridCol w:w="5438"/>
        <w:gridCol w:w="4599"/>
      </w:tblGrid>
      <w:tr>
        <w:trPr/>
        <w:tc>
          <w:tcPr>
            <w:tcW w:w="5438" w:type="dxa"/>
            <w:tcBorders>
              <w:top w:val="nil"/>
              <w:left w:val="nil"/>
              <w:bottom w:val="nil"/>
              <w:right w:val="nil"/>
            </w:tcBorders>
          </w:tcPr>
          <w:p>
            <w:pPr>
              <w:pStyle w:val="NoSpacing"/>
              <w:widowControl w:val="false"/>
              <w:suppressAutoHyphens w:val="true"/>
              <w:spacing w:before="0" w:after="0"/>
              <w:jc w:val="left"/>
              <w:rPr>
                <w:rFonts w:ascii="Times New Roman" w:hAnsi="Times New Roman"/>
                <w:sz w:val="24"/>
                <w:szCs w:val="24"/>
              </w:rPr>
            </w:pPr>
            <w:r>
              <w:rPr>
                <w:rFonts w:eastAsia="Calibri" w:ascii="Times New Roman" w:hAnsi="Times New Roman"/>
                <w:kern w:val="0"/>
                <w:sz w:val="24"/>
                <w:szCs w:val="24"/>
                <w:lang w:val="ru-RU" w:eastAsia="en-US" w:bidi="ar-SA"/>
              </w:rPr>
              <w:t>Государственный заказчик:</w:t>
            </w:r>
          </w:p>
          <w:p>
            <w:pPr>
              <w:pStyle w:val="Textbody"/>
              <w:widowControl w:val="false"/>
              <w:suppressAutoHyphens w:val="true"/>
              <w:spacing w:before="0" w:after="0"/>
              <w:jc w:val="left"/>
              <w:rPr>
                <w:rFonts w:ascii="Times New Roman" w:hAnsi="Times New Roman"/>
              </w:rPr>
            </w:pPr>
            <w:r>
              <w:rPr>
                <w:rFonts w:eastAsia="Calibri" w:ascii="Times New Roman" w:hAnsi="Times New Roman"/>
                <w:lang w:val="ru-RU" w:eastAsia="en-US" w:bidi="ar-SA"/>
              </w:rPr>
              <w:t>Главное управление МЧС России</w:t>
            </w:r>
          </w:p>
          <w:p>
            <w:pPr>
              <w:pStyle w:val="Textbody"/>
              <w:widowControl w:val="false"/>
              <w:suppressAutoHyphens w:val="true"/>
              <w:spacing w:before="0" w:after="0"/>
              <w:jc w:val="left"/>
              <w:rPr>
                <w:rFonts w:ascii="Times New Roman" w:hAnsi="Times New Roman"/>
                <w:kern w:val="0"/>
              </w:rPr>
            </w:pPr>
            <w:r>
              <w:rPr>
                <w:rFonts w:eastAsia="Calibri" w:ascii="Times New Roman" w:hAnsi="Times New Roman"/>
                <w:kern w:val="0"/>
                <w:lang w:val="ru-RU" w:eastAsia="en-US" w:bidi="ar-SA"/>
              </w:rPr>
              <w:t>по Астраханской области</w:t>
            </w:r>
          </w:p>
        </w:tc>
        <w:tc>
          <w:tcPr>
            <w:tcW w:w="4599" w:type="dxa"/>
            <w:tcBorders>
              <w:top w:val="nil"/>
              <w:left w:val="nil"/>
              <w:bottom w:val="nil"/>
              <w:right w:val="nil"/>
            </w:tcBorders>
          </w:tcPr>
          <w:p>
            <w:pPr>
              <w:pStyle w:val="NoSpacing"/>
              <w:widowControl w:val="false"/>
              <w:suppressAutoHyphens w:val="true"/>
              <w:spacing w:before="0" w:after="0"/>
              <w:jc w:val="left"/>
              <w:rPr>
                <w:rFonts w:ascii="Times New Roman" w:hAnsi="Times New Roman"/>
                <w:sz w:val="24"/>
                <w:szCs w:val="24"/>
              </w:rPr>
            </w:pPr>
            <w:r>
              <w:rPr>
                <w:rFonts w:eastAsia="Calibri" w:ascii="Times New Roman" w:hAnsi="Times New Roman"/>
                <w:kern w:val="0"/>
                <w:sz w:val="24"/>
                <w:szCs w:val="24"/>
                <w:lang w:val="ru-RU" w:eastAsia="en-US" w:bidi="ar-SA"/>
              </w:rPr>
              <w:t>Поставщик:</w:t>
            </w:r>
          </w:p>
        </w:tc>
      </w:tr>
      <w:tr>
        <w:trPr/>
        <w:tc>
          <w:tcPr>
            <w:tcW w:w="5438" w:type="dxa"/>
            <w:tcBorders>
              <w:top w:val="nil"/>
              <w:left w:val="nil"/>
              <w:bottom w:val="nil"/>
              <w:right w:val="nil"/>
            </w:tcBorders>
          </w:tcPr>
          <w:p>
            <w:pPr>
              <w:pStyle w:val="Normal"/>
              <w:widowControl w:val="false"/>
              <w:suppressAutoHyphens w:val="true"/>
              <w:spacing w:lineRule="auto" w:line="240" w:before="0" w:after="0"/>
              <w:jc w:val="left"/>
              <w:rPr>
                <w:rFonts w:ascii="Times New Roman" w:hAnsi="Times New Roman"/>
                <w:sz w:val="24"/>
                <w:szCs w:val="24"/>
              </w:rPr>
            </w:pPr>
            <w:r>
              <w:rPr>
                <w:rFonts w:eastAsia="Calibri" w:ascii="Times New Roman" w:hAnsi="Times New Roman"/>
                <w:kern w:val="0"/>
                <w:sz w:val="24"/>
                <w:szCs w:val="24"/>
                <w:lang w:val="ru-RU" w:eastAsia="en-US" w:bidi="ar-SA"/>
              </w:rPr>
              <w:t>Юридический адрес: 414045, г. Астрахань, ул. Тамбовская, д.3</w:t>
            </w:r>
          </w:p>
          <w:p>
            <w:pPr>
              <w:pStyle w:val="Normal"/>
              <w:widowControl w:val="false"/>
              <w:suppressAutoHyphens w:val="true"/>
              <w:spacing w:lineRule="auto" w:line="240" w:before="0" w:after="0"/>
              <w:jc w:val="left"/>
              <w:rPr>
                <w:rFonts w:ascii="Times New Roman" w:hAnsi="Times New Roman"/>
                <w:sz w:val="24"/>
                <w:szCs w:val="24"/>
              </w:rPr>
            </w:pPr>
            <w:r>
              <w:rPr>
                <w:rFonts w:eastAsia="Calibri" w:ascii="Times New Roman" w:hAnsi="Times New Roman"/>
                <w:kern w:val="0"/>
                <w:sz w:val="24"/>
                <w:szCs w:val="24"/>
                <w:lang w:val="ru-RU" w:eastAsia="en-US" w:bidi="ar-SA"/>
              </w:rPr>
              <w:t>Почтовый адрес: 414045, г. Астрахань, ул. Тамбовская, д.3</w:t>
            </w:r>
          </w:p>
          <w:p>
            <w:pPr>
              <w:pStyle w:val="Normal"/>
              <w:widowControl w:val="false"/>
              <w:suppressAutoHyphens w:val="true"/>
              <w:spacing w:lineRule="auto" w:line="240" w:before="0" w:after="0"/>
              <w:jc w:val="left"/>
              <w:rPr>
                <w:rFonts w:ascii="Times New Roman" w:hAnsi="Times New Roman"/>
                <w:sz w:val="24"/>
                <w:szCs w:val="24"/>
              </w:rPr>
            </w:pPr>
            <w:r>
              <w:rPr>
                <w:rFonts w:eastAsia="Calibri" w:ascii="Times New Roman" w:hAnsi="Times New Roman"/>
                <w:kern w:val="0"/>
                <w:sz w:val="24"/>
                <w:szCs w:val="24"/>
                <w:lang w:val="ru-RU" w:eastAsia="en-US" w:bidi="ar-SA"/>
              </w:rPr>
              <w:t>Тел. (8512) 44-12-06; факс 44-12-39</w:t>
            </w:r>
          </w:p>
          <w:p>
            <w:pPr>
              <w:pStyle w:val="Normal"/>
              <w:widowControl w:val="false"/>
              <w:suppressAutoHyphens w:val="true"/>
              <w:spacing w:lineRule="auto" w:line="240" w:before="0" w:after="0"/>
              <w:jc w:val="left"/>
              <w:rPr>
                <w:rFonts w:ascii="Times New Roman" w:hAnsi="Times New Roman"/>
                <w:sz w:val="24"/>
                <w:szCs w:val="24"/>
              </w:rPr>
            </w:pPr>
            <w:r>
              <w:rPr>
                <w:rFonts w:eastAsia="Calibri" w:ascii="Times New Roman" w:hAnsi="Times New Roman"/>
                <w:kern w:val="0"/>
                <w:sz w:val="24"/>
                <w:szCs w:val="24"/>
                <w:lang w:val="ru-RU" w:eastAsia="en-US" w:bidi="ar-SA"/>
              </w:rPr>
              <w:t>ОГРН 104 3000 714 041</w:t>
            </w:r>
          </w:p>
          <w:p>
            <w:pPr>
              <w:pStyle w:val="Normal"/>
              <w:widowControl w:val="false"/>
              <w:suppressAutoHyphens w:val="true"/>
              <w:spacing w:lineRule="auto" w:line="240" w:before="0" w:after="0"/>
              <w:jc w:val="left"/>
              <w:rPr>
                <w:rFonts w:ascii="Times New Roman" w:hAnsi="Times New Roman"/>
                <w:sz w:val="24"/>
                <w:szCs w:val="24"/>
              </w:rPr>
            </w:pPr>
            <w:r>
              <w:rPr>
                <w:rFonts w:eastAsia="Calibri" w:ascii="Times New Roman" w:hAnsi="Times New Roman"/>
                <w:kern w:val="0"/>
                <w:sz w:val="24"/>
                <w:szCs w:val="24"/>
                <w:lang w:val="ru-RU" w:eastAsia="en-US" w:bidi="ar-SA"/>
              </w:rPr>
              <w:t>ИНН 30 150 671 55, КПП 30 150 1001</w:t>
            </w:r>
          </w:p>
          <w:p>
            <w:pPr>
              <w:pStyle w:val="Normal"/>
              <w:widowControl w:val="false"/>
              <w:suppressAutoHyphens w:val="true"/>
              <w:spacing w:lineRule="auto" w:line="240" w:before="0" w:after="0"/>
              <w:jc w:val="left"/>
              <w:rPr>
                <w:rFonts w:ascii="Times New Roman" w:hAnsi="Times New Roman"/>
                <w:sz w:val="24"/>
                <w:szCs w:val="24"/>
              </w:rPr>
            </w:pPr>
            <w:r>
              <w:rPr>
                <w:rFonts w:eastAsia="Calibri" w:ascii="Times New Roman" w:hAnsi="Times New Roman"/>
                <w:kern w:val="0"/>
                <w:sz w:val="24"/>
                <w:szCs w:val="24"/>
                <w:lang w:val="ru-RU" w:eastAsia="en-US" w:bidi="ar-SA"/>
              </w:rPr>
              <w:t>Банковские реквизиты:</w:t>
            </w:r>
          </w:p>
          <w:p>
            <w:pPr>
              <w:pStyle w:val="Normal"/>
              <w:widowControl w:val="false"/>
              <w:suppressAutoHyphens w:val="true"/>
              <w:spacing w:lineRule="auto" w:line="240" w:before="0" w:after="0"/>
              <w:jc w:val="left"/>
              <w:rPr>
                <w:rFonts w:ascii="Times New Roman" w:hAnsi="Times New Roman"/>
                <w:sz w:val="24"/>
                <w:szCs w:val="24"/>
              </w:rPr>
            </w:pPr>
            <w:r>
              <w:rPr>
                <w:rFonts w:eastAsia="Calibri" w:ascii="Times New Roman" w:hAnsi="Times New Roman"/>
                <w:kern w:val="0"/>
                <w:sz w:val="24"/>
                <w:szCs w:val="24"/>
                <w:lang w:val="ru-RU" w:eastAsia="en-US" w:bidi="ar-SA"/>
              </w:rPr>
              <w:t>л/сч 032 517 839 20</w:t>
            </w:r>
          </w:p>
          <w:p>
            <w:pPr>
              <w:pStyle w:val="Normal"/>
              <w:widowControl w:val="false"/>
              <w:suppressAutoHyphens w:val="true"/>
              <w:spacing w:lineRule="auto" w:line="240" w:before="0" w:after="0"/>
              <w:jc w:val="left"/>
              <w:rPr>
                <w:rFonts w:ascii="Times New Roman" w:hAnsi="Times New Roman"/>
                <w:sz w:val="24"/>
                <w:szCs w:val="24"/>
              </w:rPr>
            </w:pPr>
            <w:r>
              <w:rPr>
                <w:rFonts w:eastAsia="Calibri" w:ascii="Times New Roman" w:hAnsi="Times New Roman"/>
                <w:kern w:val="0"/>
                <w:sz w:val="24"/>
                <w:szCs w:val="24"/>
                <w:u w:val="single"/>
                <w:lang w:val="ru-RU" w:eastAsia="en-US" w:bidi="ar-SA"/>
              </w:rPr>
              <w:t>номер казначейского счета:</w:t>
            </w:r>
            <w:r>
              <w:rPr>
                <w:rFonts w:eastAsia="Calibri" w:ascii="Times New Roman" w:hAnsi="Times New Roman"/>
                <w:kern w:val="0"/>
                <w:sz w:val="24"/>
                <w:szCs w:val="24"/>
                <w:lang w:val="ru-RU" w:eastAsia="en-US" w:bidi="ar-SA"/>
              </w:rPr>
              <w:t xml:space="preserve"> 032 116 430 000 000 132 35</w:t>
            </w:r>
          </w:p>
          <w:p>
            <w:pPr>
              <w:pStyle w:val="Normal"/>
              <w:widowControl w:val="false"/>
              <w:suppressAutoHyphens w:val="true"/>
              <w:spacing w:lineRule="auto" w:line="240" w:before="0" w:after="0"/>
              <w:jc w:val="left"/>
              <w:rPr>
                <w:rFonts w:ascii="Times New Roman" w:hAnsi="Times New Roman"/>
                <w:sz w:val="24"/>
                <w:szCs w:val="24"/>
              </w:rPr>
            </w:pPr>
            <w:r>
              <w:rPr>
                <w:rFonts w:eastAsia="Calibri" w:ascii="Times New Roman" w:hAnsi="Times New Roman"/>
                <w:kern w:val="0"/>
                <w:sz w:val="24"/>
                <w:szCs w:val="24"/>
                <w:u w:val="single"/>
                <w:lang w:val="ru-RU" w:eastAsia="en-US" w:bidi="ar-SA"/>
              </w:rPr>
              <w:t>номер банковского счета, входящего в состав ЕКС</w:t>
            </w:r>
            <w:r>
              <w:rPr>
                <w:rFonts w:eastAsia="Calibri" w:ascii="Times New Roman" w:hAnsi="Times New Roman"/>
                <w:kern w:val="0"/>
                <w:sz w:val="24"/>
                <w:szCs w:val="24"/>
                <w:lang w:val="ru-RU" w:eastAsia="en-US" w:bidi="ar-SA"/>
              </w:rPr>
              <w:t>: 401 028 107 453 700 000 24</w:t>
            </w:r>
          </w:p>
          <w:p>
            <w:pPr>
              <w:pStyle w:val="Normal"/>
              <w:widowControl w:val="false"/>
              <w:suppressAutoHyphens w:val="true"/>
              <w:spacing w:lineRule="auto" w:line="240" w:before="0" w:after="0"/>
              <w:jc w:val="left"/>
              <w:rPr>
                <w:rFonts w:ascii="Times New Roman" w:hAnsi="Times New Roman"/>
                <w:sz w:val="24"/>
                <w:szCs w:val="24"/>
              </w:rPr>
            </w:pPr>
            <w:r>
              <w:rPr>
                <w:rFonts w:eastAsia="Calibri" w:ascii="Times New Roman" w:hAnsi="Times New Roman"/>
                <w:kern w:val="0"/>
                <w:sz w:val="24"/>
                <w:szCs w:val="24"/>
                <w:lang w:val="ru-RU" w:eastAsia="en-US" w:bidi="ar-SA"/>
              </w:rPr>
              <w:t>БИК: 012 202 102</w:t>
            </w:r>
          </w:p>
          <w:p>
            <w:pPr>
              <w:pStyle w:val="Normal"/>
              <w:widowControl w:val="false"/>
              <w:suppressAutoHyphens w:val="true"/>
              <w:spacing w:lineRule="auto" w:line="240" w:before="0" w:after="0"/>
              <w:jc w:val="left"/>
              <w:rPr>
                <w:rFonts w:ascii="Times New Roman" w:hAnsi="Times New Roman"/>
                <w:sz w:val="24"/>
                <w:szCs w:val="24"/>
              </w:rPr>
            </w:pPr>
            <w:r>
              <w:rPr>
                <w:rFonts w:eastAsia="Calibri" w:ascii="Times New Roman" w:hAnsi="Times New Roman"/>
                <w:kern w:val="0"/>
                <w:sz w:val="24"/>
                <w:szCs w:val="24"/>
                <w:lang w:val="ru-RU" w:eastAsia="en-US" w:bidi="ar-SA"/>
              </w:rPr>
              <w:t>Наименование Банка: ОКЦ № 1 ВВГУ Банка России//УФК по Нижегородской области, г. Нижний Новгород.</w:t>
            </w:r>
          </w:p>
          <w:p>
            <w:pPr>
              <w:pStyle w:val="Normal"/>
              <w:widowControl w:val="false"/>
              <w:suppressAutoHyphens w:val="true"/>
              <w:spacing w:lineRule="auto" w:line="240" w:before="0" w:after="0"/>
              <w:jc w:val="left"/>
              <w:rPr>
                <w:rFonts w:ascii="Times New Roman" w:hAnsi="Times New Roman"/>
                <w:sz w:val="24"/>
                <w:szCs w:val="24"/>
                <w:lang w:val="en-US"/>
              </w:rPr>
            </w:pPr>
            <w:r>
              <w:rPr>
                <w:rFonts w:eastAsia="Calibri" w:ascii="Times New Roman" w:hAnsi="Times New Roman"/>
                <w:kern w:val="0"/>
                <w:sz w:val="24"/>
                <w:szCs w:val="24"/>
                <w:lang w:val="ru-RU" w:eastAsia="en-US" w:bidi="ar-SA"/>
              </w:rPr>
              <w:t>е</w:t>
            </w:r>
            <w:r>
              <w:rPr>
                <w:rFonts w:eastAsia="Calibri" w:ascii="Times New Roman" w:hAnsi="Times New Roman"/>
                <w:kern w:val="0"/>
                <w:sz w:val="24"/>
                <w:szCs w:val="24"/>
                <w:lang w:val="en-US" w:eastAsia="en-US" w:bidi="ar-SA"/>
              </w:rPr>
              <w:t>-mail: info@mail.30.mchs.gov.ru</w:t>
            </w:r>
          </w:p>
        </w:tc>
        <w:tc>
          <w:tcPr>
            <w:tcW w:w="4599"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4"/>
                <w:szCs w:val="24"/>
                <w:lang w:val="en-US"/>
              </w:rPr>
            </w:pPr>
            <w:r>
              <w:rPr>
                <w:rFonts w:ascii="Times New Roman" w:hAnsi="Times New Roman"/>
                <w:sz w:val="24"/>
                <w:szCs w:val="24"/>
                <w:lang w:val="en-US"/>
              </w:rPr>
            </w:r>
          </w:p>
        </w:tc>
      </w:tr>
      <w:tr>
        <w:trPr/>
        <w:tc>
          <w:tcPr>
            <w:tcW w:w="5438" w:type="dxa"/>
            <w:tcBorders>
              <w:top w:val="nil"/>
              <w:left w:val="nil"/>
              <w:bottom w:val="nil"/>
              <w:right w:val="nil"/>
            </w:tcBorders>
          </w:tcPr>
          <w:p>
            <w:pPr>
              <w:pStyle w:val="NoSpacing"/>
              <w:widowControl w:val="false"/>
              <w:suppressAutoHyphens w:val="true"/>
              <w:spacing w:before="0" w:after="0"/>
              <w:jc w:val="left"/>
              <w:rPr>
                <w:rFonts w:ascii="Times New Roman" w:hAnsi="Times New Roman" w:eastAsia="Calibri"/>
                <w:sz w:val="24"/>
                <w:szCs w:val="24"/>
                <w:lang w:val="en-US"/>
              </w:rPr>
            </w:pPr>
            <w:r>
              <w:rPr>
                <w:rFonts w:eastAsia="Calibri" w:ascii="Times New Roman" w:hAnsi="Times New Roman"/>
                <w:sz w:val="24"/>
                <w:szCs w:val="24"/>
                <w:lang w:val="en-US"/>
              </w:rPr>
            </w:r>
          </w:p>
          <w:p>
            <w:pPr>
              <w:pStyle w:val="NoSpacing"/>
              <w:widowControl w:val="false"/>
              <w:suppressAutoHyphens w:val="true"/>
              <w:spacing w:before="0" w:after="0"/>
              <w:jc w:val="left"/>
              <w:rPr>
                <w:rFonts w:ascii="Times New Roman" w:hAnsi="Times New Roman" w:eastAsia="Calibri"/>
                <w:sz w:val="24"/>
                <w:szCs w:val="24"/>
              </w:rPr>
            </w:pPr>
            <w:r>
              <w:rPr>
                <w:rFonts w:eastAsia="Calibri" w:ascii="Times New Roman" w:hAnsi="Times New Roman"/>
                <w:kern w:val="0"/>
                <w:sz w:val="24"/>
                <w:szCs w:val="24"/>
                <w:lang w:val="ru-RU" w:eastAsia="en-US" w:bidi="ar-SA"/>
              </w:rPr>
              <w:t>______________________ / ________________ /</w:t>
            </w:r>
          </w:p>
          <w:p>
            <w:pPr>
              <w:pStyle w:val="NoSpacing"/>
              <w:widowControl w:val="false"/>
              <w:suppressAutoHyphens w:val="true"/>
              <w:spacing w:before="0" w:after="0"/>
              <w:jc w:val="left"/>
              <w:rPr>
                <w:rFonts w:ascii="Times New Roman" w:hAnsi="Times New Roman" w:eastAsia="Calibri"/>
                <w:sz w:val="24"/>
                <w:szCs w:val="24"/>
              </w:rPr>
            </w:pPr>
            <w:r>
              <w:rPr>
                <w:rFonts w:eastAsia="Calibri" w:ascii="Times New Roman" w:hAnsi="Times New Roman"/>
                <w:sz w:val="24"/>
                <w:szCs w:val="24"/>
              </w:rPr>
            </w:r>
          </w:p>
        </w:tc>
        <w:tc>
          <w:tcPr>
            <w:tcW w:w="4599" w:type="dxa"/>
            <w:tcBorders>
              <w:top w:val="nil"/>
              <w:left w:val="nil"/>
              <w:bottom w:val="nil"/>
              <w:right w:val="nil"/>
            </w:tcBorders>
          </w:tcPr>
          <w:p>
            <w:pPr>
              <w:pStyle w:val="NoSpacing"/>
              <w:widowControl w:val="false"/>
              <w:suppressAutoHyphens w:val="true"/>
              <w:spacing w:before="0" w:after="0"/>
              <w:jc w:val="left"/>
              <w:rPr>
                <w:rFonts w:ascii="Times New Roman" w:hAnsi="Times New Roman"/>
                <w:sz w:val="24"/>
                <w:szCs w:val="24"/>
              </w:rPr>
            </w:pPr>
            <w:r>
              <w:rPr>
                <w:rFonts w:ascii="Times New Roman" w:hAnsi="Times New Roman"/>
                <w:sz w:val="24"/>
                <w:szCs w:val="24"/>
              </w:rPr>
            </w:r>
          </w:p>
          <w:p>
            <w:pPr>
              <w:pStyle w:val="NoSpacing"/>
              <w:widowControl w:val="false"/>
              <w:suppressAutoHyphens w:val="true"/>
              <w:spacing w:before="0" w:after="0"/>
              <w:jc w:val="left"/>
              <w:rPr>
                <w:rFonts w:ascii="Times New Roman" w:hAnsi="Times New Roman" w:eastAsia="Calibri"/>
                <w:sz w:val="24"/>
                <w:szCs w:val="24"/>
              </w:rPr>
            </w:pPr>
            <w:r>
              <w:rPr>
                <w:rFonts w:eastAsia="Calibri" w:ascii="Times New Roman" w:hAnsi="Times New Roman"/>
                <w:kern w:val="0"/>
                <w:sz w:val="24"/>
                <w:szCs w:val="24"/>
                <w:lang w:val="ru-RU" w:eastAsia="en-US" w:bidi="ar-SA"/>
              </w:rPr>
              <w:t>_____________________ / ___________ /</w:t>
            </w:r>
          </w:p>
        </w:tc>
      </w:tr>
    </w:tbl>
    <w:p>
      <w:pPr>
        <w:sectPr>
          <w:type w:val="nextPage"/>
          <w:pgSz w:w="11906" w:h="16838"/>
          <w:pgMar w:left="993" w:right="850" w:gutter="0" w:header="0" w:top="632" w:footer="0" w:bottom="993"/>
          <w:pgNumType w:fmt="decimal"/>
          <w:formProt w:val="false"/>
          <w:textDirection w:val="lrTb"/>
          <w:docGrid w:type="default" w:linePitch="360" w:charSpace="45056"/>
        </w:sectPr>
      </w:pP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eastAsia="Times New Roman" w:ascii="Times New Roman" w:hAnsi="Times New Roman"/>
          <w:color w:val="000000"/>
          <w:sz w:val="24"/>
          <w:szCs w:val="24"/>
          <w:lang w:eastAsia="ru-RU"/>
        </w:rPr>
        <w:t>Приложение № 1</w:t>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eastAsia="Times New Roman" w:ascii="Times New Roman" w:hAnsi="Times New Roman"/>
          <w:color w:val="000000"/>
          <w:sz w:val="24"/>
          <w:szCs w:val="24"/>
          <w:lang w:eastAsia="ru-RU"/>
        </w:rPr>
        <w:t xml:space="preserve">к договору </w:t>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eastAsia="Times New Roman" w:ascii="Times New Roman" w:hAnsi="Times New Roman"/>
          <w:color w:val="000000"/>
          <w:sz w:val="24"/>
          <w:szCs w:val="24"/>
          <w:lang w:eastAsia="ru-RU"/>
        </w:rPr>
        <w:t>от _______ №______________</w:t>
      </w:r>
    </w:p>
    <w:p>
      <w:pPr>
        <w:pStyle w:val="2"/>
        <w:widowControl w:val="false"/>
        <w:numPr>
          <w:ilvl w:val="0"/>
          <w:numId w:val="0"/>
        </w:numPr>
        <w:suppressAutoHyphens w:val="false"/>
        <w:spacing w:lineRule="atLeast" w:line="0"/>
        <w:ind w:left="0" w:hanging="0"/>
        <w:jc w:val="center"/>
        <w:rPr>
          <w:color w:val="000000"/>
        </w:rPr>
      </w:pPr>
      <w:r>
        <w:rPr>
          <w:color w:val="000000"/>
        </w:rPr>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hanging="0"/>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ascii="Times New Roman" w:hAnsi="Times New Roman"/>
          <w:sz w:val="24"/>
          <w:szCs w:val="24"/>
        </w:rPr>
      </w:r>
    </w:p>
    <w:p>
      <w:pPr>
        <w:pStyle w:val="Normal"/>
        <w:spacing w:before="0" w:after="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Спецификация</w:t>
      </w:r>
    </w:p>
    <w:p>
      <w:pPr>
        <w:pStyle w:val="Normal"/>
        <w:spacing w:before="0" w:after="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поставляемого товара</w:t>
      </w:r>
    </w:p>
    <w:p>
      <w:pPr>
        <w:pStyle w:val="ListParagraph"/>
        <w:widowControl w:val="false"/>
        <w:tabs>
          <w:tab w:val="clear" w:pos="708"/>
          <w:tab w:val="left" w:pos="0" w:leader="none"/>
        </w:tabs>
        <w:spacing w:lineRule="auto" w:line="240"/>
        <w:ind w:left="1418" w:hanging="0"/>
        <w:jc w:val="right"/>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bl>
      <w:tblPr>
        <w:tblW w:w="14293"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704"/>
        <w:gridCol w:w="8383"/>
        <w:gridCol w:w="839"/>
        <w:gridCol w:w="1013"/>
        <w:gridCol w:w="1325"/>
        <w:gridCol w:w="2028"/>
      </w:tblGrid>
      <w:tr>
        <w:trPr/>
        <w:tc>
          <w:tcPr>
            <w:tcW w:w="7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w:t>
            </w:r>
          </w:p>
          <w:p>
            <w:pPr>
              <w:pStyle w:val="Normal"/>
              <w:widowControl w:val="false"/>
              <w:spacing w:before="0" w:after="200"/>
              <w:jc w:val="both"/>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п/п</w:t>
            </w:r>
          </w:p>
        </w:tc>
        <w:tc>
          <w:tcPr>
            <w:tcW w:w="83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Наименование товара, страна происхождения</w:t>
            </w:r>
          </w:p>
        </w:tc>
        <w:tc>
          <w:tcPr>
            <w:tcW w:w="8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Ед. изм.</w:t>
            </w:r>
          </w:p>
        </w:tc>
        <w:tc>
          <w:tcPr>
            <w:tcW w:w="1013" w:type="dxa"/>
            <w:tcBorders>
              <w:top w:val="single" w:sz="4" w:space="0" w:color="000000"/>
              <w:left w:val="single" w:sz="4" w:space="0" w:color="000000"/>
              <w:bottom w:val="single" w:sz="4" w:space="0" w:color="000000"/>
            </w:tcBorders>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Кол-во</w:t>
            </w:r>
          </w:p>
        </w:tc>
        <w:tc>
          <w:tcPr>
            <w:tcW w:w="1325" w:type="dxa"/>
            <w:tcBorders>
              <w:top w:val="single" w:sz="4" w:space="0" w:color="000000"/>
              <w:left w:val="single" w:sz="4" w:space="0" w:color="000000"/>
              <w:bottom w:val="single" w:sz="4" w:space="0" w:color="000000"/>
            </w:tcBorders>
          </w:tcPr>
          <w:p>
            <w:pPr>
              <w:pStyle w:val="Normal"/>
              <w:widowControl w:val="false"/>
              <w:jc w:val="center"/>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Цена</w:t>
            </w:r>
          </w:p>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 xml:space="preserve"> </w:t>
            </w:r>
            <w:r>
              <w:rPr>
                <w:rFonts w:eastAsia="Times New Roman" w:ascii="Times New Roman" w:hAnsi="Times New Roman"/>
                <w:b/>
                <w:color w:val="000000"/>
                <w:sz w:val="24"/>
                <w:szCs w:val="24"/>
                <w:lang w:eastAsia="ru-RU"/>
              </w:rPr>
              <w:t>за ед., руб.</w:t>
            </w:r>
          </w:p>
        </w:tc>
        <w:tc>
          <w:tcPr>
            <w:tcW w:w="202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Общая стоимость товара,руб.</w:t>
            </w:r>
          </w:p>
        </w:tc>
      </w:tr>
      <w:tr>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1.</w:t>
            </w:r>
          </w:p>
        </w:tc>
        <w:tc>
          <w:tcPr>
            <w:tcW w:w="83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8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шт.</w:t>
            </w:r>
          </w:p>
        </w:tc>
        <w:tc>
          <w:tcPr>
            <w:tcW w:w="1013"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1325"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20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right="170" w:hanging="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r>
      <w:tr>
        <w:trPr>
          <w:trHeight w:val="357" w:hRule="atLeast"/>
        </w:trPr>
        <w:tc>
          <w:tcPr>
            <w:tcW w:w="9087"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Итого:</w:t>
            </w:r>
          </w:p>
        </w:tc>
        <w:tc>
          <w:tcPr>
            <w:tcW w:w="839"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1013" w:type="dxa"/>
            <w:tcBorders>
              <w:left w:val="single" w:sz="4" w:space="0" w:color="000000"/>
              <w:bottom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1325" w:type="dxa"/>
            <w:tcBorders>
              <w:left w:val="single" w:sz="4" w:space="0" w:color="000000"/>
              <w:bottom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2028"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r>
      <w:tr>
        <w:trPr>
          <w:trHeight w:val="357" w:hRule="atLeast"/>
        </w:trPr>
        <w:tc>
          <w:tcPr>
            <w:tcW w:w="9087"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В том числе НДС (___)%,без НДС</w:t>
            </w:r>
          </w:p>
        </w:tc>
        <w:tc>
          <w:tcPr>
            <w:tcW w:w="839"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1013" w:type="dxa"/>
            <w:tcBorders>
              <w:left w:val="single" w:sz="4" w:space="0" w:color="000000"/>
              <w:bottom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1325" w:type="dxa"/>
            <w:tcBorders>
              <w:left w:val="single" w:sz="4" w:space="0" w:color="000000"/>
              <w:bottom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2028"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r>
    </w:tbl>
    <w:p>
      <w:pPr>
        <w:pStyle w:val="Normal"/>
        <w:widowControl w:val="false"/>
        <w:numPr>
          <w:ilvl w:val="0"/>
          <w:numId w:val="0"/>
        </w:numPr>
        <w:suppressAutoHyphens w:val="false"/>
        <w:spacing w:before="0" w:after="0"/>
        <w:ind w:left="0" w:hanging="0"/>
        <w:jc w:val="center"/>
        <w:outlineLvl w:val="1"/>
        <w:rPr>
          <w:rFonts w:ascii="Times New Roman" w:hAnsi="Times New Roman" w:eastAsia="Times New Roman"/>
          <w:b/>
          <w:b/>
          <w:color w:val="000000"/>
          <w:sz w:val="24"/>
          <w:szCs w:val="24"/>
          <w:lang w:eastAsia="ru-RU"/>
        </w:rPr>
      </w:pPr>
      <w:r>
        <w:rPr>
          <w:rFonts w:eastAsia="Times New Roman" w:ascii="Times New Roman" w:hAnsi="Times New Roman"/>
          <w:b/>
          <w:color w:val="000000"/>
          <w:sz w:val="24"/>
          <w:szCs w:val="24"/>
          <w:lang w:eastAsia="ru-RU"/>
        </w:rPr>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ascii="Times New Roman" w:hAnsi="Times New Roman"/>
          <w:sz w:val="24"/>
          <w:szCs w:val="24"/>
        </w:rPr>
      </w:r>
    </w:p>
    <w:tbl>
      <w:tblPr>
        <w:tblW w:w="14921" w:type="dxa"/>
        <w:jc w:val="left"/>
        <w:tblInd w:w="158" w:type="dxa"/>
        <w:tblLayout w:type="fixed"/>
        <w:tblCellMar>
          <w:top w:w="0" w:type="dxa"/>
          <w:left w:w="108" w:type="dxa"/>
          <w:bottom w:w="0" w:type="dxa"/>
          <w:right w:w="108" w:type="dxa"/>
        </w:tblCellMar>
        <w:tblLook w:noVBand="0" w:val="01e0" w:noHBand="0" w:lastColumn="1" w:firstColumn="1" w:lastRow="1" w:firstRow="1"/>
      </w:tblPr>
      <w:tblGrid>
        <w:gridCol w:w="7469"/>
        <w:gridCol w:w="7451"/>
      </w:tblGrid>
      <w:tr>
        <w:trPr>
          <w:trHeight w:val="741" w:hRule="atLeast"/>
        </w:trPr>
        <w:tc>
          <w:tcPr>
            <w:tcW w:w="7469" w:type="dxa"/>
            <w:tcBorders/>
          </w:tcPr>
          <w:p>
            <w:pPr>
              <w:pStyle w:val="NoSpacing"/>
              <w:widowControl w:val="false"/>
              <w:rPr>
                <w:sz w:val="24"/>
                <w:szCs w:val="24"/>
              </w:rPr>
            </w:pPr>
            <w:r>
              <w:rPr>
                <w:rFonts w:ascii="Times New Roman" w:hAnsi="Times New Roman"/>
                <w:sz w:val="24"/>
                <w:szCs w:val="24"/>
              </w:rPr>
              <w:t>Государственный заказчик:</w:t>
            </w:r>
          </w:p>
          <w:p>
            <w:pPr>
              <w:pStyle w:val="Normal"/>
              <w:widowControl w:val="false"/>
              <w:spacing w:before="0" w:after="0"/>
              <w:rPr>
                <w:rFonts w:ascii="Times New Roman" w:hAnsi="Times New Roman"/>
                <w:sz w:val="24"/>
                <w:szCs w:val="24"/>
              </w:rPr>
            </w:pPr>
            <w:r>
              <w:rPr>
                <w:rFonts w:ascii="Times New Roman" w:hAnsi="Times New Roman"/>
                <w:sz w:val="24"/>
                <w:szCs w:val="24"/>
              </w:rPr>
            </w:r>
          </w:p>
          <w:p>
            <w:pPr>
              <w:pStyle w:val="NoSpacing"/>
              <w:widowControl w:val="false"/>
              <w:rPr>
                <w:sz w:val="24"/>
                <w:szCs w:val="24"/>
              </w:rPr>
            </w:pPr>
            <w:r>
              <w:rPr>
                <w:rFonts w:eastAsia="Calibri" w:ascii="Times New Roman" w:hAnsi="Times New Roman"/>
                <w:sz w:val="24"/>
                <w:szCs w:val="24"/>
              </w:rPr>
              <w:t>______________________ / __________________________  /</w:t>
            </w:r>
          </w:p>
          <w:p>
            <w:pPr>
              <w:pStyle w:val="NoSpacing"/>
              <w:widowControl w:val="false"/>
              <w:rPr>
                <w:rFonts w:ascii="Times New Roman" w:hAnsi="Times New Roman" w:eastAsia="Calibri"/>
                <w:sz w:val="24"/>
                <w:szCs w:val="24"/>
              </w:rPr>
            </w:pPr>
            <w:r>
              <w:rPr>
                <w:rFonts w:eastAsia="Calibri" w:ascii="Times New Roman" w:hAnsi="Times New Roman"/>
                <w:sz w:val="24"/>
                <w:szCs w:val="24"/>
              </w:rPr>
            </w:r>
          </w:p>
        </w:tc>
        <w:tc>
          <w:tcPr>
            <w:tcW w:w="7451" w:type="dxa"/>
            <w:tcBorders/>
          </w:tcPr>
          <w:p>
            <w:pPr>
              <w:pStyle w:val="NoSpacing"/>
              <w:widowControl w:val="false"/>
              <w:rPr>
                <w:sz w:val="24"/>
                <w:szCs w:val="24"/>
              </w:rPr>
            </w:pPr>
            <w:r>
              <w:rPr>
                <w:rFonts w:ascii="Times New Roman" w:hAnsi="Times New Roman"/>
                <w:sz w:val="24"/>
                <w:szCs w:val="24"/>
              </w:rPr>
              <w:t>Поставщик:</w:t>
            </w:r>
          </w:p>
          <w:p>
            <w:pPr>
              <w:pStyle w:val="NoSpacing"/>
              <w:widowControl w:val="false"/>
              <w:rPr>
                <w:rFonts w:ascii="Times New Roman" w:hAnsi="Times New Roman"/>
                <w:sz w:val="24"/>
                <w:szCs w:val="24"/>
              </w:rPr>
            </w:pPr>
            <w:r>
              <w:rPr>
                <w:rFonts w:ascii="Times New Roman" w:hAnsi="Times New Roman"/>
                <w:sz w:val="24"/>
                <w:szCs w:val="24"/>
              </w:rPr>
            </w:r>
          </w:p>
          <w:p>
            <w:pPr>
              <w:pStyle w:val="NoSpacing"/>
              <w:widowControl w:val="false"/>
              <w:rPr>
                <w:sz w:val="24"/>
                <w:szCs w:val="24"/>
              </w:rPr>
            </w:pPr>
            <w:r>
              <w:rPr>
                <w:rFonts w:eastAsia="Calibri" w:ascii="Times New Roman" w:hAnsi="Times New Roman"/>
                <w:sz w:val="24"/>
                <w:szCs w:val="24"/>
              </w:rPr>
              <w:t>______________________ / __________________________  /</w:t>
            </w:r>
          </w:p>
        </w:tc>
      </w:tr>
    </w:tbl>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hanging="0"/>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rPr>
      </w:pPr>
      <w:r>
        <w:rPr>
          <w:rFonts w:eastAsia="Times New Roman" w:ascii="Times New Roman" w:hAnsi="Times New Roman"/>
          <w:color w:val="000000"/>
          <w:lang w:eastAsia="ru-RU"/>
        </w:rPr>
        <w:t>Приложение № 2</w:t>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rPr>
      </w:pPr>
      <w:r>
        <w:rPr>
          <w:rFonts w:eastAsia="Times New Roman" w:ascii="Times New Roman" w:hAnsi="Times New Roman"/>
          <w:color w:val="000000"/>
          <w:lang w:eastAsia="ru-RU"/>
        </w:rPr>
        <w:t xml:space="preserve">к договору </w:t>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rPr>
      </w:pPr>
      <w:r>
        <w:rPr>
          <w:rFonts w:eastAsia="Times New Roman" w:ascii="Times New Roman" w:hAnsi="Times New Roman"/>
          <w:color w:val="000000"/>
          <w:lang w:eastAsia="ru-RU"/>
        </w:rPr>
        <w:t>от _______ №______________</w:t>
      </w:r>
    </w:p>
    <w:p>
      <w:pPr>
        <w:pStyle w:val="Normal"/>
        <w:widowControl w:val="false"/>
        <w:spacing w:lineRule="auto" w:line="240" w:before="0" w:after="0"/>
        <w:ind w:firstLine="1417"/>
        <w:jc w:val="both"/>
        <w:rPr>
          <w:rFonts w:ascii="Times New Roman" w:hAnsi="Times New Roman"/>
        </w:rPr>
      </w:pPr>
      <w:r>
        <w:rPr>
          <w:rFonts w:ascii="Times New Roman" w:hAnsi="Times New Roman"/>
        </w:rPr>
      </w:r>
    </w:p>
    <w:p>
      <w:pPr>
        <w:pStyle w:val="Normal"/>
        <w:widowControl w:val="false"/>
        <w:spacing w:lineRule="auto" w:line="240" w:before="0" w:after="0"/>
        <w:ind w:firstLine="1417"/>
        <w:jc w:val="both"/>
        <w:rPr>
          <w:rFonts w:ascii="Times New Roman" w:hAnsi="Times New Roman"/>
        </w:rPr>
      </w:pPr>
      <w:r>
        <w:rPr>
          <w:rFonts w:ascii="Times New Roman" w:hAnsi="Times New Roman"/>
        </w:rPr>
      </w:r>
      <w:bookmarkStart w:id="2" w:name="_GoBack"/>
      <w:bookmarkStart w:id="3" w:name="_GoBack"/>
      <w:bookmarkEnd w:id="3"/>
    </w:p>
    <w:tbl>
      <w:tblPr>
        <w:tblW w:w="14505" w:type="dxa"/>
        <w:jc w:val="left"/>
        <w:tblInd w:w="50" w:type="dxa"/>
        <w:tblLayout w:type="fixed"/>
        <w:tblCellMar>
          <w:top w:w="0" w:type="dxa"/>
          <w:left w:w="108" w:type="dxa"/>
          <w:bottom w:w="0" w:type="dxa"/>
          <w:right w:w="108" w:type="dxa"/>
        </w:tblCellMar>
        <w:tblLook w:noVBand="0" w:val="0000" w:noHBand="0" w:lastColumn="0" w:firstColumn="0" w:lastRow="0" w:firstRow="0"/>
      </w:tblPr>
      <w:tblGrid>
        <w:gridCol w:w="599"/>
        <w:gridCol w:w="62"/>
        <w:gridCol w:w="917"/>
        <w:gridCol w:w="1768"/>
        <w:gridCol w:w="1563"/>
        <w:gridCol w:w="1657"/>
        <w:gridCol w:w="1047"/>
        <w:gridCol w:w="3895"/>
        <w:gridCol w:w="2995"/>
      </w:tblGrid>
      <w:tr>
        <w:trPr>
          <w:trHeight w:val="510" w:hRule="atLeast"/>
        </w:trPr>
        <w:tc>
          <w:tcPr>
            <w:tcW w:w="14503" w:type="dxa"/>
            <w:gridSpan w:val="9"/>
            <w:tcBorders>
              <w:bottom w:val="single" w:sz="4" w:space="0" w:color="000000"/>
            </w:tcBorders>
            <w:shd w:color="auto" w:fill="auto" w:val="clear"/>
            <w:vAlign w:val="center"/>
          </w:tcPr>
          <w:p>
            <w:pPr>
              <w:pStyle w:val="Standard"/>
              <w:widowControl w:val="false"/>
              <w:rPr>
                <w:rFonts w:ascii="Tinos" w:hAnsi="Tinos" w:cs="Times New Roman"/>
                <w:b/>
                <w:b/>
                <w:sz w:val="22"/>
                <w:szCs w:val="22"/>
              </w:rPr>
            </w:pPr>
            <w:r>
              <w:rPr>
                <w:rFonts w:cs="Times New Roman" w:ascii="Tinos" w:hAnsi="Tinos"/>
                <w:b/>
                <w:sz w:val="22"/>
                <w:szCs w:val="22"/>
              </w:rPr>
              <w:t>Описание объекта закупки</w:t>
            </w:r>
          </w:p>
          <w:p>
            <w:pPr>
              <w:pStyle w:val="Standard"/>
              <w:widowControl w:val="false"/>
              <w:rPr>
                <w:rFonts w:ascii="Tinos" w:hAnsi="Tinos" w:cs="Times New Roman"/>
                <w:b/>
                <w:b/>
                <w:sz w:val="22"/>
                <w:szCs w:val="22"/>
              </w:rPr>
            </w:pPr>
            <w:r>
              <w:rPr>
                <w:rFonts w:cs="Times New Roman" w:ascii="Tinos" w:hAnsi="Tinos"/>
                <w:b/>
                <w:sz w:val="22"/>
                <w:szCs w:val="22"/>
              </w:rPr>
            </w:r>
          </w:p>
          <w:p>
            <w:pPr>
              <w:pStyle w:val="Standard"/>
              <w:widowControl w:val="false"/>
              <w:rPr>
                <w:rFonts w:ascii="Tinos" w:hAnsi="Tinos" w:cs="Times New Roman"/>
                <w:b/>
                <w:b/>
                <w:sz w:val="22"/>
                <w:szCs w:val="22"/>
              </w:rPr>
            </w:pPr>
            <w:r>
              <w:rPr>
                <w:rFonts w:eastAsia="Times New Roman" w:cs="Times New Roman" w:ascii="Tinos" w:hAnsi="Tinos"/>
                <w:b/>
                <w:bCs/>
                <w:color w:val="000000"/>
                <w:kern w:val="0"/>
                <w:sz w:val="22"/>
                <w:szCs w:val="22"/>
              </w:rPr>
              <w:t xml:space="preserve">По общему правилу наименование и описание объекта закупки указывается заказчиком в соответствии с каталогом товаров, работ, услуг для обеспечения государственных и муниципальных нужд (далее - КТРУ), размещаемым в единой информационной системе (ЕИС). </w:t>
            </w:r>
            <w:r>
              <w:rPr>
                <w:rFonts w:eastAsia="Times New Roman" w:cs="Times New Roman" w:ascii="Tinos" w:hAnsi="Tinos"/>
                <w:b/>
                <w:bCs/>
                <w:color w:val="000000"/>
                <w:kern w:val="0"/>
                <w:sz w:val="22"/>
                <w:szCs w:val="22"/>
                <w:shd w:fill="FFFFFF" w:val="clear"/>
              </w:rPr>
              <w:t xml:space="preserve">В </w:t>
            </w:r>
            <w:r>
              <w:rPr>
                <w:rFonts w:eastAsia="Times New Roman" w:cs="Times New Roman" w:ascii="Tinos" w:hAnsi="Tinos"/>
                <w:b/>
                <w:bCs/>
                <w:color w:val="000000"/>
                <w:kern w:val="0"/>
                <w:sz w:val="22"/>
                <w:szCs w:val="22"/>
              </w:rPr>
              <w:t>случае отсутствия соответствующих позиций в КТРУ описание объекта закупки осуществляется в соответствии со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Standard"/>
              <w:widowControl w:val="false"/>
              <w:rPr>
                <w:rFonts w:ascii="Tinos" w:hAnsi="Tinos" w:eastAsia="Times New Roman" w:cs="Times New Roman"/>
                <w:b/>
                <w:b/>
                <w:bCs/>
                <w:color w:val="000000"/>
                <w:sz w:val="22"/>
                <w:szCs w:val="22"/>
              </w:rPr>
            </w:pPr>
            <w:r>
              <w:rPr>
                <w:rFonts w:eastAsia="Times New Roman" w:cs="Times New Roman" w:ascii="Tinos" w:hAnsi="Tinos"/>
                <w:b/>
                <w:bCs/>
                <w:color w:val="000000"/>
                <w:sz w:val="22"/>
                <w:szCs w:val="22"/>
              </w:rPr>
            </w:r>
          </w:p>
        </w:tc>
      </w:tr>
      <w:tr>
        <w:trPr>
          <w:trHeight w:val="315" w:hRule="atLeast"/>
        </w:trPr>
        <w:tc>
          <w:tcPr>
            <w:tcW w:w="661"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rPr>
                <w:rFonts w:ascii="Tinos" w:hAnsi="Tinos" w:eastAsia="Times New Roman" w:cs="Times New Roman"/>
                <w:b/>
                <w:b/>
                <w:bCs/>
                <w:color w:val="000000"/>
                <w:sz w:val="22"/>
                <w:szCs w:val="22"/>
              </w:rPr>
            </w:pPr>
            <w:r>
              <w:rPr>
                <w:rFonts w:eastAsia="Times New Roman" w:cs="Times New Roman" w:ascii="Tinos" w:hAnsi="Tinos"/>
                <w:b/>
                <w:bCs/>
                <w:color w:val="000000"/>
                <w:sz w:val="22"/>
                <w:szCs w:val="22"/>
              </w:rPr>
              <w:t>1</w:t>
            </w:r>
          </w:p>
        </w:tc>
        <w:tc>
          <w:tcPr>
            <w:tcW w:w="13842"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rPr>
                <w:rFonts w:ascii="Tinos" w:hAnsi="Tinos" w:eastAsia="Times New Roman" w:cs="Times New Roman"/>
                <w:b/>
                <w:b/>
                <w:bCs/>
                <w:color w:val="000000"/>
                <w:sz w:val="22"/>
                <w:szCs w:val="22"/>
              </w:rPr>
            </w:pPr>
            <w:r>
              <w:rPr>
                <w:rFonts w:eastAsia="Times New Roman" w:cs="Times New Roman" w:ascii="Tinos" w:hAnsi="Tinos"/>
                <w:b/>
                <w:bCs/>
                <w:color w:val="000000"/>
                <w:sz w:val="22"/>
                <w:szCs w:val="22"/>
              </w:rPr>
              <w:t>Наименование объекта закупки</w:t>
            </w:r>
          </w:p>
        </w:tc>
      </w:tr>
      <w:tr>
        <w:trPr>
          <w:trHeight w:val="480" w:hRule="atLeast"/>
        </w:trPr>
        <w:tc>
          <w:tcPr>
            <w:tcW w:w="14503" w:type="dxa"/>
            <w:gridSpan w:val="9"/>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rPr>
                <w:rFonts w:ascii="Tinos" w:hAnsi="Tinos" w:eastAsia="Times New Roman" w:cs="Times New Roman"/>
                <w:b/>
                <w:b/>
                <w:bCs/>
                <w:color w:val="000000"/>
                <w:sz w:val="22"/>
                <w:szCs w:val="22"/>
              </w:rPr>
            </w:pPr>
            <w:r>
              <w:rPr>
                <w:rFonts w:eastAsia="Times New Roman" w:cs="Times New Roman" w:ascii="Tinos" w:hAnsi="Tinos"/>
                <w:b/>
                <w:bCs/>
                <w:color w:val="000000"/>
                <w:sz w:val="22"/>
                <w:szCs w:val="22"/>
              </w:rPr>
            </w:r>
          </w:p>
          <w:p>
            <w:pPr>
              <w:pStyle w:val="Standard"/>
              <w:widowControl w:val="false"/>
              <w:rPr>
                <w:rFonts w:ascii="Tinos" w:hAnsi="Tinos" w:eastAsia="Times New Roman" w:cs="Times New Roman"/>
                <w:b/>
                <w:b/>
                <w:bCs/>
                <w:color w:val="000000"/>
                <w:sz w:val="22"/>
                <w:szCs w:val="22"/>
              </w:rPr>
            </w:pPr>
            <w:r>
              <w:rPr>
                <w:rFonts w:eastAsia="Times New Roman" w:cs="Times New Roman" w:ascii="Tinos" w:hAnsi="Tinos"/>
                <w:b/>
                <w:bCs/>
                <w:color w:val="000000"/>
                <w:sz w:val="22"/>
                <w:szCs w:val="22"/>
              </w:rPr>
              <w:t xml:space="preserve">Поставка периферийных устройств  </w:t>
            </w:r>
            <w:r>
              <w:rPr>
                <w:rFonts w:eastAsia="Times New Roman" w:cs="Times New Roman" w:ascii="Tinos" w:hAnsi="Tinos"/>
                <w:b/>
                <w:bCs/>
                <w:color w:val="000000"/>
                <w:sz w:val="22"/>
                <w:szCs w:val="22"/>
              </w:rPr>
              <w:t xml:space="preserve">и клавиатуры </w:t>
            </w:r>
            <w:r>
              <w:rPr>
                <w:rFonts w:eastAsia="Times New Roman" w:cs="Times New Roman" w:ascii="Tinos" w:hAnsi="Tinos"/>
                <w:b/>
                <w:bCs/>
                <w:color w:val="000000"/>
                <w:sz w:val="22"/>
                <w:szCs w:val="22"/>
              </w:rPr>
              <w:t xml:space="preserve">взамен вышедших из строя для нужд Главного управления </w:t>
            </w:r>
          </w:p>
          <w:p>
            <w:pPr>
              <w:pStyle w:val="Standard"/>
              <w:widowControl w:val="false"/>
              <w:rPr>
                <w:rFonts w:ascii="Tinos" w:hAnsi="Tinos" w:eastAsia="Times New Roman" w:cs="Times New Roman"/>
                <w:b/>
                <w:b/>
                <w:bCs/>
                <w:color w:val="000000"/>
                <w:sz w:val="22"/>
                <w:szCs w:val="22"/>
              </w:rPr>
            </w:pPr>
            <w:r>
              <w:rPr>
                <w:rFonts w:eastAsia="Times New Roman" w:cs="Times New Roman" w:ascii="Tinos" w:hAnsi="Tinos"/>
                <w:b/>
                <w:bCs/>
                <w:color w:val="000000"/>
                <w:sz w:val="22"/>
                <w:szCs w:val="22"/>
              </w:rPr>
              <w:t>МЧС России по Астраханской области</w:t>
            </w:r>
          </w:p>
          <w:p>
            <w:pPr>
              <w:pStyle w:val="Standard"/>
              <w:widowControl w:val="false"/>
              <w:rPr>
                <w:rFonts w:ascii="Tinos" w:hAnsi="Tinos" w:eastAsia="Times New Roman" w:cs="Times New Roman"/>
                <w:b/>
                <w:b/>
                <w:bCs/>
                <w:color w:val="000000"/>
                <w:sz w:val="22"/>
                <w:szCs w:val="22"/>
              </w:rPr>
            </w:pPr>
            <w:r>
              <w:rPr>
                <w:rFonts w:eastAsia="Times New Roman" w:cs="Times New Roman" w:ascii="Tinos" w:hAnsi="Tinos"/>
                <w:b/>
                <w:bCs/>
                <w:color w:val="000000"/>
                <w:sz w:val="22"/>
                <w:szCs w:val="22"/>
              </w:rPr>
            </w:r>
          </w:p>
        </w:tc>
      </w:tr>
      <w:tr>
        <w:trPr>
          <w:trHeight w:val="611" w:hRule="atLeast"/>
        </w:trPr>
        <w:tc>
          <w:tcPr>
            <w:tcW w:w="661"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rPr>
                <w:rFonts w:ascii="Tinos" w:hAnsi="Tinos" w:eastAsia="Times New Roman" w:cs="Times New Roman"/>
                <w:b/>
                <w:b/>
                <w:bCs/>
                <w:color w:val="000000"/>
                <w:sz w:val="22"/>
                <w:szCs w:val="22"/>
              </w:rPr>
            </w:pPr>
            <w:r>
              <w:rPr>
                <w:rFonts w:eastAsia="Times New Roman" w:cs="Times New Roman" w:ascii="Tinos" w:hAnsi="Tinos"/>
                <w:b/>
                <w:bCs/>
                <w:color w:val="000000"/>
                <w:sz w:val="22"/>
                <w:szCs w:val="22"/>
              </w:rPr>
              <w:t>2</w:t>
            </w:r>
          </w:p>
        </w:tc>
        <w:tc>
          <w:tcPr>
            <w:tcW w:w="13842"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rPr>
                <w:rFonts w:ascii="Tinos" w:hAnsi="Tinos" w:eastAsia="Times New Roman" w:cs="Times New Roman"/>
                <w:b/>
                <w:b/>
                <w:bCs/>
                <w:color w:val="000000"/>
                <w:sz w:val="22"/>
                <w:szCs w:val="22"/>
              </w:rPr>
            </w:pPr>
            <w:r>
              <w:rPr>
                <w:rFonts w:eastAsia="Times New Roman" w:cs="Times New Roman" w:ascii="Tinos" w:hAnsi="Tinos"/>
                <w:b/>
                <w:bCs/>
                <w:color w:val="000000"/>
                <w:sz w:val="22"/>
                <w:szCs w:val="22"/>
              </w:rPr>
            </w:r>
          </w:p>
          <w:p>
            <w:pPr>
              <w:pStyle w:val="Standard"/>
              <w:widowControl w:val="false"/>
              <w:rPr>
                <w:rFonts w:ascii="Tinos" w:hAnsi="Tinos" w:eastAsia="Times New Roman" w:cs="Times New Roman"/>
                <w:b/>
                <w:b/>
                <w:bCs/>
                <w:color w:val="000000"/>
                <w:sz w:val="22"/>
                <w:szCs w:val="22"/>
              </w:rPr>
            </w:pPr>
            <w:r>
              <w:rPr>
                <w:rFonts w:eastAsia="Times New Roman" w:cs="Times New Roman" w:ascii="Tinos" w:hAnsi="Tinos"/>
                <w:b/>
                <w:bCs/>
                <w:color w:val="000000"/>
                <w:sz w:val="22"/>
                <w:szCs w:val="22"/>
              </w:rPr>
              <w:t>Описание объекта закупки и обоснование необходимости включения в описание товара, работы, услуги дополнительной информации, а также дополнительных потребительских свойств, в том числе функциональных, технических, качественных, эксплуатационных характеристик товара, работы, услуги (при наличии описания товара, работы, услуги в позиции каталога товаров, работ услуг)</w:t>
            </w:r>
          </w:p>
          <w:p>
            <w:pPr>
              <w:pStyle w:val="Standard"/>
              <w:widowControl w:val="false"/>
              <w:rPr>
                <w:rFonts w:ascii="Tinos" w:hAnsi="Tinos" w:eastAsia="Times New Roman" w:cs="Times New Roman"/>
                <w:b/>
                <w:b/>
                <w:bCs/>
                <w:color w:val="000000"/>
                <w:sz w:val="22"/>
                <w:szCs w:val="22"/>
              </w:rPr>
            </w:pPr>
            <w:r>
              <w:rPr>
                <w:rFonts w:eastAsia="Times New Roman" w:cs="Times New Roman" w:ascii="Tinos" w:hAnsi="Tinos"/>
                <w:b/>
                <w:bCs/>
                <w:color w:val="000000"/>
                <w:sz w:val="22"/>
                <w:szCs w:val="22"/>
              </w:rPr>
            </w:r>
          </w:p>
        </w:tc>
      </w:tr>
      <w:tr>
        <w:trPr>
          <w:trHeight w:val="268" w:hRule="atLeast"/>
        </w:trPr>
        <w:tc>
          <w:tcPr>
            <w:tcW w:w="661"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rPr>
                <w:rFonts w:ascii="Tinos" w:hAnsi="Tinos" w:eastAsia="Times New Roman" w:cs="Times New Roman"/>
                <w:bCs/>
                <w:color w:val="000000"/>
                <w:sz w:val="22"/>
                <w:szCs w:val="22"/>
              </w:rPr>
            </w:pPr>
            <w:r>
              <w:rPr>
                <w:rFonts w:eastAsia="Times New Roman" w:cs="Times New Roman" w:ascii="Tinos" w:hAnsi="Tinos"/>
                <w:bCs/>
                <w:color w:val="000000"/>
                <w:sz w:val="22"/>
                <w:szCs w:val="22"/>
              </w:rPr>
              <w:t>2.1</w:t>
            </w:r>
          </w:p>
        </w:tc>
        <w:tc>
          <w:tcPr>
            <w:tcW w:w="13842"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rPr>
                <w:rFonts w:ascii="Tinos" w:hAnsi="Tinos" w:eastAsia="Times New Roman" w:cs="Times New Roman"/>
                <w:bCs/>
                <w:color w:val="000000"/>
                <w:sz w:val="22"/>
                <w:szCs w:val="22"/>
              </w:rPr>
            </w:pPr>
            <w:r>
              <w:rPr>
                <w:rFonts w:eastAsia="Times New Roman" w:cs="Times New Roman" w:ascii="Tinos" w:hAnsi="Tinos"/>
                <w:bCs/>
                <w:color w:val="000000"/>
                <w:sz w:val="22"/>
                <w:szCs w:val="22"/>
              </w:rPr>
              <w:t>При закупке работ, услуг</w:t>
            </w:r>
          </w:p>
        </w:tc>
      </w:tr>
      <w:tr>
        <w:trPr>
          <w:trHeight w:val="555" w:hRule="atLeast"/>
        </w:trPr>
        <w:tc>
          <w:tcPr>
            <w:tcW w:w="14503" w:type="dxa"/>
            <w:gridSpan w:val="9"/>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rPr>
                <w:rFonts w:ascii="Tinos" w:hAnsi="Tinos" w:eastAsia="Times New Roman" w:cs="Times New Roman"/>
                <w:b/>
                <w:b/>
                <w:bCs/>
                <w:color w:val="000000"/>
                <w:sz w:val="22"/>
                <w:szCs w:val="22"/>
              </w:rPr>
            </w:pPr>
            <w:r>
              <w:rPr>
                <w:rFonts w:eastAsia="Times New Roman" w:cs="Times New Roman" w:ascii="Tinos" w:hAnsi="Tinos"/>
                <w:b/>
                <w:bCs/>
                <w:color w:val="000000"/>
                <w:sz w:val="22"/>
                <w:szCs w:val="22"/>
              </w:rPr>
            </w:r>
          </w:p>
          <w:p>
            <w:pPr>
              <w:pStyle w:val="Standard"/>
              <w:widowControl w:val="false"/>
              <w:rPr>
                <w:rFonts w:ascii="Tinos" w:hAnsi="Tinos" w:eastAsia="Times New Roman" w:cs="Times New Roman"/>
                <w:b/>
                <w:b/>
                <w:bCs/>
                <w:color w:val="000000"/>
                <w:sz w:val="22"/>
                <w:szCs w:val="22"/>
              </w:rPr>
            </w:pPr>
            <w:r>
              <w:rPr>
                <w:rFonts w:eastAsia="Times New Roman" w:cs="Times New Roman" w:ascii="Tinos" w:hAnsi="Tinos"/>
                <w:b/>
                <w:bCs/>
                <w:color w:val="000000"/>
                <w:sz w:val="22"/>
                <w:szCs w:val="22"/>
              </w:rPr>
              <w:t>-</w:t>
            </w:r>
          </w:p>
        </w:tc>
      </w:tr>
      <w:tr>
        <w:trPr>
          <w:trHeight w:val="566" w:hRule="atLeast"/>
        </w:trPr>
        <w:tc>
          <w:tcPr>
            <w:tcW w:w="661"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rPr>
                <w:rFonts w:ascii="Tinos" w:hAnsi="Tinos" w:eastAsia="Times New Roman" w:cs="Times New Roman"/>
                <w:bCs/>
                <w:color w:val="000000"/>
                <w:sz w:val="22"/>
                <w:szCs w:val="22"/>
              </w:rPr>
            </w:pPr>
            <w:r>
              <w:rPr>
                <w:rFonts w:eastAsia="Times New Roman" w:cs="Times New Roman" w:ascii="Tinos" w:hAnsi="Tinos"/>
                <w:bCs/>
                <w:color w:val="000000"/>
                <w:sz w:val="22"/>
                <w:szCs w:val="22"/>
              </w:rPr>
              <w:t>2.2</w:t>
            </w:r>
          </w:p>
        </w:tc>
        <w:tc>
          <w:tcPr>
            <w:tcW w:w="13842"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rPr>
                <w:rFonts w:ascii="Tinos" w:hAnsi="Tinos" w:eastAsia="Times New Roman" w:cs="Times New Roman"/>
                <w:bCs/>
                <w:color w:val="000000"/>
                <w:sz w:val="22"/>
                <w:szCs w:val="22"/>
              </w:rPr>
            </w:pPr>
            <w:r>
              <w:rPr>
                <w:rFonts w:eastAsia="Times New Roman" w:cs="Times New Roman" w:ascii="Tinos" w:hAnsi="Tinos"/>
                <w:bCs/>
                <w:color w:val="000000"/>
                <w:sz w:val="22"/>
                <w:szCs w:val="22"/>
              </w:rPr>
              <w:t>При закупке товара (в том числе поставляемого Заказчику при выполнении закупаемых работ, оказании закупаемых услуг)</w:t>
            </w:r>
          </w:p>
        </w:tc>
      </w:tr>
      <w:tr>
        <w:trPr>
          <w:trHeight w:val="1390" w:hRule="atLeast"/>
        </w:trPr>
        <w:tc>
          <w:tcPr>
            <w:tcW w:w="5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before="0" w:after="160"/>
              <w:rPr>
                <w:rFonts w:ascii="Tinos" w:hAnsi="Tinos" w:cs="Times New Roman"/>
                <w:color w:val="000000"/>
                <w:sz w:val="22"/>
                <w:szCs w:val="22"/>
              </w:rPr>
            </w:pPr>
            <w:r>
              <w:rPr>
                <w:rFonts w:cs="Times New Roman" w:ascii="Tinos" w:hAnsi="Tinos"/>
                <w:color w:val="000000"/>
                <w:sz w:val="22"/>
                <w:szCs w:val="22"/>
              </w:rPr>
              <w:t xml:space="preserve">№ </w:t>
            </w:r>
            <w:r>
              <w:rPr>
                <w:rFonts w:cs="Times New Roman" w:ascii="Tinos" w:hAnsi="Tinos"/>
                <w:color w:val="000000"/>
                <w:sz w:val="22"/>
                <w:szCs w:val="22"/>
              </w:rPr>
              <w:t>п</w:t>
            </w:r>
            <w:r>
              <w:rPr>
                <w:rFonts w:cs="Times New Roman" w:ascii="Tinos" w:hAnsi="Tinos"/>
                <w:color w:val="000000"/>
                <w:sz w:val="22"/>
                <w:szCs w:val="22"/>
                <w:lang w:val="en-US"/>
              </w:rPr>
              <w:t>/</w:t>
            </w:r>
            <w:r>
              <w:rPr>
                <w:rFonts w:cs="Times New Roman" w:ascii="Tinos" w:hAnsi="Tinos"/>
                <w:color w:val="000000"/>
                <w:sz w:val="22"/>
                <w:szCs w:val="22"/>
              </w:rPr>
              <w:t>п</w:t>
            </w:r>
          </w:p>
        </w:tc>
        <w:tc>
          <w:tcPr>
            <w:tcW w:w="979"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before="0" w:after="160"/>
              <w:ind w:left="-107" w:right="-46" w:hanging="0"/>
              <w:rPr>
                <w:rFonts w:ascii="Tinos" w:hAnsi="Tinos" w:cs="Times New Roman"/>
                <w:color w:val="000000"/>
                <w:sz w:val="22"/>
                <w:szCs w:val="22"/>
              </w:rPr>
            </w:pPr>
            <w:r>
              <w:rPr>
                <w:rFonts w:cs="Times New Roman" w:ascii="Tinos" w:hAnsi="Tinos"/>
                <w:color w:val="000000"/>
                <w:sz w:val="22"/>
                <w:szCs w:val="22"/>
              </w:rPr>
              <w:t>Наименование товара</w:t>
            </w:r>
          </w:p>
        </w:tc>
        <w:tc>
          <w:tcPr>
            <w:tcW w:w="17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before="0" w:after="160"/>
              <w:ind w:left="-108" w:right="-98" w:hanging="0"/>
              <w:rPr>
                <w:rFonts w:ascii="Tinos" w:hAnsi="Tinos" w:cs="Times New Roman"/>
                <w:color w:val="000000"/>
                <w:sz w:val="22"/>
                <w:szCs w:val="22"/>
              </w:rPr>
            </w:pPr>
            <w:r>
              <w:rPr>
                <w:rFonts w:cs="Times New Roman" w:ascii="Tinos" w:hAnsi="Tinos"/>
                <w:color w:val="000000"/>
                <w:sz w:val="22"/>
                <w:szCs w:val="22"/>
              </w:rPr>
              <w:t>Номер позиции Каталога товаров, работ, услуг</w:t>
            </w:r>
          </w:p>
        </w:tc>
        <w:tc>
          <w:tcPr>
            <w:tcW w:w="1563"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spacing w:before="0" w:after="160"/>
              <w:ind w:left="-108" w:right="-103" w:hanging="0"/>
              <w:rPr>
                <w:rFonts w:ascii="Tinos" w:hAnsi="Tinos" w:cs="Times New Roman"/>
                <w:color w:val="000000"/>
                <w:sz w:val="22"/>
                <w:szCs w:val="22"/>
              </w:rPr>
            </w:pPr>
            <w:r>
              <w:rPr>
                <w:rFonts w:cs="Times New Roman" w:ascii="Tinos" w:hAnsi="Tinos"/>
                <w:color w:val="000000"/>
                <w:sz w:val="22"/>
                <w:szCs w:val="22"/>
              </w:rPr>
              <w:t>Наименование характеристики товара</w:t>
            </w:r>
          </w:p>
        </w:tc>
        <w:tc>
          <w:tcPr>
            <w:tcW w:w="16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before="0" w:after="160"/>
              <w:ind w:left="-108" w:right="-103" w:hanging="0"/>
              <w:rPr>
                <w:rFonts w:ascii="Tinos" w:hAnsi="Tinos" w:cs="Times New Roman"/>
                <w:color w:val="000000"/>
                <w:sz w:val="22"/>
                <w:szCs w:val="22"/>
              </w:rPr>
            </w:pPr>
            <w:r>
              <w:rPr>
                <w:rFonts w:cs="Times New Roman" w:ascii="Tinos" w:hAnsi="Tinos"/>
                <w:color w:val="000000"/>
                <w:sz w:val="22"/>
                <w:szCs w:val="22"/>
              </w:rPr>
              <w:t>Значение характеристики</w:t>
            </w:r>
          </w:p>
        </w:tc>
        <w:tc>
          <w:tcPr>
            <w:tcW w:w="10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before="0" w:after="160"/>
              <w:ind w:left="-108" w:right="-128" w:hanging="0"/>
              <w:rPr>
                <w:rFonts w:ascii="Tinos" w:hAnsi="Tinos" w:cs="Times New Roman"/>
                <w:color w:val="000000"/>
                <w:sz w:val="22"/>
                <w:szCs w:val="22"/>
              </w:rPr>
            </w:pPr>
            <w:r>
              <w:rPr>
                <w:rFonts w:cs="Times New Roman" w:ascii="Tinos" w:hAnsi="Tinos"/>
                <w:color w:val="000000"/>
                <w:sz w:val="22"/>
                <w:szCs w:val="22"/>
              </w:rPr>
              <w:t>Единица измерения характеристики</w:t>
            </w:r>
          </w:p>
        </w:tc>
        <w:tc>
          <w:tcPr>
            <w:tcW w:w="38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before="0" w:after="160"/>
              <w:ind w:left="-211" w:right="-108" w:hanging="0"/>
              <w:rPr>
                <w:rFonts w:ascii="Tinos" w:hAnsi="Tinos" w:cs="Times New Roman"/>
                <w:color w:val="000000"/>
                <w:sz w:val="22"/>
                <w:szCs w:val="22"/>
              </w:rPr>
            </w:pPr>
            <w:r>
              <w:rPr>
                <w:rFonts w:cs="Times New Roman" w:ascii="Tinos" w:hAnsi="Tinos"/>
                <w:color w:val="000000"/>
                <w:sz w:val="22"/>
                <w:szCs w:val="22"/>
              </w:rPr>
              <w:t>Инструкция по заполнению характеристики в заявке</w:t>
            </w:r>
          </w:p>
        </w:tc>
        <w:tc>
          <w:tcPr>
            <w:tcW w:w="29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before="0" w:after="160"/>
              <w:ind w:left="-108" w:right="-108" w:hanging="0"/>
              <w:rPr>
                <w:rFonts w:ascii="Tinos" w:hAnsi="Tinos" w:cs="Times New Roman"/>
                <w:color w:val="000000"/>
                <w:sz w:val="22"/>
                <w:szCs w:val="22"/>
              </w:rPr>
            </w:pPr>
            <w:r>
              <w:rPr>
                <w:rFonts w:cs="Times New Roman" w:ascii="Tinos" w:hAnsi="Tinos"/>
                <w:color w:val="000000"/>
                <w:sz w:val="22"/>
                <w:szCs w:val="22"/>
              </w:rPr>
              <w:t>Обоснование включения дополнительной информации в сведения о товаре, работе, услуге</w:t>
            </w:r>
          </w:p>
        </w:tc>
      </w:tr>
      <w:tr>
        <w:trPr>
          <w:trHeight w:val="613" w:hRule="atLeast"/>
        </w:trPr>
        <w:tc>
          <w:tcPr>
            <w:tcW w:w="661"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before="0" w:after="160"/>
              <w:rPr>
                <w:rFonts w:ascii="Tinos" w:hAnsi="Tinos" w:cs="Times New Roman"/>
                <w:color w:val="000000"/>
                <w:sz w:val="22"/>
                <w:szCs w:val="22"/>
              </w:rPr>
            </w:pPr>
            <w:r>
              <w:rPr>
                <w:rFonts w:cs="Times New Roman" w:ascii="Tinos" w:hAnsi="Tinos"/>
                <w:color w:val="000000"/>
                <w:sz w:val="22"/>
                <w:szCs w:val="22"/>
              </w:rPr>
            </w:r>
          </w:p>
          <w:p>
            <w:pPr>
              <w:pStyle w:val="Standard"/>
              <w:widowControl w:val="false"/>
              <w:spacing w:before="0" w:after="160"/>
              <w:rPr>
                <w:rFonts w:ascii="Tinos" w:hAnsi="Tinos" w:cs="Times New Roman"/>
                <w:color w:val="000000"/>
                <w:sz w:val="22"/>
                <w:szCs w:val="22"/>
              </w:rPr>
            </w:pPr>
            <w:r>
              <w:rPr>
                <w:rFonts w:cs="Times New Roman" w:ascii="Tinos" w:hAnsi="Tinos"/>
                <w:color w:val="000000"/>
                <w:sz w:val="22"/>
                <w:szCs w:val="22"/>
              </w:rPr>
              <w:t>1</w:t>
            </w:r>
          </w:p>
        </w:tc>
        <w:tc>
          <w:tcPr>
            <w:tcW w:w="91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ind w:left="-107" w:right="-46" w:hanging="0"/>
              <w:rPr>
                <w:rFonts w:ascii="Tinos" w:hAnsi="Tinos" w:eastAsia="Times New Roman" w:cs="Times New Roman"/>
                <w:color w:val="000000"/>
                <w:sz w:val="22"/>
                <w:szCs w:val="22"/>
              </w:rPr>
            </w:pPr>
            <w:r>
              <w:rPr>
                <w:rFonts w:eastAsia="Times New Roman" w:cs="Times New Roman" w:ascii="Tinos" w:hAnsi="Tinos"/>
                <w:color w:val="000000"/>
                <w:sz w:val="22"/>
                <w:szCs w:val="22"/>
              </w:rPr>
            </w:r>
          </w:p>
          <w:p>
            <w:pPr>
              <w:pStyle w:val="Standard"/>
              <w:widowControl w:val="false"/>
              <w:ind w:left="-107" w:right="-46" w:hanging="0"/>
              <w:rPr>
                <w:rFonts w:ascii="Tinos" w:hAnsi="Tinos" w:eastAsia="Times New Roman" w:cs="Times New Roman"/>
                <w:color w:val="000000"/>
                <w:sz w:val="22"/>
                <w:szCs w:val="22"/>
              </w:rPr>
            </w:pPr>
            <w:r>
              <w:rPr>
                <w:rFonts w:eastAsia="Times New Roman" w:cs="Times New Roman" w:ascii="Tinos" w:hAnsi="Tinos"/>
                <w:color w:val="000000"/>
                <w:sz w:val="22"/>
                <w:szCs w:val="22"/>
              </w:rPr>
              <w:t>Клавиатура</w:t>
            </w:r>
          </w:p>
        </w:tc>
        <w:tc>
          <w:tcPr>
            <w:tcW w:w="176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3"/>
              <w:widowControl w:val="false"/>
              <w:spacing w:before="0" w:after="200"/>
              <w:ind w:left="-108" w:right="-98" w:hanging="0"/>
              <w:rPr>
                <w:rFonts w:ascii="Tinos" w:hAnsi="Tinos" w:cs="Times New Roman"/>
                <w:color w:val="000000"/>
                <w:sz w:val="22"/>
                <w:szCs w:val="22"/>
              </w:rPr>
            </w:pPr>
            <w:r>
              <w:rPr>
                <w:rFonts w:cs="Times New Roman" w:ascii="Tinos" w:hAnsi="Tinos"/>
                <w:color w:val="000000"/>
                <w:sz w:val="22"/>
                <w:szCs w:val="22"/>
              </w:rPr>
            </w:r>
          </w:p>
          <w:p>
            <w:pPr>
              <w:pStyle w:val="Style23"/>
              <w:widowControl w:val="false"/>
              <w:spacing w:before="0" w:after="200"/>
              <w:ind w:left="-108" w:right="-98" w:hanging="0"/>
              <w:rPr>
                <w:rFonts w:ascii="Tinos" w:hAnsi="Tinos" w:cs="Times New Roman"/>
                <w:color w:val="000000"/>
                <w:sz w:val="22"/>
                <w:szCs w:val="22"/>
              </w:rPr>
            </w:pPr>
            <w:r>
              <w:rPr>
                <w:rFonts w:cs="Times New Roman" w:ascii="Tinos" w:hAnsi="Tinos"/>
                <w:color w:val="000000"/>
                <w:sz w:val="22"/>
                <w:szCs w:val="22"/>
              </w:rPr>
              <w:t>26.20.16.110-00000002</w:t>
            </w:r>
          </w:p>
        </w:tc>
        <w:tc>
          <w:tcPr>
            <w:tcW w:w="1563" w:type="dxa"/>
            <w:tcBorders>
              <w:top w:val="single" w:sz="4" w:space="0" w:color="000000"/>
              <w:left w:val="single" w:sz="4" w:space="0" w:color="000000"/>
              <w:bottom w:val="single" w:sz="4" w:space="0" w:color="000000"/>
              <w:right w:val="single" w:sz="4" w:space="0" w:color="000000"/>
            </w:tcBorders>
            <w:vAlign w:val="center"/>
          </w:tcPr>
          <w:p>
            <w:pPr>
              <w:pStyle w:val="Style23"/>
              <w:widowControl w:val="false"/>
              <w:spacing w:before="0" w:after="200"/>
              <w:rPr>
                <w:rFonts w:ascii="Tinos" w:hAnsi="Tinos"/>
                <w:sz w:val="22"/>
                <w:szCs w:val="22"/>
              </w:rPr>
            </w:pPr>
            <w:r>
              <w:rPr>
                <w:rFonts w:ascii="Tinos" w:hAnsi="Tinos"/>
                <w:sz w:val="22"/>
                <w:szCs w:val="22"/>
              </w:rPr>
              <w:t>Тип подключения</w:t>
            </w:r>
          </w:p>
        </w:tc>
        <w:tc>
          <w:tcPr>
            <w:tcW w:w="16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3"/>
              <w:widowControl w:val="false"/>
              <w:spacing w:before="0" w:after="200"/>
              <w:rPr>
                <w:rFonts w:ascii="Tinos" w:hAnsi="Tinos"/>
                <w:sz w:val="22"/>
                <w:szCs w:val="22"/>
              </w:rPr>
            </w:pPr>
            <w:r>
              <w:rPr>
                <w:rFonts w:ascii="Tinos" w:hAnsi="Tinos"/>
                <w:sz w:val="22"/>
                <w:szCs w:val="22"/>
              </w:rPr>
              <w:t>Проводная</w:t>
            </w:r>
          </w:p>
        </w:tc>
        <w:tc>
          <w:tcPr>
            <w:tcW w:w="10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hd w:val="clear" w:color="auto" w:fill="FFFFFF"/>
              <w:spacing w:lineRule="auto" w:line="228" w:before="0" w:after="200"/>
              <w:rPr>
                <w:rFonts w:ascii="Tinos" w:hAnsi="Tinos"/>
                <w:sz w:val="22"/>
                <w:szCs w:val="22"/>
                <w:lang w:eastAsia="en-US"/>
              </w:rPr>
            </w:pPr>
            <w:r>
              <w:rPr>
                <w:rFonts w:ascii="Tinos" w:hAnsi="Tinos"/>
                <w:sz w:val="22"/>
                <w:szCs w:val="22"/>
                <w:lang w:eastAsia="en-US"/>
              </w:rPr>
            </w:r>
          </w:p>
        </w:tc>
        <w:tc>
          <w:tcPr>
            <w:tcW w:w="38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3"/>
              <w:widowControl w:val="false"/>
              <w:tabs>
                <w:tab w:val="left" w:pos="284" w:leader="none"/>
                <w:tab w:val="left" w:pos="708" w:leader="none"/>
              </w:tabs>
              <w:spacing w:before="0" w:after="200"/>
              <w:rPr>
                <w:rFonts w:ascii="Tinos" w:hAnsi="Tinos" w:cs="Times New Roman"/>
                <w:b/>
                <w:b/>
                <w:iCs/>
                <w:color w:val="000000"/>
                <w:sz w:val="22"/>
                <w:szCs w:val="22"/>
              </w:rPr>
            </w:pPr>
            <w:r>
              <w:rPr>
                <w:rFonts w:cs="Times New Roman" w:ascii="Tinos" w:hAnsi="Tinos"/>
                <w:b/>
                <w:iCs/>
                <w:color w:val="000000"/>
                <w:sz w:val="22"/>
                <w:szCs w:val="22"/>
              </w:rPr>
              <w:t>Значение характеристики не может изменяться участником закупки</w:t>
            </w:r>
          </w:p>
        </w:tc>
        <w:tc>
          <w:tcPr>
            <w:tcW w:w="29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59" w:before="0" w:after="160"/>
              <w:jc w:val="left"/>
              <w:rPr>
                <w:rFonts w:ascii="Tinos" w:hAnsi="Tinos"/>
                <w:sz w:val="22"/>
                <w:szCs w:val="22"/>
              </w:rPr>
            </w:pPr>
            <w:r>
              <w:rPr>
                <w:rFonts w:ascii="Tinos" w:hAnsi="Tinos"/>
                <w:sz w:val="22"/>
                <w:szCs w:val="22"/>
              </w:rPr>
            </w:r>
          </w:p>
        </w:tc>
      </w:tr>
      <w:tr>
        <w:trPr>
          <w:trHeight w:val="613" w:hRule="atLeast"/>
        </w:trPr>
        <w:tc>
          <w:tcPr>
            <w:tcW w:w="66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pPr>
            <w:r>
              <w:rPr/>
            </w:r>
          </w:p>
        </w:tc>
        <w:tc>
          <w:tcPr>
            <w:tcW w:w="917"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pPr>
            <w:r>
              <w:rPr/>
            </w:r>
          </w:p>
        </w:tc>
        <w:tc>
          <w:tcPr>
            <w:tcW w:w="176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pPr>
            <w:r>
              <w:rPr/>
            </w:r>
          </w:p>
        </w:tc>
        <w:tc>
          <w:tcPr>
            <w:tcW w:w="1563" w:type="dxa"/>
            <w:tcBorders>
              <w:left w:val="single" w:sz="4" w:space="0" w:color="000000"/>
              <w:bottom w:val="single" w:sz="4" w:space="0" w:color="000000"/>
              <w:right w:val="single" w:sz="4" w:space="0" w:color="000000"/>
            </w:tcBorders>
            <w:vAlign w:val="center"/>
          </w:tcPr>
          <w:p>
            <w:pPr>
              <w:pStyle w:val="Style23"/>
              <w:widowControl w:val="false"/>
              <w:spacing w:before="0" w:after="200"/>
              <w:rPr>
                <w:rFonts w:ascii="Tinos" w:hAnsi="Tinos"/>
                <w:sz w:val="22"/>
                <w:szCs w:val="22"/>
              </w:rPr>
            </w:pPr>
            <w:r>
              <w:rPr>
                <w:rFonts w:ascii="Tinos" w:hAnsi="Tinos"/>
                <w:sz w:val="22"/>
                <w:szCs w:val="22"/>
              </w:rPr>
              <w:t>Интерфейс подключения</w:t>
            </w:r>
          </w:p>
        </w:tc>
        <w:tc>
          <w:tcPr>
            <w:tcW w:w="1657" w:type="dxa"/>
            <w:tcBorders>
              <w:left w:val="single" w:sz="4" w:space="0" w:color="000000"/>
              <w:bottom w:val="single" w:sz="4" w:space="0" w:color="000000"/>
              <w:right w:val="single" w:sz="4" w:space="0" w:color="000000"/>
            </w:tcBorders>
            <w:shd w:color="auto" w:fill="auto" w:val="clear"/>
            <w:vAlign w:val="center"/>
          </w:tcPr>
          <w:p>
            <w:pPr>
              <w:pStyle w:val="Style23"/>
              <w:widowControl w:val="false"/>
              <w:spacing w:before="0" w:after="200"/>
              <w:rPr>
                <w:rFonts w:ascii="Tinos" w:hAnsi="Tinos"/>
                <w:sz w:val="22"/>
                <w:szCs w:val="22"/>
              </w:rPr>
            </w:pPr>
            <w:r>
              <w:rPr>
                <w:rFonts w:ascii="Tinos" w:hAnsi="Tinos"/>
                <w:sz w:val="22"/>
                <w:szCs w:val="22"/>
              </w:rPr>
              <w:t>USB</w:t>
            </w:r>
          </w:p>
        </w:tc>
        <w:tc>
          <w:tcPr>
            <w:tcW w:w="1047" w:type="dxa"/>
            <w:tcBorders>
              <w:left w:val="single" w:sz="4" w:space="0" w:color="000000"/>
              <w:bottom w:val="single" w:sz="4" w:space="0" w:color="000000"/>
              <w:right w:val="single" w:sz="4" w:space="0" w:color="000000"/>
            </w:tcBorders>
            <w:shd w:color="auto" w:fill="auto" w:val="clear"/>
            <w:vAlign w:val="center"/>
          </w:tcPr>
          <w:p>
            <w:pPr>
              <w:pStyle w:val="Standard"/>
              <w:widowControl w:val="false"/>
              <w:shd w:val="clear" w:color="auto" w:fill="FFFFFF"/>
              <w:spacing w:lineRule="auto" w:line="228" w:before="0" w:after="200"/>
              <w:rPr>
                <w:rFonts w:ascii="Tinos" w:hAnsi="Tinos"/>
                <w:sz w:val="22"/>
                <w:szCs w:val="22"/>
                <w:lang w:eastAsia="en-US"/>
              </w:rPr>
            </w:pPr>
            <w:r>
              <w:rPr>
                <w:rFonts w:ascii="Tinos" w:hAnsi="Tinos"/>
                <w:sz w:val="22"/>
                <w:szCs w:val="22"/>
                <w:lang w:eastAsia="en-US"/>
              </w:rPr>
            </w:r>
          </w:p>
        </w:tc>
        <w:tc>
          <w:tcPr>
            <w:tcW w:w="3895" w:type="dxa"/>
            <w:tcBorders>
              <w:left w:val="single" w:sz="4" w:space="0" w:color="000000"/>
              <w:bottom w:val="single" w:sz="4" w:space="0" w:color="000000"/>
              <w:right w:val="single" w:sz="4" w:space="0" w:color="000000"/>
            </w:tcBorders>
            <w:shd w:color="auto" w:fill="auto" w:val="clear"/>
            <w:vAlign w:val="center"/>
          </w:tcPr>
          <w:p>
            <w:pPr>
              <w:pStyle w:val="Style23"/>
              <w:widowControl w:val="false"/>
              <w:tabs>
                <w:tab w:val="left" w:pos="284" w:leader="none"/>
                <w:tab w:val="left" w:pos="708" w:leader="none"/>
              </w:tabs>
              <w:spacing w:before="0" w:after="200"/>
              <w:rPr>
                <w:rFonts w:ascii="Tinos" w:hAnsi="Tinos" w:cs="Times New Roman"/>
                <w:b/>
                <w:b/>
                <w:iCs/>
                <w:color w:val="000000"/>
                <w:sz w:val="22"/>
                <w:szCs w:val="22"/>
              </w:rPr>
            </w:pPr>
            <w:r>
              <w:rPr>
                <w:rFonts w:cs="Times New Roman" w:ascii="Tinos" w:hAnsi="Tinos"/>
                <w:b/>
                <w:iCs/>
                <w:color w:val="000000"/>
                <w:sz w:val="22"/>
                <w:szCs w:val="22"/>
              </w:rPr>
              <w:t>Значение характеристики не может изменяться участником закупки</w:t>
            </w:r>
          </w:p>
        </w:tc>
        <w:tc>
          <w:tcPr>
            <w:tcW w:w="2995" w:type="dxa"/>
            <w:tcBorders>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59" w:before="0" w:after="160"/>
              <w:jc w:val="left"/>
              <w:rPr>
                <w:rFonts w:ascii="Tinos" w:hAnsi="Tinos"/>
                <w:sz w:val="22"/>
                <w:szCs w:val="22"/>
              </w:rPr>
            </w:pPr>
            <w:r>
              <w:rPr>
                <w:rFonts w:ascii="Tinos" w:hAnsi="Tinos"/>
                <w:sz w:val="22"/>
                <w:szCs w:val="22"/>
              </w:rPr>
              <w:t>-</w:t>
            </w:r>
          </w:p>
        </w:tc>
      </w:tr>
      <w:tr>
        <w:trPr>
          <w:trHeight w:val="613" w:hRule="atLeast"/>
        </w:trPr>
        <w:tc>
          <w:tcPr>
            <w:tcW w:w="66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pPr>
            <w:r>
              <w:rPr/>
            </w:r>
          </w:p>
        </w:tc>
        <w:tc>
          <w:tcPr>
            <w:tcW w:w="917"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pPr>
            <w:r>
              <w:rPr/>
            </w:r>
          </w:p>
        </w:tc>
        <w:tc>
          <w:tcPr>
            <w:tcW w:w="176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pPr>
            <w:r>
              <w:rPr/>
            </w:r>
          </w:p>
        </w:tc>
        <w:tc>
          <w:tcPr>
            <w:tcW w:w="1563" w:type="dxa"/>
            <w:tcBorders>
              <w:left w:val="single" w:sz="4" w:space="0" w:color="000000"/>
              <w:bottom w:val="single" w:sz="4" w:space="0" w:color="000000"/>
              <w:right w:val="single" w:sz="4" w:space="0" w:color="000000"/>
            </w:tcBorders>
            <w:vAlign w:val="center"/>
          </w:tcPr>
          <w:p>
            <w:pPr>
              <w:pStyle w:val="Standard"/>
              <w:widowControl w:val="false"/>
              <w:tabs>
                <w:tab w:val="left" w:pos="284" w:leader="none"/>
                <w:tab w:val="left" w:pos="708" w:leader="none"/>
              </w:tabs>
              <w:spacing w:before="0" w:after="200"/>
              <w:rPr>
                <w:rFonts w:ascii="Tinos" w:hAnsi="Tinos" w:cs="Times New Roman"/>
                <w:iCs/>
                <w:color w:val="000000"/>
                <w:sz w:val="22"/>
                <w:szCs w:val="22"/>
              </w:rPr>
            </w:pPr>
            <w:r>
              <w:rPr>
                <w:rFonts w:cs="Times New Roman" w:ascii="Tinos" w:hAnsi="Tinos"/>
                <w:iCs/>
                <w:color w:val="000000"/>
                <w:sz w:val="22"/>
                <w:szCs w:val="22"/>
              </w:rPr>
              <w:t>Длина кабеля</w:t>
            </w:r>
          </w:p>
        </w:tc>
        <w:tc>
          <w:tcPr>
            <w:tcW w:w="1657" w:type="dxa"/>
            <w:tcBorders>
              <w:left w:val="single" w:sz="4" w:space="0" w:color="000000"/>
              <w:bottom w:val="single" w:sz="4" w:space="0" w:color="000000"/>
              <w:right w:val="single" w:sz="4" w:space="0" w:color="000000"/>
            </w:tcBorders>
            <w:shd w:color="auto" w:fill="auto" w:val="clear"/>
            <w:vAlign w:val="center"/>
          </w:tcPr>
          <w:p>
            <w:pPr>
              <w:pStyle w:val="Style23"/>
              <w:widowControl w:val="false"/>
              <w:spacing w:before="0" w:after="200"/>
              <w:rPr>
                <w:rFonts w:ascii="Tinos" w:hAnsi="Tinos" w:eastAsia="Source Han Sans CN Regular" w:cs="Lohit Devanagari"/>
                <w:sz w:val="22"/>
                <w:szCs w:val="22"/>
              </w:rPr>
            </w:pPr>
            <w:r>
              <w:rPr>
                <w:rFonts w:eastAsia="Liberation Serif" w:cs="Liberation Serif" w:ascii="Liberation Serif" w:hAnsi="Liberation Serif"/>
                <w:sz w:val="22"/>
                <w:szCs w:val="22"/>
              </w:rPr>
              <w:t>≥</w:t>
            </w:r>
            <w:r>
              <w:rPr>
                <w:rFonts w:eastAsia="Source Han Sans CN Regular" w:cs="Lohit Devanagari" w:ascii="Tinos" w:hAnsi="Tinos"/>
                <w:sz w:val="22"/>
                <w:szCs w:val="22"/>
              </w:rPr>
              <w:t xml:space="preserve">1.6 и </w:t>
            </w:r>
            <w:r>
              <w:rPr>
                <w:rFonts w:eastAsia="Source Han Sans CN Regular" w:cs="Lohit Devanagari"/>
                <w:sz w:val="22"/>
                <w:szCs w:val="22"/>
              </w:rPr>
              <w:t>&lt;</w:t>
            </w:r>
            <w:r>
              <w:rPr>
                <w:rFonts w:eastAsia="Source Han Sans CN Regular" w:cs="Lohit Devanagari" w:ascii="Tinos" w:hAnsi="Tinos"/>
                <w:sz w:val="22"/>
                <w:szCs w:val="22"/>
              </w:rPr>
              <w:t>2</w:t>
            </w:r>
          </w:p>
        </w:tc>
        <w:tc>
          <w:tcPr>
            <w:tcW w:w="1047" w:type="dxa"/>
            <w:tcBorders>
              <w:left w:val="single" w:sz="4" w:space="0" w:color="000000"/>
              <w:bottom w:val="single" w:sz="4" w:space="0" w:color="000000"/>
              <w:right w:val="single" w:sz="4" w:space="0" w:color="000000"/>
            </w:tcBorders>
            <w:shd w:color="auto" w:fill="auto" w:val="clear"/>
            <w:vAlign w:val="center"/>
          </w:tcPr>
          <w:p>
            <w:pPr>
              <w:pStyle w:val="Style23"/>
              <w:widowControl w:val="false"/>
              <w:spacing w:before="0" w:after="200"/>
              <w:rPr>
                <w:rFonts w:ascii="Tinos" w:hAnsi="Tinos"/>
                <w:sz w:val="22"/>
                <w:szCs w:val="22"/>
              </w:rPr>
            </w:pPr>
            <w:r>
              <w:rPr>
                <w:rFonts w:ascii="Tinos" w:hAnsi="Tinos"/>
                <w:sz w:val="22"/>
                <w:szCs w:val="22"/>
              </w:rPr>
              <w:t>Метр</w:t>
            </w:r>
          </w:p>
        </w:tc>
        <w:tc>
          <w:tcPr>
            <w:tcW w:w="3895" w:type="dxa"/>
            <w:tcBorders>
              <w:left w:val="single" w:sz="4" w:space="0" w:color="000000"/>
              <w:bottom w:val="single" w:sz="4" w:space="0" w:color="000000"/>
              <w:right w:val="single" w:sz="4" w:space="0" w:color="000000"/>
            </w:tcBorders>
            <w:shd w:color="auto" w:fill="auto" w:val="clear"/>
            <w:vAlign w:val="center"/>
          </w:tcPr>
          <w:p>
            <w:pPr>
              <w:pStyle w:val="Style23"/>
              <w:widowControl w:val="false"/>
              <w:tabs>
                <w:tab w:val="left" w:pos="284" w:leader="none"/>
                <w:tab w:val="left" w:pos="708" w:leader="none"/>
              </w:tabs>
              <w:spacing w:before="0" w:after="200"/>
              <w:rPr>
                <w:rFonts w:ascii="Tinos" w:hAnsi="Tinos" w:cs="Times New Roman"/>
                <w:b/>
                <w:b/>
                <w:iCs/>
                <w:color w:val="000000"/>
                <w:sz w:val="22"/>
                <w:szCs w:val="22"/>
              </w:rPr>
            </w:pPr>
            <w:r>
              <w:rPr>
                <w:rFonts w:cs="Times New Roman" w:ascii="Tinos" w:hAnsi="Tinos"/>
                <w:b/>
                <w:iCs/>
                <w:color w:val="000000"/>
                <w:sz w:val="22"/>
                <w:szCs w:val="22"/>
              </w:rPr>
              <w:t>Участник закупки указывает в заявке конкретное значение характеристики</w:t>
            </w:r>
          </w:p>
        </w:tc>
        <w:tc>
          <w:tcPr>
            <w:tcW w:w="2995" w:type="dxa"/>
            <w:tcBorders>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59" w:before="0" w:after="160"/>
              <w:jc w:val="left"/>
              <w:rPr>
                <w:rFonts w:ascii="Tinos" w:hAnsi="Tinos"/>
                <w:sz w:val="22"/>
                <w:szCs w:val="22"/>
              </w:rPr>
            </w:pPr>
            <w:r>
              <w:rPr>
                <w:rFonts w:ascii="Tinos" w:hAnsi="Tinos"/>
                <w:sz w:val="22"/>
                <w:szCs w:val="22"/>
              </w:rPr>
              <w:t>-</w:t>
            </w:r>
          </w:p>
        </w:tc>
      </w:tr>
      <w:tr>
        <w:trPr>
          <w:trHeight w:val="613" w:hRule="atLeast"/>
        </w:trPr>
        <w:tc>
          <w:tcPr>
            <w:tcW w:w="66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pPr>
            <w:r>
              <w:rPr/>
            </w:r>
          </w:p>
        </w:tc>
        <w:tc>
          <w:tcPr>
            <w:tcW w:w="917"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pPr>
            <w:r>
              <w:rPr/>
            </w:r>
          </w:p>
        </w:tc>
        <w:tc>
          <w:tcPr>
            <w:tcW w:w="176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pPr>
            <w:r>
              <w:rPr/>
            </w:r>
          </w:p>
        </w:tc>
        <w:tc>
          <w:tcPr>
            <w:tcW w:w="1563" w:type="dxa"/>
            <w:tcBorders>
              <w:left w:val="single" w:sz="4" w:space="0" w:color="000000"/>
              <w:bottom w:val="single" w:sz="4" w:space="0" w:color="000000"/>
              <w:right w:val="single" w:sz="4" w:space="0" w:color="000000"/>
            </w:tcBorders>
            <w:vAlign w:val="center"/>
          </w:tcPr>
          <w:p>
            <w:pPr>
              <w:pStyle w:val="Standard"/>
              <w:widowControl w:val="false"/>
              <w:tabs>
                <w:tab w:val="left" w:pos="284" w:leader="none"/>
                <w:tab w:val="left" w:pos="708" w:leader="none"/>
              </w:tabs>
              <w:spacing w:before="0" w:after="200"/>
              <w:rPr>
                <w:rFonts w:ascii="Tinos" w:hAnsi="Tinos" w:cs="Times New Roman"/>
                <w:iCs/>
                <w:color w:val="000000"/>
                <w:sz w:val="22"/>
                <w:szCs w:val="22"/>
              </w:rPr>
            </w:pPr>
            <w:r>
              <w:rPr>
                <w:rFonts w:cs="Times New Roman" w:ascii="Tinos" w:hAnsi="Tinos"/>
                <w:iCs/>
                <w:color w:val="000000"/>
                <w:sz w:val="22"/>
                <w:szCs w:val="22"/>
              </w:rPr>
              <w:t>Мультифункциональные клавиши</w:t>
            </w:r>
          </w:p>
        </w:tc>
        <w:tc>
          <w:tcPr>
            <w:tcW w:w="1657" w:type="dxa"/>
            <w:tcBorders>
              <w:left w:val="single" w:sz="4" w:space="0" w:color="000000"/>
              <w:bottom w:val="single" w:sz="4" w:space="0" w:color="000000"/>
              <w:right w:val="single" w:sz="4" w:space="0" w:color="000000"/>
            </w:tcBorders>
            <w:shd w:color="auto" w:fill="auto" w:val="clear"/>
            <w:vAlign w:val="center"/>
          </w:tcPr>
          <w:p>
            <w:pPr>
              <w:pStyle w:val="Style23"/>
              <w:widowControl w:val="false"/>
              <w:spacing w:before="0" w:after="200"/>
              <w:rPr>
                <w:rFonts w:ascii="Tinos" w:hAnsi="Tinos" w:eastAsia="Source Han Sans CN Regular" w:cs="Lohit Devanagari"/>
                <w:sz w:val="22"/>
                <w:szCs w:val="22"/>
              </w:rPr>
            </w:pPr>
            <w:r>
              <w:rPr>
                <w:rFonts w:eastAsia="Source Han Sans CN Regular" w:cs="Lohit Devanagari" w:ascii="Tinos" w:hAnsi="Tinos"/>
                <w:sz w:val="22"/>
                <w:szCs w:val="22"/>
              </w:rPr>
              <w:t>Да</w:t>
            </w:r>
          </w:p>
        </w:tc>
        <w:tc>
          <w:tcPr>
            <w:tcW w:w="1047" w:type="dxa"/>
            <w:tcBorders>
              <w:left w:val="single" w:sz="4" w:space="0" w:color="000000"/>
              <w:bottom w:val="single" w:sz="4" w:space="0" w:color="000000"/>
              <w:right w:val="single" w:sz="4" w:space="0" w:color="000000"/>
            </w:tcBorders>
            <w:shd w:color="auto" w:fill="auto" w:val="clear"/>
            <w:vAlign w:val="center"/>
          </w:tcPr>
          <w:p>
            <w:pPr>
              <w:pStyle w:val="Style23"/>
              <w:widowControl w:val="false"/>
              <w:spacing w:before="0" w:after="200"/>
              <w:rPr>
                <w:rFonts w:ascii="Tinos" w:hAnsi="Tinos"/>
                <w:sz w:val="22"/>
                <w:szCs w:val="22"/>
              </w:rPr>
            </w:pPr>
            <w:r>
              <w:rPr>
                <w:rFonts w:ascii="Tinos" w:hAnsi="Tinos"/>
                <w:sz w:val="22"/>
                <w:szCs w:val="22"/>
              </w:rPr>
            </w:r>
          </w:p>
        </w:tc>
        <w:tc>
          <w:tcPr>
            <w:tcW w:w="3895" w:type="dxa"/>
            <w:tcBorders>
              <w:left w:val="single" w:sz="4" w:space="0" w:color="000000"/>
              <w:bottom w:val="single" w:sz="4" w:space="0" w:color="000000"/>
              <w:right w:val="single" w:sz="4" w:space="0" w:color="000000"/>
            </w:tcBorders>
            <w:shd w:color="auto" w:fill="auto" w:val="clear"/>
            <w:vAlign w:val="center"/>
          </w:tcPr>
          <w:p>
            <w:pPr>
              <w:pStyle w:val="Style23"/>
              <w:widowControl w:val="false"/>
              <w:tabs>
                <w:tab w:val="left" w:pos="284" w:leader="none"/>
                <w:tab w:val="left" w:pos="708" w:leader="none"/>
              </w:tabs>
              <w:spacing w:before="0" w:after="200"/>
              <w:rPr>
                <w:rFonts w:ascii="Tinos" w:hAnsi="Tinos" w:cs="Times New Roman"/>
                <w:b/>
                <w:b/>
                <w:iCs/>
                <w:color w:val="000000"/>
                <w:sz w:val="22"/>
                <w:szCs w:val="22"/>
              </w:rPr>
            </w:pPr>
            <w:r>
              <w:rPr>
                <w:rFonts w:cs="Times New Roman" w:ascii="Tinos" w:hAnsi="Tinos"/>
                <w:b/>
                <w:iCs/>
                <w:color w:val="000000"/>
                <w:sz w:val="22"/>
                <w:szCs w:val="22"/>
              </w:rPr>
              <w:t>Значение характеристики не может изменяться участником закупки</w:t>
            </w:r>
          </w:p>
        </w:tc>
        <w:tc>
          <w:tcPr>
            <w:tcW w:w="2995" w:type="dxa"/>
            <w:tcBorders>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59" w:before="0" w:after="160"/>
              <w:jc w:val="left"/>
              <w:rPr>
                <w:rFonts w:ascii="Tinos" w:hAnsi="Tinos"/>
                <w:sz w:val="22"/>
                <w:szCs w:val="22"/>
              </w:rPr>
            </w:pPr>
            <w:r>
              <w:rPr>
                <w:rFonts w:ascii="Tinos" w:hAnsi="Tinos"/>
                <w:sz w:val="22"/>
                <w:szCs w:val="22"/>
              </w:rPr>
            </w:r>
          </w:p>
        </w:tc>
      </w:tr>
      <w:tr>
        <w:trPr>
          <w:trHeight w:val="613" w:hRule="atLeast"/>
        </w:trPr>
        <w:tc>
          <w:tcPr>
            <w:tcW w:w="66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pPr>
            <w:r>
              <w:rPr/>
            </w:r>
          </w:p>
        </w:tc>
        <w:tc>
          <w:tcPr>
            <w:tcW w:w="917"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pPr>
            <w:r>
              <w:rPr/>
            </w:r>
          </w:p>
        </w:tc>
        <w:tc>
          <w:tcPr>
            <w:tcW w:w="176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pPr>
            <w:r>
              <w:rPr/>
            </w:r>
          </w:p>
        </w:tc>
        <w:tc>
          <w:tcPr>
            <w:tcW w:w="1563" w:type="dxa"/>
            <w:tcBorders>
              <w:left w:val="single" w:sz="4" w:space="0" w:color="000000"/>
              <w:bottom w:val="single" w:sz="4" w:space="0" w:color="000000"/>
              <w:right w:val="single" w:sz="4" w:space="0" w:color="000000"/>
            </w:tcBorders>
            <w:vAlign w:val="center"/>
          </w:tcPr>
          <w:p>
            <w:pPr>
              <w:pStyle w:val="Standard"/>
              <w:widowControl w:val="false"/>
              <w:tabs>
                <w:tab w:val="left" w:pos="284" w:leader="none"/>
                <w:tab w:val="left" w:pos="708" w:leader="none"/>
              </w:tabs>
              <w:spacing w:before="0" w:after="200"/>
              <w:rPr>
                <w:rFonts w:ascii="Tinos" w:hAnsi="Tinos" w:cs="Times New Roman"/>
                <w:iCs/>
                <w:color w:val="000000"/>
                <w:sz w:val="22"/>
                <w:szCs w:val="22"/>
              </w:rPr>
            </w:pPr>
            <w:r>
              <w:rPr>
                <w:rFonts w:cs="Times New Roman" w:ascii="Tinos" w:hAnsi="Tinos"/>
                <w:iCs/>
                <w:color w:val="000000"/>
                <w:sz w:val="22"/>
                <w:szCs w:val="22"/>
              </w:rPr>
              <w:t>Отличие цвета русских букв на клавишах от латинских</w:t>
            </w:r>
          </w:p>
        </w:tc>
        <w:tc>
          <w:tcPr>
            <w:tcW w:w="1657" w:type="dxa"/>
            <w:tcBorders>
              <w:left w:val="single" w:sz="4" w:space="0" w:color="000000"/>
              <w:bottom w:val="single" w:sz="4" w:space="0" w:color="000000"/>
              <w:right w:val="single" w:sz="4" w:space="0" w:color="000000"/>
            </w:tcBorders>
            <w:shd w:color="auto" w:fill="auto" w:val="clear"/>
            <w:vAlign w:val="center"/>
          </w:tcPr>
          <w:p>
            <w:pPr>
              <w:pStyle w:val="Style23"/>
              <w:widowControl w:val="false"/>
              <w:spacing w:before="0" w:after="200"/>
              <w:rPr>
                <w:rFonts w:ascii="Tinos" w:hAnsi="Tinos" w:eastAsia="Source Han Sans CN Regular" w:cs="Lohit Devanagari"/>
                <w:sz w:val="22"/>
                <w:szCs w:val="22"/>
              </w:rPr>
            </w:pPr>
            <w:r>
              <w:rPr>
                <w:rFonts w:eastAsia="Source Han Sans CN Regular" w:cs="Lohit Devanagari" w:ascii="Tinos" w:hAnsi="Tinos"/>
                <w:sz w:val="22"/>
                <w:szCs w:val="22"/>
              </w:rPr>
              <w:t>Да</w:t>
            </w:r>
          </w:p>
        </w:tc>
        <w:tc>
          <w:tcPr>
            <w:tcW w:w="1047" w:type="dxa"/>
            <w:tcBorders>
              <w:left w:val="single" w:sz="4" w:space="0" w:color="000000"/>
              <w:bottom w:val="single" w:sz="4" w:space="0" w:color="000000"/>
              <w:right w:val="single" w:sz="4" w:space="0" w:color="000000"/>
            </w:tcBorders>
            <w:shd w:color="auto" w:fill="auto" w:val="clear"/>
            <w:vAlign w:val="center"/>
          </w:tcPr>
          <w:p>
            <w:pPr>
              <w:pStyle w:val="Style23"/>
              <w:widowControl w:val="false"/>
              <w:spacing w:before="0" w:after="200"/>
              <w:rPr>
                <w:rFonts w:ascii="Tinos" w:hAnsi="Tinos"/>
                <w:sz w:val="22"/>
                <w:szCs w:val="22"/>
              </w:rPr>
            </w:pPr>
            <w:r>
              <w:rPr>
                <w:rFonts w:ascii="Tinos" w:hAnsi="Tinos"/>
                <w:sz w:val="22"/>
                <w:szCs w:val="22"/>
              </w:rPr>
            </w:r>
          </w:p>
        </w:tc>
        <w:tc>
          <w:tcPr>
            <w:tcW w:w="3895" w:type="dxa"/>
            <w:tcBorders>
              <w:left w:val="single" w:sz="4" w:space="0" w:color="000000"/>
              <w:bottom w:val="single" w:sz="4" w:space="0" w:color="000000"/>
              <w:right w:val="single" w:sz="4" w:space="0" w:color="000000"/>
            </w:tcBorders>
            <w:shd w:color="auto" w:fill="auto" w:val="clear"/>
            <w:vAlign w:val="center"/>
          </w:tcPr>
          <w:p>
            <w:pPr>
              <w:pStyle w:val="Style23"/>
              <w:widowControl w:val="false"/>
              <w:tabs>
                <w:tab w:val="left" w:pos="284" w:leader="none"/>
                <w:tab w:val="left" w:pos="708" w:leader="none"/>
              </w:tabs>
              <w:spacing w:before="0" w:after="200"/>
              <w:rPr>
                <w:rFonts w:ascii="Tinos" w:hAnsi="Tinos" w:cs="Times New Roman"/>
                <w:b/>
                <w:b/>
                <w:iCs/>
                <w:color w:val="000000"/>
                <w:sz w:val="22"/>
                <w:szCs w:val="22"/>
              </w:rPr>
            </w:pPr>
            <w:r>
              <w:rPr>
                <w:rFonts w:cs="Times New Roman" w:ascii="Tinos" w:hAnsi="Tinos"/>
                <w:b/>
                <w:iCs/>
                <w:color w:val="000000"/>
                <w:sz w:val="22"/>
                <w:szCs w:val="22"/>
              </w:rPr>
              <w:t>Значение характеристики не может изменяться участником закупки</w:t>
            </w:r>
          </w:p>
        </w:tc>
        <w:tc>
          <w:tcPr>
            <w:tcW w:w="2995" w:type="dxa"/>
            <w:tcBorders>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59" w:before="0" w:after="160"/>
              <w:jc w:val="left"/>
              <w:rPr>
                <w:rFonts w:ascii="Tinos" w:hAnsi="Tinos"/>
                <w:sz w:val="22"/>
                <w:szCs w:val="22"/>
              </w:rPr>
            </w:pPr>
            <w:r>
              <w:rPr>
                <w:rFonts w:ascii="Tinos" w:hAnsi="Tinos"/>
                <w:sz w:val="22"/>
                <w:szCs w:val="22"/>
              </w:rPr>
            </w:r>
          </w:p>
        </w:tc>
      </w:tr>
      <w:tr>
        <w:trPr>
          <w:trHeight w:val="613" w:hRule="atLeast"/>
        </w:trPr>
        <w:tc>
          <w:tcPr>
            <w:tcW w:w="66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pPr>
            <w:r>
              <w:rPr/>
            </w:r>
          </w:p>
        </w:tc>
        <w:tc>
          <w:tcPr>
            <w:tcW w:w="917"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pPr>
            <w:r>
              <w:rPr/>
            </w:r>
          </w:p>
        </w:tc>
        <w:tc>
          <w:tcPr>
            <w:tcW w:w="176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pPr>
            <w:r>
              <w:rPr/>
            </w:r>
          </w:p>
        </w:tc>
        <w:tc>
          <w:tcPr>
            <w:tcW w:w="1563" w:type="dxa"/>
            <w:tcBorders>
              <w:left w:val="single" w:sz="4" w:space="0" w:color="000000"/>
              <w:bottom w:val="single" w:sz="4" w:space="0" w:color="000000"/>
              <w:right w:val="single" w:sz="4" w:space="0" w:color="000000"/>
            </w:tcBorders>
            <w:vAlign w:val="center"/>
          </w:tcPr>
          <w:p>
            <w:pPr>
              <w:pStyle w:val="Standard"/>
              <w:widowControl w:val="false"/>
              <w:tabs>
                <w:tab w:val="left" w:pos="284" w:leader="none"/>
                <w:tab w:val="left" w:pos="708" w:leader="none"/>
              </w:tabs>
              <w:spacing w:before="0" w:after="200"/>
              <w:rPr>
                <w:rFonts w:ascii="Tinos" w:hAnsi="Tinos" w:cs="Times New Roman"/>
                <w:iCs/>
                <w:color w:val="000000"/>
                <w:sz w:val="22"/>
                <w:szCs w:val="22"/>
              </w:rPr>
            </w:pPr>
            <w:r>
              <w:rPr>
                <w:rFonts w:cs="Times New Roman" w:ascii="Tinos" w:hAnsi="Tinos"/>
                <w:iCs/>
                <w:color w:val="000000"/>
                <w:sz w:val="22"/>
                <w:szCs w:val="22"/>
              </w:rPr>
              <w:t>Раскладка клавиатуры</w:t>
            </w:r>
          </w:p>
        </w:tc>
        <w:tc>
          <w:tcPr>
            <w:tcW w:w="1657" w:type="dxa"/>
            <w:tcBorders>
              <w:left w:val="single" w:sz="4" w:space="0" w:color="000000"/>
              <w:bottom w:val="single" w:sz="4" w:space="0" w:color="000000"/>
              <w:right w:val="single" w:sz="4" w:space="0" w:color="000000"/>
            </w:tcBorders>
            <w:shd w:color="auto" w:fill="auto" w:val="clear"/>
            <w:vAlign w:val="center"/>
          </w:tcPr>
          <w:p>
            <w:pPr>
              <w:pStyle w:val="Style23"/>
              <w:widowControl w:val="false"/>
              <w:spacing w:before="0" w:after="200"/>
              <w:rPr>
                <w:rFonts w:ascii="Tinos" w:hAnsi="Tinos" w:eastAsia="Source Han Sans CN Regular" w:cs="Lohit Devanagari"/>
                <w:sz w:val="22"/>
                <w:szCs w:val="22"/>
              </w:rPr>
            </w:pPr>
            <w:r>
              <w:rPr>
                <w:rFonts w:eastAsia="Source Han Sans CN Regular" w:cs="Lohit Devanagari" w:ascii="Tinos" w:hAnsi="Tinos"/>
                <w:sz w:val="22"/>
                <w:szCs w:val="22"/>
              </w:rPr>
              <w:t>ЙЦУКЕН</w:t>
            </w:r>
          </w:p>
          <w:p>
            <w:pPr>
              <w:pStyle w:val="Style23"/>
              <w:widowControl w:val="false"/>
              <w:spacing w:before="0" w:after="200"/>
              <w:rPr>
                <w:rFonts w:ascii="Tinos" w:hAnsi="Tinos" w:eastAsia="Source Han Sans CN Regular" w:cs="Lohit Devanagari"/>
                <w:sz w:val="22"/>
                <w:szCs w:val="22"/>
              </w:rPr>
            </w:pPr>
            <w:r>
              <w:rPr>
                <w:rFonts w:eastAsia="Source Han Sans CN Regular" w:cs="Lohit Devanagari" w:ascii="Tinos" w:hAnsi="Tinos"/>
                <w:sz w:val="22"/>
                <w:szCs w:val="22"/>
              </w:rPr>
              <w:t>QWERTY</w:t>
            </w:r>
          </w:p>
        </w:tc>
        <w:tc>
          <w:tcPr>
            <w:tcW w:w="1047" w:type="dxa"/>
            <w:tcBorders>
              <w:left w:val="single" w:sz="4" w:space="0" w:color="000000"/>
              <w:bottom w:val="single" w:sz="4" w:space="0" w:color="000000"/>
              <w:right w:val="single" w:sz="4" w:space="0" w:color="000000"/>
            </w:tcBorders>
            <w:shd w:color="auto" w:fill="auto" w:val="clear"/>
            <w:vAlign w:val="center"/>
          </w:tcPr>
          <w:p>
            <w:pPr>
              <w:pStyle w:val="Style23"/>
              <w:widowControl w:val="false"/>
              <w:spacing w:before="0" w:after="200"/>
              <w:rPr>
                <w:rFonts w:ascii="Tinos" w:hAnsi="Tinos"/>
                <w:sz w:val="22"/>
                <w:szCs w:val="22"/>
              </w:rPr>
            </w:pPr>
            <w:r>
              <w:rPr>
                <w:rFonts w:ascii="Tinos" w:hAnsi="Tinos"/>
                <w:sz w:val="22"/>
                <w:szCs w:val="22"/>
              </w:rPr>
            </w:r>
          </w:p>
        </w:tc>
        <w:tc>
          <w:tcPr>
            <w:tcW w:w="3895" w:type="dxa"/>
            <w:tcBorders>
              <w:left w:val="single" w:sz="4" w:space="0" w:color="000000"/>
              <w:bottom w:val="single" w:sz="4" w:space="0" w:color="000000"/>
              <w:right w:val="single" w:sz="4" w:space="0" w:color="000000"/>
            </w:tcBorders>
            <w:shd w:color="auto" w:fill="auto" w:val="clear"/>
            <w:vAlign w:val="center"/>
          </w:tcPr>
          <w:p>
            <w:pPr>
              <w:pStyle w:val="Style23"/>
              <w:widowControl w:val="false"/>
              <w:tabs>
                <w:tab w:val="left" w:pos="284" w:leader="none"/>
                <w:tab w:val="left" w:pos="708" w:leader="none"/>
              </w:tabs>
              <w:spacing w:before="0" w:after="200"/>
              <w:rPr>
                <w:rFonts w:ascii="Tinos" w:hAnsi="Tinos" w:cs="Times New Roman"/>
                <w:b/>
                <w:b/>
                <w:iCs/>
                <w:color w:val="000000"/>
                <w:sz w:val="22"/>
                <w:szCs w:val="22"/>
              </w:rPr>
            </w:pPr>
            <w:r>
              <w:rPr>
                <w:rFonts w:cs="Times New Roman" w:ascii="Tinos" w:hAnsi="Tinos"/>
                <w:b/>
                <w:iCs/>
                <w:color w:val="000000"/>
                <w:sz w:val="22"/>
                <w:szCs w:val="22"/>
              </w:rPr>
              <w:t>Значение характеристики не может изменяться участником закупки</w:t>
            </w:r>
          </w:p>
        </w:tc>
        <w:tc>
          <w:tcPr>
            <w:tcW w:w="2995" w:type="dxa"/>
            <w:tcBorders>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59" w:before="0" w:after="160"/>
              <w:jc w:val="left"/>
              <w:rPr>
                <w:rFonts w:ascii="Tinos" w:hAnsi="Tinos"/>
                <w:sz w:val="22"/>
                <w:szCs w:val="22"/>
              </w:rPr>
            </w:pPr>
            <w:r>
              <w:rPr>
                <w:rFonts w:ascii="Tinos" w:hAnsi="Tinos"/>
                <w:sz w:val="22"/>
                <w:szCs w:val="22"/>
              </w:rPr>
            </w:r>
          </w:p>
        </w:tc>
      </w:tr>
      <w:tr>
        <w:trPr>
          <w:trHeight w:val="306" w:hRule="atLeast"/>
        </w:trPr>
        <w:tc>
          <w:tcPr>
            <w:tcW w:w="661"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rPr>
                <w:rFonts w:ascii="Tinos" w:hAnsi="Tinos" w:eastAsia="Times New Roman" w:cs="Times New Roman"/>
                <w:color w:val="000000"/>
                <w:sz w:val="22"/>
                <w:szCs w:val="22"/>
              </w:rPr>
            </w:pPr>
            <w:r>
              <w:rPr>
                <w:rFonts w:eastAsia="Times New Roman" w:cs="Times New Roman" w:ascii="Tinos" w:hAnsi="Tinos"/>
                <w:color w:val="000000"/>
                <w:sz w:val="22"/>
                <w:szCs w:val="22"/>
              </w:rPr>
              <w:t>2</w:t>
            </w:r>
          </w:p>
        </w:tc>
        <w:tc>
          <w:tcPr>
            <w:tcW w:w="91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rPr>
                <w:rFonts w:ascii="Tinos" w:hAnsi="Tinos" w:eastAsia="Times New Roman" w:cs="Times New Roman"/>
                <w:color w:val="000000"/>
                <w:sz w:val="22"/>
                <w:szCs w:val="22"/>
              </w:rPr>
            </w:pPr>
            <w:r>
              <w:rPr>
                <w:rFonts w:eastAsia="Times New Roman" w:cs="Times New Roman" w:ascii="Tinos" w:hAnsi="Tinos"/>
                <w:color w:val="000000"/>
                <w:sz w:val="22"/>
                <w:szCs w:val="22"/>
              </w:rPr>
              <w:t>Мышь компьютерная</w:t>
            </w:r>
          </w:p>
        </w:tc>
        <w:tc>
          <w:tcPr>
            <w:tcW w:w="176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rPr>
                <w:sz w:val="22"/>
                <w:szCs w:val="22"/>
              </w:rPr>
            </w:pPr>
            <w:r>
              <w:rPr>
                <w:sz w:val="22"/>
                <w:szCs w:val="22"/>
              </w:rPr>
              <w:t>26.20.16.170-00000002</w:t>
            </w:r>
          </w:p>
        </w:tc>
        <w:tc>
          <w:tcPr>
            <w:tcW w:w="1563" w:type="dxa"/>
            <w:tcBorders>
              <w:left w:val="single" w:sz="4" w:space="0" w:color="000000"/>
              <w:bottom w:val="single" w:sz="4" w:space="0" w:color="000000"/>
              <w:right w:val="single" w:sz="4" w:space="0" w:color="000000"/>
            </w:tcBorders>
            <w:vAlign w:val="center"/>
          </w:tcPr>
          <w:p>
            <w:pPr>
              <w:pStyle w:val="Standard"/>
              <w:widowControl w:val="false"/>
              <w:shd w:val="clear" w:color="auto" w:fill="FFFFFF"/>
              <w:tabs>
                <w:tab w:val="left" w:pos="284" w:leader="none"/>
                <w:tab w:val="left" w:pos="708" w:leader="none"/>
              </w:tabs>
              <w:spacing w:lineRule="auto" w:line="228" w:before="0" w:after="200"/>
              <w:rPr>
                <w:rFonts w:ascii="Tinos" w:hAnsi="Tinos" w:cs="Times New Roman"/>
                <w:iCs/>
                <w:color w:val="000000"/>
                <w:sz w:val="22"/>
                <w:szCs w:val="22"/>
                <w:lang w:eastAsia="en-US"/>
              </w:rPr>
            </w:pPr>
            <w:r>
              <w:rPr>
                <w:rFonts w:cs="Times New Roman" w:ascii="Tinos" w:hAnsi="Tinos"/>
                <w:iCs/>
                <w:color w:val="000000"/>
                <w:sz w:val="22"/>
                <w:szCs w:val="22"/>
                <w:lang w:eastAsia="en-US"/>
              </w:rPr>
              <w:t>Тип подключения</w:t>
            </w:r>
          </w:p>
        </w:tc>
        <w:tc>
          <w:tcPr>
            <w:tcW w:w="1657" w:type="dxa"/>
            <w:tcBorders>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28" w:before="0" w:after="200"/>
              <w:rPr>
                <w:rFonts w:ascii="Tinos" w:hAnsi="Tinos"/>
                <w:sz w:val="22"/>
                <w:szCs w:val="22"/>
                <w:lang w:eastAsia="en-US"/>
              </w:rPr>
            </w:pPr>
            <w:r>
              <w:rPr>
                <w:rFonts w:ascii="Tinos" w:hAnsi="Tinos"/>
                <w:sz w:val="22"/>
                <w:szCs w:val="22"/>
                <w:lang w:eastAsia="en-US"/>
              </w:rPr>
              <w:t>Проводной</w:t>
            </w:r>
          </w:p>
        </w:tc>
        <w:tc>
          <w:tcPr>
            <w:tcW w:w="1047" w:type="dxa"/>
            <w:tcBorders>
              <w:left w:val="single" w:sz="4" w:space="0" w:color="000000"/>
              <w:bottom w:val="single" w:sz="4" w:space="0" w:color="000000"/>
              <w:right w:val="single" w:sz="4" w:space="0" w:color="000000"/>
            </w:tcBorders>
            <w:shd w:color="auto" w:fill="auto" w:val="clear"/>
            <w:vAlign w:val="center"/>
          </w:tcPr>
          <w:p>
            <w:pPr>
              <w:pStyle w:val="Style23"/>
              <w:widowControl w:val="false"/>
              <w:spacing w:before="0" w:after="200"/>
              <w:rPr>
                <w:rFonts w:ascii="Tinos" w:hAnsi="Tinos"/>
                <w:sz w:val="22"/>
                <w:szCs w:val="22"/>
              </w:rPr>
            </w:pPr>
            <w:r>
              <w:rPr>
                <w:rFonts w:ascii="Tinos" w:hAnsi="Tinos"/>
                <w:sz w:val="22"/>
                <w:szCs w:val="22"/>
              </w:rPr>
            </w:r>
          </w:p>
        </w:tc>
        <w:tc>
          <w:tcPr>
            <w:tcW w:w="3895" w:type="dxa"/>
            <w:tcBorders>
              <w:left w:val="single" w:sz="4" w:space="0" w:color="000000"/>
              <w:bottom w:val="single" w:sz="4" w:space="0" w:color="000000"/>
              <w:right w:val="single" w:sz="4" w:space="0" w:color="000000"/>
            </w:tcBorders>
            <w:shd w:color="auto" w:fill="auto" w:val="clear"/>
            <w:vAlign w:val="center"/>
          </w:tcPr>
          <w:p>
            <w:pPr>
              <w:pStyle w:val="Style23"/>
              <w:widowControl w:val="false"/>
              <w:tabs>
                <w:tab w:val="left" w:pos="284" w:leader="none"/>
                <w:tab w:val="left" w:pos="708" w:leader="none"/>
              </w:tabs>
              <w:spacing w:before="0" w:after="200"/>
              <w:rPr>
                <w:rFonts w:ascii="Tinos" w:hAnsi="Tinos" w:cs="Times New Roman"/>
                <w:b/>
                <w:b/>
                <w:iCs/>
                <w:color w:val="000000"/>
                <w:sz w:val="22"/>
                <w:szCs w:val="22"/>
              </w:rPr>
            </w:pPr>
            <w:r>
              <w:rPr>
                <w:rFonts w:cs="Times New Roman" w:ascii="Tinos" w:hAnsi="Tinos"/>
                <w:b/>
                <w:iCs/>
                <w:color w:val="000000"/>
                <w:sz w:val="22"/>
                <w:szCs w:val="22"/>
              </w:rPr>
              <w:t>Значение характеристики не может изменяться участником закупки</w:t>
            </w:r>
          </w:p>
        </w:tc>
        <w:tc>
          <w:tcPr>
            <w:tcW w:w="2995" w:type="dxa"/>
            <w:tcBorders>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59" w:before="0" w:after="160"/>
              <w:jc w:val="left"/>
              <w:rPr>
                <w:rFonts w:ascii="Tinos" w:hAnsi="Tinos"/>
                <w:sz w:val="22"/>
                <w:szCs w:val="22"/>
              </w:rPr>
            </w:pPr>
            <w:r>
              <w:rPr>
                <w:rFonts w:ascii="Tinos" w:hAnsi="Tinos"/>
                <w:sz w:val="22"/>
                <w:szCs w:val="22"/>
              </w:rPr>
              <w:t>-</w:t>
            </w:r>
          </w:p>
        </w:tc>
      </w:tr>
      <w:tr>
        <w:trPr>
          <w:trHeight w:val="306" w:hRule="atLeast"/>
        </w:trPr>
        <w:tc>
          <w:tcPr>
            <w:tcW w:w="66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pPr>
            <w:r>
              <w:rPr/>
            </w:r>
          </w:p>
        </w:tc>
        <w:tc>
          <w:tcPr>
            <w:tcW w:w="917"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pPr>
            <w:r>
              <w:rPr/>
            </w:r>
          </w:p>
        </w:tc>
        <w:tc>
          <w:tcPr>
            <w:tcW w:w="176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pPr>
            <w:r>
              <w:rPr/>
            </w:r>
          </w:p>
        </w:tc>
        <w:tc>
          <w:tcPr>
            <w:tcW w:w="1563" w:type="dxa"/>
            <w:tcBorders>
              <w:left w:val="single" w:sz="4" w:space="0" w:color="000000"/>
              <w:bottom w:val="single" w:sz="4" w:space="0" w:color="000000"/>
              <w:right w:val="single" w:sz="4" w:space="0" w:color="000000"/>
            </w:tcBorders>
            <w:vAlign w:val="center"/>
          </w:tcPr>
          <w:p>
            <w:pPr>
              <w:pStyle w:val="Style23"/>
              <w:widowControl w:val="false"/>
              <w:spacing w:before="0" w:after="200"/>
              <w:rPr>
                <w:rFonts w:ascii="Tinos" w:hAnsi="Tinos"/>
                <w:sz w:val="22"/>
                <w:szCs w:val="22"/>
              </w:rPr>
            </w:pPr>
            <w:r>
              <w:rPr>
                <w:rFonts w:ascii="Tinos" w:hAnsi="Tinos"/>
                <w:sz w:val="22"/>
                <w:szCs w:val="22"/>
              </w:rPr>
              <w:t>Интерфейс подключения</w:t>
            </w:r>
          </w:p>
        </w:tc>
        <w:tc>
          <w:tcPr>
            <w:tcW w:w="1657" w:type="dxa"/>
            <w:tcBorders>
              <w:left w:val="single" w:sz="4" w:space="0" w:color="000000"/>
              <w:bottom w:val="single" w:sz="4" w:space="0" w:color="000000"/>
              <w:right w:val="single" w:sz="4" w:space="0" w:color="000000"/>
            </w:tcBorders>
            <w:shd w:color="auto" w:fill="auto" w:val="clear"/>
            <w:vAlign w:val="center"/>
          </w:tcPr>
          <w:p>
            <w:pPr>
              <w:pStyle w:val="Style23"/>
              <w:widowControl w:val="false"/>
              <w:spacing w:before="0" w:after="200"/>
              <w:rPr>
                <w:rFonts w:ascii="Tinos" w:hAnsi="Tinos"/>
                <w:sz w:val="22"/>
                <w:szCs w:val="22"/>
              </w:rPr>
            </w:pPr>
            <w:r>
              <w:rPr>
                <w:rFonts w:ascii="Tinos" w:hAnsi="Tinos"/>
                <w:sz w:val="22"/>
                <w:szCs w:val="22"/>
              </w:rPr>
              <w:t>USB</w:t>
            </w:r>
          </w:p>
        </w:tc>
        <w:tc>
          <w:tcPr>
            <w:tcW w:w="1047" w:type="dxa"/>
            <w:tcBorders>
              <w:left w:val="single" w:sz="4" w:space="0" w:color="000000"/>
              <w:bottom w:val="single" w:sz="4" w:space="0" w:color="000000"/>
              <w:right w:val="single" w:sz="4" w:space="0" w:color="000000"/>
            </w:tcBorders>
            <w:shd w:color="auto" w:fill="auto" w:val="clear"/>
            <w:vAlign w:val="center"/>
          </w:tcPr>
          <w:p>
            <w:pPr>
              <w:pStyle w:val="Style23"/>
              <w:widowControl w:val="false"/>
              <w:spacing w:before="0" w:after="200"/>
              <w:rPr>
                <w:rFonts w:ascii="Tinos" w:hAnsi="Tinos"/>
                <w:sz w:val="22"/>
                <w:szCs w:val="22"/>
              </w:rPr>
            </w:pPr>
            <w:r>
              <w:rPr>
                <w:rFonts w:ascii="Tinos" w:hAnsi="Tinos"/>
                <w:sz w:val="22"/>
                <w:szCs w:val="22"/>
              </w:rPr>
            </w:r>
          </w:p>
        </w:tc>
        <w:tc>
          <w:tcPr>
            <w:tcW w:w="3895" w:type="dxa"/>
            <w:tcBorders>
              <w:left w:val="single" w:sz="4" w:space="0" w:color="000000"/>
              <w:bottom w:val="single" w:sz="4" w:space="0" w:color="000000"/>
              <w:right w:val="single" w:sz="4" w:space="0" w:color="000000"/>
            </w:tcBorders>
            <w:shd w:color="auto" w:fill="auto" w:val="clear"/>
            <w:vAlign w:val="center"/>
          </w:tcPr>
          <w:p>
            <w:pPr>
              <w:pStyle w:val="Style23"/>
              <w:widowControl w:val="false"/>
              <w:tabs>
                <w:tab w:val="left" w:pos="284" w:leader="none"/>
                <w:tab w:val="left" w:pos="708" w:leader="none"/>
              </w:tabs>
              <w:spacing w:before="0" w:after="200"/>
              <w:rPr>
                <w:rFonts w:ascii="Tinos" w:hAnsi="Tinos" w:cs="Times New Roman"/>
                <w:b/>
                <w:b/>
                <w:iCs/>
                <w:color w:val="000000"/>
                <w:sz w:val="22"/>
                <w:szCs w:val="22"/>
              </w:rPr>
            </w:pPr>
            <w:r>
              <w:rPr>
                <w:rFonts w:cs="Times New Roman" w:ascii="Tinos" w:hAnsi="Tinos"/>
                <w:b/>
                <w:iCs/>
                <w:color w:val="000000"/>
                <w:sz w:val="22"/>
                <w:szCs w:val="22"/>
              </w:rPr>
              <w:t>Значение характеристики не может изменяться участником закупки</w:t>
            </w:r>
          </w:p>
        </w:tc>
        <w:tc>
          <w:tcPr>
            <w:tcW w:w="2995" w:type="dxa"/>
            <w:tcBorders>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59" w:before="0" w:after="160"/>
              <w:jc w:val="left"/>
              <w:rPr>
                <w:rFonts w:ascii="Tinos" w:hAnsi="Tinos"/>
                <w:sz w:val="22"/>
                <w:szCs w:val="22"/>
              </w:rPr>
            </w:pPr>
            <w:r>
              <w:rPr>
                <w:rFonts w:ascii="Tinos" w:hAnsi="Tinos"/>
                <w:sz w:val="22"/>
                <w:szCs w:val="22"/>
              </w:rPr>
            </w:r>
          </w:p>
        </w:tc>
      </w:tr>
      <w:tr>
        <w:trPr>
          <w:trHeight w:val="306" w:hRule="atLeast"/>
        </w:trPr>
        <w:tc>
          <w:tcPr>
            <w:tcW w:w="66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pPr>
            <w:r>
              <w:rPr/>
            </w:r>
          </w:p>
        </w:tc>
        <w:tc>
          <w:tcPr>
            <w:tcW w:w="917"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pPr>
            <w:r>
              <w:rPr/>
            </w:r>
          </w:p>
        </w:tc>
        <w:tc>
          <w:tcPr>
            <w:tcW w:w="176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pPr>
            <w:r>
              <w:rPr/>
            </w:r>
          </w:p>
        </w:tc>
        <w:tc>
          <w:tcPr>
            <w:tcW w:w="1563" w:type="dxa"/>
            <w:tcBorders>
              <w:left w:val="single" w:sz="4" w:space="0" w:color="000000"/>
              <w:bottom w:val="single" w:sz="4" w:space="0" w:color="000000"/>
              <w:right w:val="single" w:sz="4" w:space="0" w:color="000000"/>
            </w:tcBorders>
            <w:vAlign w:val="center"/>
          </w:tcPr>
          <w:p>
            <w:pPr>
              <w:pStyle w:val="Style23"/>
              <w:widowControl w:val="false"/>
              <w:spacing w:before="0" w:after="200"/>
              <w:rPr>
                <w:rFonts w:ascii="Tinos" w:hAnsi="Tinos"/>
                <w:sz w:val="22"/>
                <w:szCs w:val="22"/>
              </w:rPr>
            </w:pPr>
            <w:r>
              <w:rPr>
                <w:rFonts w:ascii="Tinos" w:hAnsi="Tinos"/>
                <w:sz w:val="22"/>
                <w:szCs w:val="22"/>
              </w:rPr>
              <w:t>Тип сенсора</w:t>
            </w:r>
          </w:p>
        </w:tc>
        <w:tc>
          <w:tcPr>
            <w:tcW w:w="1657" w:type="dxa"/>
            <w:tcBorders>
              <w:left w:val="single" w:sz="4" w:space="0" w:color="000000"/>
              <w:bottom w:val="single" w:sz="4" w:space="0" w:color="000000"/>
              <w:right w:val="single" w:sz="4" w:space="0" w:color="000000"/>
            </w:tcBorders>
            <w:shd w:color="auto" w:fill="auto" w:val="clear"/>
            <w:vAlign w:val="center"/>
          </w:tcPr>
          <w:p>
            <w:pPr>
              <w:pStyle w:val="Style23"/>
              <w:widowControl w:val="false"/>
              <w:spacing w:before="0" w:after="200"/>
              <w:rPr>
                <w:rFonts w:ascii="Tinos" w:hAnsi="Tinos"/>
                <w:sz w:val="22"/>
                <w:szCs w:val="22"/>
              </w:rPr>
            </w:pPr>
            <w:r>
              <w:rPr>
                <w:rFonts w:ascii="Tinos" w:hAnsi="Tinos"/>
                <w:sz w:val="22"/>
                <w:szCs w:val="22"/>
              </w:rPr>
              <w:t>Оптический</w:t>
            </w:r>
          </w:p>
        </w:tc>
        <w:tc>
          <w:tcPr>
            <w:tcW w:w="1047" w:type="dxa"/>
            <w:tcBorders>
              <w:left w:val="single" w:sz="4" w:space="0" w:color="000000"/>
              <w:bottom w:val="single" w:sz="4" w:space="0" w:color="000000"/>
              <w:right w:val="single" w:sz="4" w:space="0" w:color="000000"/>
            </w:tcBorders>
            <w:shd w:color="auto" w:fill="auto" w:val="clear"/>
            <w:vAlign w:val="center"/>
          </w:tcPr>
          <w:p>
            <w:pPr>
              <w:pStyle w:val="Style23"/>
              <w:widowControl w:val="false"/>
              <w:spacing w:before="0" w:after="200"/>
              <w:rPr>
                <w:rFonts w:ascii="Tinos" w:hAnsi="Tinos"/>
                <w:sz w:val="22"/>
                <w:szCs w:val="22"/>
              </w:rPr>
            </w:pPr>
            <w:r>
              <w:rPr>
                <w:rFonts w:ascii="Tinos" w:hAnsi="Tinos"/>
                <w:sz w:val="22"/>
                <w:szCs w:val="22"/>
              </w:rPr>
            </w:r>
          </w:p>
        </w:tc>
        <w:tc>
          <w:tcPr>
            <w:tcW w:w="3895" w:type="dxa"/>
            <w:tcBorders>
              <w:left w:val="single" w:sz="4" w:space="0" w:color="000000"/>
              <w:bottom w:val="single" w:sz="4" w:space="0" w:color="000000"/>
              <w:right w:val="single" w:sz="4" w:space="0" w:color="000000"/>
            </w:tcBorders>
            <w:shd w:color="auto" w:fill="auto" w:val="clear"/>
            <w:vAlign w:val="center"/>
          </w:tcPr>
          <w:p>
            <w:pPr>
              <w:pStyle w:val="Style23"/>
              <w:widowControl w:val="false"/>
              <w:tabs>
                <w:tab w:val="left" w:pos="284" w:leader="none"/>
                <w:tab w:val="left" w:pos="708" w:leader="none"/>
              </w:tabs>
              <w:spacing w:before="0" w:after="200"/>
              <w:rPr>
                <w:rFonts w:ascii="Tinos" w:hAnsi="Tinos" w:cs="Times New Roman"/>
                <w:b/>
                <w:b/>
                <w:iCs/>
                <w:color w:val="000000"/>
                <w:sz w:val="22"/>
                <w:szCs w:val="22"/>
              </w:rPr>
            </w:pPr>
            <w:r>
              <w:rPr>
                <w:rFonts w:cs="Times New Roman" w:ascii="Tinos" w:hAnsi="Tinos"/>
                <w:b/>
                <w:iCs/>
                <w:color w:val="000000"/>
                <w:sz w:val="22"/>
                <w:szCs w:val="22"/>
              </w:rPr>
              <w:t>Значение характеристики не может изменяться участником закупки</w:t>
            </w:r>
          </w:p>
        </w:tc>
        <w:tc>
          <w:tcPr>
            <w:tcW w:w="2995" w:type="dxa"/>
            <w:tcBorders>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59" w:before="0" w:after="160"/>
              <w:jc w:val="left"/>
              <w:rPr>
                <w:rFonts w:ascii="Tinos" w:hAnsi="Tinos"/>
                <w:sz w:val="22"/>
                <w:szCs w:val="22"/>
              </w:rPr>
            </w:pPr>
            <w:r>
              <w:rPr>
                <w:rFonts w:ascii="Tinos" w:hAnsi="Tinos"/>
                <w:sz w:val="22"/>
                <w:szCs w:val="22"/>
              </w:rPr>
            </w:r>
          </w:p>
        </w:tc>
      </w:tr>
      <w:tr>
        <w:trPr>
          <w:trHeight w:val="306" w:hRule="atLeast"/>
        </w:trPr>
        <w:tc>
          <w:tcPr>
            <w:tcW w:w="66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pPr>
            <w:r>
              <w:rPr/>
            </w:r>
          </w:p>
        </w:tc>
        <w:tc>
          <w:tcPr>
            <w:tcW w:w="917"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pPr>
            <w:r>
              <w:rPr/>
            </w:r>
          </w:p>
        </w:tc>
        <w:tc>
          <w:tcPr>
            <w:tcW w:w="176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pPr>
            <w:r>
              <w:rPr/>
            </w:r>
          </w:p>
        </w:tc>
        <w:tc>
          <w:tcPr>
            <w:tcW w:w="1563" w:type="dxa"/>
            <w:tcBorders>
              <w:left w:val="single" w:sz="4" w:space="0" w:color="000000"/>
              <w:bottom w:val="single" w:sz="4" w:space="0" w:color="000000"/>
              <w:right w:val="single" w:sz="4" w:space="0" w:color="000000"/>
            </w:tcBorders>
            <w:vAlign w:val="center"/>
          </w:tcPr>
          <w:p>
            <w:pPr>
              <w:pStyle w:val="Standard"/>
              <w:widowControl w:val="false"/>
              <w:tabs>
                <w:tab w:val="left" w:pos="284" w:leader="none"/>
                <w:tab w:val="left" w:pos="708" w:leader="none"/>
              </w:tabs>
              <w:spacing w:before="0" w:after="200"/>
              <w:rPr>
                <w:rFonts w:ascii="Tinos" w:hAnsi="Tinos" w:cs="Times New Roman"/>
                <w:iCs/>
                <w:color w:val="000000"/>
                <w:sz w:val="22"/>
                <w:szCs w:val="22"/>
              </w:rPr>
            </w:pPr>
            <w:r>
              <w:rPr>
                <w:rFonts w:cs="Times New Roman" w:ascii="Tinos" w:hAnsi="Tinos"/>
                <w:iCs/>
                <w:color w:val="000000"/>
                <w:sz w:val="22"/>
                <w:szCs w:val="22"/>
              </w:rPr>
              <w:t>Длина кабеля</w:t>
            </w:r>
          </w:p>
        </w:tc>
        <w:tc>
          <w:tcPr>
            <w:tcW w:w="1657" w:type="dxa"/>
            <w:tcBorders>
              <w:left w:val="single" w:sz="4" w:space="0" w:color="000000"/>
              <w:bottom w:val="single" w:sz="4" w:space="0" w:color="000000"/>
              <w:right w:val="single" w:sz="4" w:space="0" w:color="000000"/>
            </w:tcBorders>
            <w:shd w:color="auto" w:fill="auto" w:val="clear"/>
            <w:vAlign w:val="center"/>
          </w:tcPr>
          <w:p>
            <w:pPr>
              <w:pStyle w:val="Style23"/>
              <w:widowControl w:val="false"/>
              <w:spacing w:before="0" w:after="200"/>
              <w:rPr>
                <w:rFonts w:ascii="Tinos" w:hAnsi="Tinos" w:eastAsia="Source Han Sans CN Regular" w:cs="Lohit Devanagari"/>
                <w:sz w:val="22"/>
                <w:szCs w:val="22"/>
              </w:rPr>
            </w:pPr>
            <w:r>
              <w:rPr>
                <w:rFonts w:eastAsia="Liberation Serif" w:cs="Liberation Serif" w:ascii="Liberation Serif" w:hAnsi="Liberation Serif"/>
                <w:sz w:val="22"/>
                <w:szCs w:val="22"/>
              </w:rPr>
              <w:t>≥</w:t>
            </w:r>
            <w:r>
              <w:rPr>
                <w:rFonts w:eastAsia="Source Han Sans CN Regular" w:cs="Lohit Devanagari" w:ascii="Tinos" w:hAnsi="Tinos"/>
                <w:sz w:val="22"/>
                <w:szCs w:val="22"/>
              </w:rPr>
              <w:t xml:space="preserve">1 и </w:t>
            </w:r>
            <w:r>
              <w:rPr>
                <w:rFonts w:eastAsia="Source Han Sans CN Regular" w:cs="Lohit Devanagari"/>
                <w:sz w:val="22"/>
                <w:szCs w:val="22"/>
              </w:rPr>
              <w:t>&lt;1.5</w:t>
            </w:r>
          </w:p>
        </w:tc>
        <w:tc>
          <w:tcPr>
            <w:tcW w:w="1047" w:type="dxa"/>
            <w:tcBorders>
              <w:left w:val="single" w:sz="4" w:space="0" w:color="000000"/>
              <w:bottom w:val="single" w:sz="4" w:space="0" w:color="000000"/>
              <w:right w:val="single" w:sz="4" w:space="0" w:color="000000"/>
            </w:tcBorders>
            <w:shd w:color="auto" w:fill="auto" w:val="clear"/>
            <w:vAlign w:val="center"/>
          </w:tcPr>
          <w:p>
            <w:pPr>
              <w:pStyle w:val="Style23"/>
              <w:widowControl w:val="false"/>
              <w:spacing w:before="0" w:after="200"/>
              <w:rPr>
                <w:rFonts w:ascii="Tinos" w:hAnsi="Tinos"/>
                <w:sz w:val="22"/>
                <w:szCs w:val="22"/>
              </w:rPr>
            </w:pPr>
            <w:r>
              <w:rPr>
                <w:rFonts w:ascii="Tinos" w:hAnsi="Tinos"/>
                <w:sz w:val="22"/>
                <w:szCs w:val="22"/>
              </w:rPr>
              <w:t>Метр</w:t>
            </w:r>
          </w:p>
        </w:tc>
        <w:tc>
          <w:tcPr>
            <w:tcW w:w="3895" w:type="dxa"/>
            <w:tcBorders>
              <w:left w:val="single" w:sz="4" w:space="0" w:color="000000"/>
              <w:bottom w:val="single" w:sz="4" w:space="0" w:color="000000"/>
              <w:right w:val="single" w:sz="4" w:space="0" w:color="000000"/>
            </w:tcBorders>
            <w:shd w:color="auto" w:fill="auto" w:val="clear"/>
            <w:vAlign w:val="center"/>
          </w:tcPr>
          <w:p>
            <w:pPr>
              <w:pStyle w:val="Style23"/>
              <w:widowControl w:val="false"/>
              <w:tabs>
                <w:tab w:val="left" w:pos="284" w:leader="none"/>
                <w:tab w:val="left" w:pos="708" w:leader="none"/>
              </w:tabs>
              <w:spacing w:before="0" w:after="200"/>
              <w:rPr>
                <w:rFonts w:ascii="Tinos" w:hAnsi="Tinos" w:cs="Times New Roman"/>
                <w:b/>
                <w:b/>
                <w:iCs/>
                <w:color w:val="000000"/>
                <w:sz w:val="22"/>
                <w:szCs w:val="22"/>
              </w:rPr>
            </w:pPr>
            <w:r>
              <w:rPr>
                <w:rFonts w:cs="Times New Roman" w:ascii="Tinos" w:hAnsi="Tinos"/>
                <w:b/>
                <w:iCs/>
                <w:color w:val="000000"/>
                <w:sz w:val="22"/>
                <w:szCs w:val="22"/>
              </w:rPr>
              <w:t>Участник закупки указывает в заявке конкретное значение характеристики</w:t>
            </w:r>
          </w:p>
        </w:tc>
        <w:tc>
          <w:tcPr>
            <w:tcW w:w="2995" w:type="dxa"/>
            <w:tcBorders>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59" w:before="0" w:after="160"/>
              <w:jc w:val="left"/>
              <w:rPr>
                <w:rFonts w:ascii="Tinos" w:hAnsi="Tinos"/>
                <w:sz w:val="22"/>
                <w:szCs w:val="22"/>
              </w:rPr>
            </w:pPr>
            <w:r>
              <w:rPr>
                <w:rFonts w:ascii="Tinos" w:hAnsi="Tinos"/>
                <w:sz w:val="22"/>
                <w:szCs w:val="22"/>
              </w:rPr>
            </w:r>
          </w:p>
        </w:tc>
      </w:tr>
      <w:tr>
        <w:trPr>
          <w:trHeight w:val="675" w:hRule="atLeast"/>
        </w:trPr>
        <w:tc>
          <w:tcPr>
            <w:tcW w:w="14503" w:type="dxa"/>
            <w:gridSpan w:val="9"/>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rPr>
                <w:sz w:val="22"/>
                <w:szCs w:val="22"/>
              </w:rPr>
            </w:pPr>
            <w:r>
              <w:rPr>
                <w:sz w:val="22"/>
                <w:szCs w:val="22"/>
              </w:rPr>
            </w:r>
          </w:p>
          <w:p>
            <w:pPr>
              <w:pStyle w:val="Standard"/>
              <w:widowControl w:val="false"/>
              <w:rPr>
                <w:rFonts w:ascii="Tinos" w:hAnsi="Tinos" w:eastAsia="Times New Roman" w:cs="Times New Roman"/>
                <w:b/>
                <w:b/>
                <w:bCs/>
                <w:color w:val="000000"/>
                <w:sz w:val="22"/>
                <w:szCs w:val="22"/>
              </w:rPr>
            </w:pPr>
            <w:r>
              <w:rPr>
                <w:rFonts w:eastAsia="Times New Roman" w:cs="Times New Roman" w:ascii="Tinos" w:hAnsi="Tinos"/>
                <w:b/>
                <w:bCs/>
                <w:color w:val="000000"/>
                <w:sz w:val="22"/>
                <w:szCs w:val="22"/>
              </w:rPr>
              <w:t>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w:t>
            </w:r>
          </w:p>
        </w:tc>
      </w:tr>
      <w:tr>
        <w:trPr>
          <w:trHeight w:val="1505" w:hRule="exact"/>
        </w:trPr>
        <w:tc>
          <w:tcPr>
            <w:tcW w:w="14503" w:type="dxa"/>
            <w:gridSpan w:val="9"/>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jc w:val="both"/>
              <w:rPr>
                <w:rFonts w:ascii="Tinos" w:hAnsi="Tinos" w:eastAsia="Times New Roman" w:cs="Times New Roman"/>
                <w:color w:val="000000"/>
                <w:sz w:val="22"/>
                <w:szCs w:val="22"/>
              </w:rPr>
            </w:pPr>
            <w:r>
              <w:rPr>
                <w:rFonts w:eastAsia="Times New Roman" w:cs="Times New Roman" w:ascii="Tinos" w:hAnsi="Tinos"/>
                <w:color w:val="000000"/>
                <w:sz w:val="22"/>
                <w:szCs w:val="22"/>
              </w:rPr>
            </w:r>
          </w:p>
          <w:p>
            <w:pPr>
              <w:pStyle w:val="Standard"/>
              <w:widowControl w:val="false"/>
              <w:jc w:val="both"/>
              <w:rPr>
                <w:rFonts w:ascii="Tinos" w:hAnsi="Tinos"/>
                <w:sz w:val="22"/>
                <w:szCs w:val="22"/>
              </w:rPr>
            </w:pPr>
            <w:r>
              <w:rPr>
                <w:rFonts w:eastAsia="Times New Roman" w:cs="Times New Roman" w:ascii="Tinos" w:hAnsi="Tinos"/>
                <w:color w:val="000000"/>
                <w:sz w:val="22"/>
                <w:szCs w:val="22"/>
              </w:rPr>
              <w:t>Гарантийный срок Поставщика на товар составляет не менее 12 (двенадцати) месяцев с момента подписания документа о приемке. В случае поставки товара, качество которого не соответствует условиям договора, Поставщик обязан заменить его товаром надлежащего качества или восстановить количество (комплектность) партии товара в срок не более 5 (пяти) календарных дней с момента подписания Акта об установленном расхождении по количеству и качеству при приемке товара.</w:t>
            </w:r>
          </w:p>
          <w:p>
            <w:pPr>
              <w:pStyle w:val="Standard"/>
              <w:widowControl w:val="false"/>
              <w:jc w:val="both"/>
              <w:rPr>
                <w:rFonts w:ascii="Tinos" w:hAnsi="Tinos" w:eastAsia="Times New Roman" w:cs="Times New Roman"/>
                <w:color w:val="000000"/>
                <w:sz w:val="22"/>
                <w:szCs w:val="22"/>
              </w:rPr>
            </w:pPr>
            <w:r>
              <w:rPr>
                <w:rFonts w:eastAsia="Times New Roman" w:cs="Times New Roman" w:ascii="Tinos" w:hAnsi="Tinos"/>
                <w:color w:val="000000"/>
                <w:sz w:val="22"/>
                <w:szCs w:val="22"/>
              </w:rPr>
            </w:r>
          </w:p>
        </w:tc>
      </w:tr>
    </w:tbl>
    <w:p>
      <w:pPr>
        <w:pStyle w:val="Standard"/>
        <w:ind w:left="-851" w:firstLine="851"/>
        <w:jc w:val="both"/>
        <w:rPr>
          <w:rFonts w:ascii="Tinos" w:hAnsi="Tinos" w:cs="Times New Roman"/>
          <w:sz w:val="22"/>
          <w:szCs w:val="22"/>
        </w:rPr>
      </w:pPr>
      <w:r>
        <w:rPr>
          <w:rFonts w:cs="Times New Roman" w:ascii="Tinos" w:hAnsi="Tinos"/>
          <w:sz w:val="22"/>
          <w:szCs w:val="22"/>
        </w:rPr>
      </w:r>
    </w:p>
    <w:p>
      <w:pPr>
        <w:pStyle w:val="Standard"/>
        <w:jc w:val="both"/>
        <w:rPr>
          <w:rFonts w:ascii="Tinos" w:hAnsi="Tinos"/>
          <w:sz w:val="22"/>
          <w:szCs w:val="22"/>
        </w:rPr>
      </w:pPr>
      <w:r>
        <w:rPr>
          <w:rFonts w:ascii="Tinos" w:hAnsi="Tinos"/>
          <w:sz w:val="22"/>
          <w:szCs w:val="22"/>
        </w:rPr>
      </w:r>
    </w:p>
    <w:p>
      <w:pPr>
        <w:pStyle w:val="Standard"/>
        <w:jc w:val="both"/>
        <w:rPr>
          <w:rFonts w:ascii="Tinos" w:hAnsi="Tinos"/>
          <w:sz w:val="22"/>
          <w:szCs w:val="22"/>
        </w:rPr>
      </w:pPr>
      <w:r>
        <w:rPr>
          <w:rFonts w:ascii="Tinos" w:hAnsi="Tinos"/>
          <w:sz w:val="22"/>
          <w:szCs w:val="22"/>
        </w:rPr>
        <w:tab/>
        <w:t>Поставка товара осуществляется путем его доставки Государственному заказчику по адресу: Астраханская область, г Астрахань, ул. Тамбовская, 3</w:t>
      </w:r>
    </w:p>
    <w:p>
      <w:pPr>
        <w:pStyle w:val="Standard"/>
        <w:jc w:val="both"/>
        <w:rPr>
          <w:rFonts w:ascii="Tinos" w:hAnsi="Tinos"/>
          <w:sz w:val="22"/>
          <w:szCs w:val="22"/>
        </w:rPr>
      </w:pPr>
      <w:r>
        <w:rPr>
          <w:rFonts w:ascii="Tinos" w:hAnsi="Tinos"/>
          <w:sz w:val="22"/>
          <w:szCs w:val="22"/>
        </w:rPr>
        <w:tab/>
        <w:t>Срок поставки товара: в течение 30 (тридцати) дней с даты заключения контракта. Поставка Товара производится Поставщиком в рабочие дни: с понедельника по четверг с 09.30 ч. до 17.30 ч., в пятницу с 09.30 ч. до 16.30 ч., обеденный перерыв с 13.00 ч. до 13.45 ч. (время местное). Поставщик не менее чем за 1 (один) рабочий день до осуществления поставки Товара уведомляет по телефону 8 (8512) 44-12-55 доб. 169 Государственного заказчика о времени и дате доставки Товара в место поставки. Поставщик осуществляет доставку, погрузку, разгрузку и подъем Товара на этаж своими силами и за свой счет. Поставка товара осуществляется одной партией.</w:t>
      </w:r>
    </w:p>
    <w:p>
      <w:pPr>
        <w:pStyle w:val="Standard"/>
        <w:jc w:val="both"/>
        <w:rPr>
          <w:rFonts w:ascii="Tinos" w:hAnsi="Tinos"/>
          <w:sz w:val="22"/>
          <w:szCs w:val="22"/>
        </w:rPr>
      </w:pPr>
      <w:r>
        <w:rPr>
          <w:rFonts w:ascii="Tinos" w:hAnsi="Tinos"/>
          <w:sz w:val="22"/>
          <w:szCs w:val="22"/>
        </w:rPr>
        <w:tab/>
        <w:t>Требования качеству товара, упаковке и маркировке: Товар должен соответствовать действующим стандартам и нормам по пожарной, санитарной и электрической безопасности, а также электромагнитной совместимости, в соответствии с номенклатурой продукции, в отношении которой законодательными актами Российской Федерации предусмотрена обязательная сертификация с документальным подтверждением, если такие требования установлены действующим законодательством. Товар должен быть новым (товар, который не был в употреблении), в исправном состоянии, без видимых повреждений и скрытых дефектов.</w:t>
      </w:r>
    </w:p>
    <w:p>
      <w:pPr>
        <w:pStyle w:val="Standard"/>
        <w:jc w:val="both"/>
        <w:rPr>
          <w:rFonts w:ascii="Tinos" w:hAnsi="Tinos"/>
          <w:sz w:val="22"/>
          <w:szCs w:val="22"/>
        </w:rPr>
      </w:pPr>
      <w:r>
        <w:rPr>
          <w:rFonts w:ascii="Tinos" w:hAnsi="Tinos"/>
          <w:sz w:val="22"/>
          <w:szCs w:val="22"/>
        </w:rPr>
        <w:tab/>
        <w:t>Поставка товара осуществляется в упаковке, обеспечивающей сохранность товара. Весь товар при отгрузке должен быть должным образом упакован. Упаковка должна обеспечивать сохранность товара при транспортировке и погрузо-разгрузочных работах.</w:t>
      </w:r>
    </w:p>
    <w:p>
      <w:pPr>
        <w:pStyle w:val="Standard"/>
        <w:jc w:val="both"/>
        <w:rPr>
          <w:rFonts w:ascii="Tinos" w:hAnsi="Tinos"/>
          <w:sz w:val="22"/>
          <w:szCs w:val="22"/>
        </w:rPr>
      </w:pPr>
      <w:r>
        <w:rPr>
          <w:rFonts w:ascii="Tinos" w:hAnsi="Tinos"/>
          <w:sz w:val="22"/>
          <w:szCs w:val="22"/>
        </w:rPr>
        <w:tab/>
        <w:t>Требования к документации: Поставщик при передаче товара предоставляет Государственному заказчику необходимые для данного вида товара документы: сертификат качества, паспорта и другие документы предусмотренные законодательством Российской Федерации (при наличии).</w:t>
      </w:r>
    </w:p>
    <w:p>
      <w:pPr>
        <w:pStyle w:val="Standard"/>
        <w:jc w:val="both"/>
        <w:rPr>
          <w:rFonts w:ascii="Tinos" w:hAnsi="Tinos"/>
          <w:sz w:val="22"/>
          <w:szCs w:val="22"/>
        </w:rPr>
      </w:pPr>
      <w:r>
        <w:rPr>
          <w:rFonts w:cs="Times New Roman" w:ascii="Tinos" w:hAnsi="Tinos"/>
          <w:color w:val="000000"/>
          <w:sz w:val="22"/>
          <w:szCs w:val="22"/>
        </w:rPr>
        <w:tab/>
        <w:t xml:space="preserve">Прочие требования: Каждая единица поставляемого товара должна быть новой, не бывшей в употреблении, оригинальной от производителя, </w:t>
      </w:r>
      <w:r>
        <w:rPr>
          <w:rFonts w:eastAsia="Calibri" w:cs="Times New Roman" w:ascii="Tinos" w:hAnsi="Tinos"/>
          <w:color w:val="000000"/>
          <w:sz w:val="22"/>
          <w:szCs w:val="22"/>
        </w:rPr>
        <w:t>не ранее 2025 года выпуска</w:t>
      </w:r>
      <w:r>
        <w:rPr>
          <w:rFonts w:cs="Times New Roman" w:ascii="Tinos" w:hAnsi="Tinos"/>
          <w:color w:val="000000"/>
          <w:sz w:val="22"/>
          <w:szCs w:val="22"/>
        </w:rPr>
        <w:t>. Упаковка должна обеспечивать сохранность товара при транспортировке, погрузо-разгрузочных работах к конечному месту доставки и при последующем хранении. Поставляемые товары должны быть изготовлены в соответствии со стандартами, показателями и параметрами, утвержденными по каждому виду товара. Качество товара должно соответствовать требованиям ГОСТов, технических регламентов, иным нормативным документам по стандартизации и другим актам законодательства.</w:t>
      </w:r>
    </w:p>
    <w:p>
      <w:pPr>
        <w:pStyle w:val="Standard"/>
        <w:jc w:val="both"/>
        <w:rPr>
          <w:rFonts w:ascii="Tinos" w:hAnsi="Tinos" w:cs="Times New Roman"/>
          <w:color w:val="000000"/>
          <w:sz w:val="22"/>
          <w:szCs w:val="22"/>
        </w:rPr>
      </w:pPr>
      <w:r>
        <w:rPr>
          <w:rFonts w:cs="Times New Roman" w:ascii="Tinos" w:hAnsi="Tinos"/>
          <w:color w:val="000000"/>
          <w:sz w:val="22"/>
          <w:szCs w:val="22"/>
        </w:rPr>
        <w:tab/>
        <w:t>Убытки, возникшие в связи с заменой товара, несет Поставщик.</w:t>
      </w:r>
    </w:p>
    <w:p>
      <w:pPr>
        <w:pStyle w:val="Standard"/>
        <w:ind w:left="-851" w:firstLine="851"/>
        <w:jc w:val="both"/>
        <w:rPr>
          <w:rFonts w:ascii="Tinos" w:hAnsi="Tinos" w:cs="Times New Roman"/>
          <w:color w:val="000000"/>
          <w:sz w:val="22"/>
          <w:szCs w:val="22"/>
        </w:rPr>
      </w:pPr>
      <w:r>
        <w:rPr>
          <w:rFonts w:cs="Times New Roman" w:ascii="Tinos" w:hAnsi="Tinos"/>
          <w:color w:val="000000"/>
          <w:sz w:val="22"/>
          <w:szCs w:val="22"/>
        </w:rPr>
        <w:tab/>
        <w:t>Возврат товара ненадлежащего качества осуществляется силами и средствами Поставщика.</w:t>
      </w:r>
    </w:p>
    <w:p>
      <w:pPr>
        <w:pStyle w:val="Standard"/>
        <w:jc w:val="both"/>
        <w:rPr>
          <w:rFonts w:ascii="Tinos" w:hAnsi="Tinos"/>
          <w:b/>
          <w:b/>
          <w:bCs/>
          <w:sz w:val="22"/>
          <w:szCs w:val="22"/>
        </w:rPr>
      </w:pPr>
      <w:r>
        <w:rPr>
          <w:rFonts w:ascii="Tinos" w:hAnsi="Tinos"/>
          <w:b/>
          <w:bCs/>
          <w:sz w:val="22"/>
          <w:szCs w:val="22"/>
        </w:rPr>
        <w:tab/>
        <w:t>Товар должен соответствовать Постановлению Правительства РФ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pPr>
        <w:pStyle w:val="Normal"/>
        <w:spacing w:lineRule="auto" w:line="259" w:before="0" w:after="0"/>
        <w:ind w:firstLine="737"/>
        <w:jc w:val="both"/>
        <w:rPr>
          <w:rFonts w:ascii="Times New Roman" w:hAnsi="Times New Roman"/>
          <w:color w:val="000000"/>
        </w:rPr>
      </w:pPr>
      <w:r>
        <w:rPr>
          <w:rFonts w:ascii="Times New Roman" w:hAnsi="Times New Roman"/>
          <w:color w:val="000000"/>
        </w:rPr>
      </w:r>
    </w:p>
    <w:p>
      <w:pPr>
        <w:pStyle w:val="Normal"/>
        <w:spacing w:lineRule="auto" w:line="259" w:before="0" w:after="0"/>
        <w:ind w:firstLine="737"/>
        <w:jc w:val="both"/>
        <w:rPr>
          <w:rFonts w:ascii="Times New Roman" w:hAnsi="Times New Roman"/>
          <w:color w:val="000000"/>
        </w:rPr>
      </w:pPr>
      <w:r>
        <w:rPr>
          <w:rFonts w:ascii="Times New Roman" w:hAnsi="Times New Roman"/>
          <w:color w:val="000000"/>
        </w:rPr>
      </w:r>
    </w:p>
    <w:p>
      <w:pPr>
        <w:pStyle w:val="Normal"/>
        <w:spacing w:lineRule="auto" w:line="259" w:before="0" w:after="0"/>
        <w:ind w:firstLine="737"/>
        <w:jc w:val="both"/>
        <w:rPr>
          <w:rFonts w:ascii="Times New Roman" w:hAnsi="Times New Roman"/>
          <w:color w:val="000000"/>
        </w:rPr>
      </w:pPr>
      <w:r>
        <w:rPr>
          <w:rFonts w:ascii="Times New Roman" w:hAnsi="Times New Roman"/>
          <w:color w:val="000000"/>
        </w:rPr>
      </w:r>
    </w:p>
    <w:p>
      <w:pPr>
        <w:pStyle w:val="Normal"/>
        <w:spacing w:lineRule="auto" w:line="259" w:before="0" w:after="0"/>
        <w:ind w:firstLine="737"/>
        <w:jc w:val="both"/>
        <w:rPr>
          <w:rFonts w:ascii="Times New Roman" w:hAnsi="Times New Roman"/>
          <w:color w:val="000000"/>
        </w:rPr>
      </w:pPr>
      <w:r>
        <w:rPr>
          <w:rFonts w:ascii="Times New Roman" w:hAnsi="Times New Roman"/>
          <w:color w:val="000000"/>
        </w:rPr>
      </w:r>
    </w:p>
    <w:tbl>
      <w:tblPr>
        <w:tblW w:w="14921" w:type="dxa"/>
        <w:jc w:val="left"/>
        <w:tblInd w:w="158" w:type="dxa"/>
        <w:tblLayout w:type="fixed"/>
        <w:tblCellMar>
          <w:top w:w="0" w:type="dxa"/>
          <w:left w:w="108" w:type="dxa"/>
          <w:bottom w:w="0" w:type="dxa"/>
          <w:right w:w="108" w:type="dxa"/>
        </w:tblCellMar>
        <w:tblLook w:noVBand="0" w:val="01e0" w:noHBand="0" w:lastColumn="1" w:firstColumn="1" w:lastRow="1" w:firstRow="1"/>
      </w:tblPr>
      <w:tblGrid>
        <w:gridCol w:w="7469"/>
        <w:gridCol w:w="7451"/>
      </w:tblGrid>
      <w:tr>
        <w:trPr>
          <w:trHeight w:val="741" w:hRule="atLeast"/>
        </w:trPr>
        <w:tc>
          <w:tcPr>
            <w:tcW w:w="7469" w:type="dxa"/>
            <w:tcBorders/>
          </w:tcPr>
          <w:p>
            <w:pPr>
              <w:pStyle w:val="NoSpacing"/>
              <w:widowControl w:val="false"/>
              <w:rPr/>
            </w:pPr>
            <w:r>
              <w:rPr>
                <w:rFonts w:ascii="Times New Roman" w:hAnsi="Times New Roman"/>
              </w:rPr>
              <w:t>Государственный заказчик:</w:t>
            </w:r>
          </w:p>
          <w:p>
            <w:pPr>
              <w:pStyle w:val="Normal"/>
              <w:widowControl w:val="false"/>
              <w:spacing w:before="0" w:after="0"/>
              <w:rPr>
                <w:rFonts w:ascii="Times New Roman" w:hAnsi="Times New Roman"/>
              </w:rPr>
            </w:pPr>
            <w:r>
              <w:rPr>
                <w:rFonts w:ascii="Times New Roman" w:hAnsi="Times New Roman"/>
              </w:rPr>
            </w:r>
          </w:p>
          <w:p>
            <w:pPr>
              <w:pStyle w:val="NoSpacing"/>
              <w:widowControl w:val="false"/>
              <w:rPr/>
            </w:pPr>
            <w:r>
              <w:rPr>
                <w:rFonts w:eastAsia="Calibri" w:ascii="Times New Roman" w:hAnsi="Times New Roman"/>
              </w:rPr>
              <w:t>______________________ / __________________________  /</w:t>
            </w:r>
          </w:p>
        </w:tc>
        <w:tc>
          <w:tcPr>
            <w:tcW w:w="7451" w:type="dxa"/>
            <w:tcBorders/>
          </w:tcPr>
          <w:p>
            <w:pPr>
              <w:pStyle w:val="NoSpacing"/>
              <w:widowControl w:val="false"/>
              <w:rPr/>
            </w:pPr>
            <w:r>
              <w:rPr>
                <w:rFonts w:ascii="Times New Roman" w:hAnsi="Times New Roman"/>
              </w:rPr>
              <w:t>Поставщик:</w:t>
            </w:r>
          </w:p>
          <w:p>
            <w:pPr>
              <w:pStyle w:val="NoSpacing"/>
              <w:widowControl w:val="false"/>
              <w:rPr>
                <w:rFonts w:ascii="Times New Roman" w:hAnsi="Times New Roman"/>
              </w:rPr>
            </w:pPr>
            <w:r>
              <w:rPr>
                <w:rFonts w:ascii="Times New Roman" w:hAnsi="Times New Roman"/>
              </w:rPr>
            </w:r>
          </w:p>
          <w:p>
            <w:pPr>
              <w:pStyle w:val="NoSpacing"/>
              <w:widowControl w:val="false"/>
              <w:rPr/>
            </w:pPr>
            <w:r>
              <w:rPr>
                <w:rFonts w:eastAsia="Calibri" w:ascii="Times New Roman" w:hAnsi="Times New Roman"/>
              </w:rPr>
              <w:t>______________________ / __________________________  /</w:t>
            </w:r>
          </w:p>
        </w:tc>
      </w:tr>
    </w:tbl>
    <w:p>
      <w:pPr>
        <w:pStyle w:val="Normal"/>
        <w:spacing w:before="0" w:after="200"/>
        <w:jc w:val="center"/>
        <w:rPr/>
      </w:pPr>
      <w:r>
        <w:rPr/>
      </w:r>
    </w:p>
    <w:sectPr>
      <w:type w:val="nextPage"/>
      <w:pgSz w:orient="landscape" w:w="16838" w:h="11906"/>
      <w:pgMar w:left="1134" w:right="1134" w:gutter="0" w:header="0" w:top="426" w:footer="0" w:bottom="850"/>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Arial">
    <w:charset w:val="01"/>
    <w:family w:val="roman"/>
    <w:pitch w:val="default"/>
  </w:font>
  <w:font w:name="Tahoma">
    <w:charset w:val="01"/>
    <w:family w:val="roman"/>
    <w:pitch w:val="default"/>
  </w:font>
  <w:font w:name="LiberationSerif">
    <w:altName w:val="Times New Roman"/>
    <w:charset w:val="01"/>
    <w:family w:val="roman"/>
    <w:pitch w:val="default"/>
  </w:font>
  <w:font w:name="PT Astra Serif">
    <w:charset w:val="01"/>
    <w:family w:val="roman"/>
    <w:pitch w:val="default"/>
  </w:font>
  <w:font w:name="Liberation Sans">
    <w:altName w:val="Arial"/>
    <w:charset w:val="01"/>
    <w:family w:val="roman"/>
    <w:pitch w:val="default"/>
  </w:font>
  <w:font w:name="Courier New">
    <w:charset w:val="01"/>
    <w:family w:val="roman"/>
    <w:pitch w:val="default"/>
  </w:font>
  <w:font w:name="Tinos">
    <w:charset w:val="01"/>
    <w:family w:val="roman"/>
    <w:pitch w:val="default"/>
  </w:font>
  <w:font w:name="Liberation Serif">
    <w:altName w:val="Times New Roman"/>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upperRoman"/>
      <w:lvlText w:val="Статья %1."/>
      <w:lvlJc w:val="left"/>
      <w:pPr>
        <w:tabs>
          <w:tab w:val="num" w:pos="1800"/>
        </w:tabs>
        <w:ind w:left="0" w:hanging="0"/>
      </w:pPr>
    </w:lvl>
    <w:lvl w:ilvl="1">
      <w:start w:val="1"/>
      <w:pStyle w:val="2"/>
      <w:numFmt w:val="decimalZero"/>
      <w:lvlText w:val="Раздел %1.%2"/>
      <w:lvlJc w:val="left"/>
      <w:pPr>
        <w:tabs>
          <w:tab w:val="num" w:pos="1440"/>
        </w:tabs>
        <w:ind w:left="0" w:hanging="0"/>
      </w:pPr>
    </w:lvl>
    <w:lvl w:ilvl="2">
      <w:start w:val="1"/>
      <w:pStyle w:val="3"/>
      <w:numFmt w:val="lowerLetter"/>
      <w:lvlText w:val="(%3)"/>
      <w:lvlJc w:val="left"/>
      <w:pPr>
        <w:tabs>
          <w:tab w:val="num" w:pos="720"/>
        </w:tabs>
        <w:ind w:left="720" w:hanging="432"/>
      </w:pPr>
    </w:lvl>
    <w:lvl w:ilvl="3">
      <w:start w:val="1"/>
      <w:pStyle w:val="4"/>
      <w:numFmt w:val="lowerRoman"/>
      <w:lvlText w:val="(%4)"/>
      <w:lvlJc w:val="right"/>
      <w:pPr>
        <w:tabs>
          <w:tab w:val="num" w:pos="864"/>
        </w:tabs>
        <w:ind w:left="864" w:hanging="144"/>
      </w:pPr>
    </w:lvl>
    <w:lvl w:ilvl="4">
      <w:start w:val="1"/>
      <w:pStyle w:val="5"/>
      <w:numFmt w:val="decimal"/>
      <w:lvlText w:val="%5)"/>
      <w:lvlJc w:val="left"/>
      <w:pPr>
        <w:tabs>
          <w:tab w:val="num" w:pos="1008"/>
        </w:tabs>
        <w:ind w:left="1008" w:hanging="432"/>
      </w:pPr>
    </w:lvl>
    <w:lvl w:ilvl="5">
      <w:start w:val="1"/>
      <w:pStyle w:val="6"/>
      <w:numFmt w:val="lowerLetter"/>
      <w:lvlText w:val="%6)"/>
      <w:lvlJc w:val="left"/>
      <w:pPr>
        <w:tabs>
          <w:tab w:val="num" w:pos="1152"/>
        </w:tabs>
        <w:ind w:left="1152" w:hanging="432"/>
      </w:pPr>
    </w:lvl>
    <w:lvl w:ilvl="6">
      <w:start w:val="1"/>
      <w:pStyle w:val="7"/>
      <w:numFmt w:val="lowerRoman"/>
      <w:lvlText w:val="%7)"/>
      <w:lvlJc w:val="right"/>
      <w:pPr>
        <w:tabs>
          <w:tab w:val="num" w:pos="1296"/>
        </w:tabs>
        <w:ind w:left="1296" w:hanging="288"/>
      </w:pPr>
    </w:lvl>
    <w:lvl w:ilvl="7">
      <w:start w:val="1"/>
      <w:pStyle w:val="8"/>
      <w:numFmt w:val="lowerLetter"/>
      <w:lvlText w:val="%8."/>
      <w:lvlJc w:val="left"/>
      <w:pPr>
        <w:tabs>
          <w:tab w:val="num" w:pos="1440"/>
        </w:tabs>
        <w:ind w:left="1440" w:hanging="432"/>
      </w:pPr>
    </w:lvl>
    <w:lvl w:ilvl="8">
      <w:start w:val="1"/>
      <w:pStyle w:val="9"/>
      <w:numFmt w:val="lowerRoman"/>
      <w:lvlText w:val="%9."/>
      <w:lvlJc w:val="right"/>
      <w:pPr>
        <w:tabs>
          <w:tab w:val="num" w:pos="1584"/>
        </w:tabs>
        <w:ind w:left="1584" w:hanging="144"/>
      </w:pPr>
    </w:lvl>
  </w:abstractNum>
  <w:abstractNum w:abstractNumId="2">
    <w:lvl w:ilvl="0">
      <w:start w:val="1"/>
      <w:numFmt w:val="decimal"/>
      <w:lvlText w:val="%1."/>
      <w:lvlJc w:val="left"/>
      <w:pPr>
        <w:tabs>
          <w:tab w:val="num" w:pos="0"/>
        </w:tabs>
        <w:ind w:left="720" w:hanging="360"/>
      </w:pPr>
    </w:lvl>
    <w:lvl w:ilvl="1">
      <w:start w:val="1"/>
      <w:numFmt w:val="decimal"/>
      <w:lvlText w:val="%1.%2."/>
      <w:lvlJc w:val="left"/>
      <w:pPr>
        <w:tabs>
          <w:tab w:val="num" w:pos="0"/>
        </w:tabs>
        <w:ind w:left="2125" w:hanging="1416"/>
      </w:pPr>
    </w:lvl>
    <w:lvl w:ilvl="2">
      <w:start w:val="1"/>
      <w:numFmt w:val="decimal"/>
      <w:lvlText w:val="%1.%2.%3."/>
      <w:lvlJc w:val="left"/>
      <w:pPr>
        <w:tabs>
          <w:tab w:val="num" w:pos="0"/>
        </w:tabs>
        <w:ind w:left="2474" w:hanging="1416"/>
      </w:pPr>
    </w:lvl>
    <w:lvl w:ilvl="3">
      <w:start w:val="1"/>
      <w:numFmt w:val="decimal"/>
      <w:lvlText w:val="%1.%2.%3.%4."/>
      <w:lvlJc w:val="left"/>
      <w:pPr>
        <w:tabs>
          <w:tab w:val="num" w:pos="0"/>
        </w:tabs>
        <w:ind w:left="2823" w:hanging="1416"/>
      </w:pPr>
    </w:lvl>
    <w:lvl w:ilvl="4">
      <w:start w:val="1"/>
      <w:numFmt w:val="decimal"/>
      <w:lvlText w:val="%1.%2.%3.%4.%5."/>
      <w:lvlJc w:val="left"/>
      <w:pPr>
        <w:tabs>
          <w:tab w:val="num" w:pos="0"/>
        </w:tabs>
        <w:ind w:left="3172" w:hanging="1416"/>
      </w:pPr>
    </w:lvl>
    <w:lvl w:ilvl="5">
      <w:start w:val="1"/>
      <w:numFmt w:val="decimal"/>
      <w:lvlText w:val="%1.%2.%3.%4.%5.%6."/>
      <w:lvlJc w:val="left"/>
      <w:pPr>
        <w:tabs>
          <w:tab w:val="num" w:pos="0"/>
        </w:tabs>
        <w:ind w:left="3521" w:hanging="1416"/>
      </w:pPr>
    </w:lvl>
    <w:lvl w:ilvl="6">
      <w:start w:val="1"/>
      <w:numFmt w:val="decimal"/>
      <w:lvlText w:val="%1.%2.%3.%4.%5.%6.%7."/>
      <w:lvlJc w:val="left"/>
      <w:pPr>
        <w:tabs>
          <w:tab w:val="num" w:pos="0"/>
        </w:tabs>
        <w:ind w:left="3894" w:hanging="1440"/>
      </w:pPr>
    </w:lvl>
    <w:lvl w:ilvl="7">
      <w:start w:val="1"/>
      <w:numFmt w:val="decimal"/>
      <w:lvlText w:val="%1.%2.%3.%4.%5.%6.%7.%8."/>
      <w:lvlJc w:val="left"/>
      <w:pPr>
        <w:tabs>
          <w:tab w:val="num" w:pos="0"/>
        </w:tabs>
        <w:ind w:left="4243" w:hanging="1440"/>
      </w:pPr>
    </w:lvl>
    <w:lvl w:ilvl="8">
      <w:start w:val="1"/>
      <w:numFmt w:val="decimal"/>
      <w:lvlText w:val="%1.%2.%3.%4.%5.%6.%7.%8.%9."/>
      <w:lvlJc w:val="left"/>
      <w:pPr>
        <w:tabs>
          <w:tab w:val="num" w:pos="0"/>
        </w:tabs>
        <w:ind w:left="4952" w:hanging="1800"/>
      </w:pPr>
    </w:lvl>
  </w:abstractNum>
  <w:num w:numId="1">
    <w:abstractNumId w:val="1"/>
  </w:num>
  <w:num w:numId="2">
    <w:abstractNumId w:val="2"/>
  </w:num>
</w:numbering>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b18b2"/>
    <w:pPr>
      <w:widowControl/>
      <w:suppressAutoHyphens w:val="true"/>
      <w:bidi w:val="0"/>
      <w:spacing w:lineRule="auto" w:line="276" w:before="0" w:after="20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1">
    <w:name w:val="Heading 1"/>
    <w:basedOn w:val="Normal"/>
    <w:next w:val="Normal"/>
    <w:uiPriority w:val="99"/>
    <w:qFormat/>
    <w:rsid w:val="009b18b2"/>
    <w:pPr>
      <w:keepNext w:val="true"/>
      <w:numPr>
        <w:ilvl w:val="0"/>
        <w:numId w:val="1"/>
      </w:numPr>
      <w:spacing w:lineRule="auto" w:line="240" w:before="0" w:after="0"/>
      <w:jc w:val="right"/>
      <w:outlineLvl w:val="0"/>
    </w:pPr>
    <w:rPr>
      <w:rFonts w:ascii="Times New Roman" w:hAnsi="Times New Roman" w:eastAsia="Times New Roman"/>
      <w:sz w:val="28"/>
      <w:szCs w:val="28"/>
      <w:lang w:eastAsia="ru-RU"/>
    </w:rPr>
  </w:style>
  <w:style w:type="paragraph" w:styleId="2">
    <w:name w:val="Heading 2"/>
    <w:basedOn w:val="Normal"/>
    <w:next w:val="Normal"/>
    <w:uiPriority w:val="99"/>
    <w:qFormat/>
    <w:rsid w:val="009b18b2"/>
    <w:pPr>
      <w:keepNext w:val="true"/>
      <w:numPr>
        <w:ilvl w:val="1"/>
        <w:numId w:val="1"/>
      </w:numPr>
      <w:spacing w:lineRule="auto" w:line="240" w:before="0" w:after="0"/>
      <w:outlineLvl w:val="1"/>
    </w:pPr>
    <w:rPr>
      <w:rFonts w:ascii="Times New Roman" w:hAnsi="Times New Roman" w:eastAsia="Times New Roman"/>
      <w:sz w:val="24"/>
      <w:szCs w:val="24"/>
      <w:lang w:eastAsia="ru-RU"/>
    </w:rPr>
  </w:style>
  <w:style w:type="paragraph" w:styleId="3">
    <w:name w:val="Heading 3"/>
    <w:basedOn w:val="Normal"/>
    <w:next w:val="Normal"/>
    <w:uiPriority w:val="99"/>
    <w:qFormat/>
    <w:rsid w:val="009b18b2"/>
    <w:pPr>
      <w:keepNext w:val="true"/>
      <w:numPr>
        <w:ilvl w:val="2"/>
        <w:numId w:val="1"/>
      </w:numPr>
      <w:spacing w:lineRule="auto" w:line="240" w:before="0" w:after="0"/>
      <w:outlineLvl w:val="2"/>
    </w:pPr>
    <w:rPr>
      <w:rFonts w:ascii="Times New Roman" w:hAnsi="Times New Roman" w:eastAsia="Times New Roman"/>
      <w:sz w:val="24"/>
      <w:szCs w:val="24"/>
      <w:lang w:eastAsia="ru-RU"/>
    </w:rPr>
  </w:style>
  <w:style w:type="paragraph" w:styleId="4">
    <w:name w:val="Heading 4"/>
    <w:basedOn w:val="Normal"/>
    <w:next w:val="Normal"/>
    <w:uiPriority w:val="99"/>
    <w:qFormat/>
    <w:rsid w:val="009b18b2"/>
    <w:pPr>
      <w:keepNext w:val="true"/>
      <w:numPr>
        <w:ilvl w:val="3"/>
        <w:numId w:val="1"/>
      </w:numPr>
      <w:spacing w:lineRule="auto" w:line="240" w:before="0" w:after="0"/>
      <w:outlineLvl w:val="3"/>
    </w:pPr>
    <w:rPr>
      <w:rFonts w:ascii="Times New Roman" w:hAnsi="Times New Roman" w:eastAsia="Times New Roman"/>
      <w:sz w:val="28"/>
      <w:szCs w:val="28"/>
      <w:lang w:eastAsia="ru-RU"/>
    </w:rPr>
  </w:style>
  <w:style w:type="paragraph" w:styleId="5">
    <w:name w:val="Heading 5"/>
    <w:basedOn w:val="Normal"/>
    <w:next w:val="Normal"/>
    <w:uiPriority w:val="99"/>
    <w:qFormat/>
    <w:rsid w:val="009b18b2"/>
    <w:pPr>
      <w:keepNext w:val="true"/>
      <w:numPr>
        <w:ilvl w:val="4"/>
        <w:numId w:val="1"/>
      </w:numPr>
      <w:spacing w:lineRule="auto" w:line="240" w:before="240" w:after="120"/>
      <w:jc w:val="center"/>
      <w:outlineLvl w:val="4"/>
    </w:pPr>
    <w:rPr>
      <w:rFonts w:ascii="Times New Roman" w:hAnsi="Times New Roman" w:eastAsia="Times New Roman"/>
      <w:b/>
      <w:bCs/>
      <w:sz w:val="20"/>
      <w:szCs w:val="20"/>
      <w:lang w:eastAsia="ru-RU"/>
    </w:rPr>
  </w:style>
  <w:style w:type="paragraph" w:styleId="6">
    <w:name w:val="Heading 6"/>
    <w:basedOn w:val="Normal"/>
    <w:next w:val="Normal"/>
    <w:uiPriority w:val="99"/>
    <w:qFormat/>
    <w:rsid w:val="009b18b2"/>
    <w:pPr>
      <w:keepNext w:val="true"/>
      <w:numPr>
        <w:ilvl w:val="5"/>
        <w:numId w:val="1"/>
      </w:numPr>
      <w:spacing w:lineRule="auto" w:line="240" w:before="0" w:after="0"/>
      <w:outlineLvl w:val="5"/>
    </w:pPr>
    <w:rPr>
      <w:rFonts w:ascii="Times New Roman" w:hAnsi="Times New Roman" w:eastAsia="Times New Roman"/>
      <w:sz w:val="24"/>
      <w:szCs w:val="24"/>
      <w:lang w:eastAsia="ru-RU"/>
    </w:rPr>
  </w:style>
  <w:style w:type="paragraph" w:styleId="7">
    <w:name w:val="Heading 7"/>
    <w:basedOn w:val="Normal"/>
    <w:next w:val="Normal"/>
    <w:uiPriority w:val="99"/>
    <w:qFormat/>
    <w:rsid w:val="009b18b2"/>
    <w:pPr>
      <w:keepNext w:val="true"/>
      <w:numPr>
        <w:ilvl w:val="6"/>
        <w:numId w:val="1"/>
      </w:numPr>
      <w:spacing w:lineRule="auto" w:line="240" w:before="0" w:after="0"/>
      <w:jc w:val="center"/>
      <w:outlineLvl w:val="6"/>
    </w:pPr>
    <w:rPr>
      <w:rFonts w:ascii="Times New Roman" w:hAnsi="Times New Roman" w:eastAsia="Times New Roman"/>
      <w:sz w:val="24"/>
      <w:szCs w:val="24"/>
      <w:lang w:eastAsia="ru-RU"/>
    </w:rPr>
  </w:style>
  <w:style w:type="paragraph" w:styleId="8">
    <w:name w:val="Heading 8"/>
    <w:basedOn w:val="Normal"/>
    <w:next w:val="Normal"/>
    <w:uiPriority w:val="99"/>
    <w:qFormat/>
    <w:rsid w:val="009b18b2"/>
    <w:pPr>
      <w:keepNext w:val="true"/>
      <w:numPr>
        <w:ilvl w:val="7"/>
        <w:numId w:val="1"/>
      </w:numPr>
      <w:spacing w:lineRule="auto" w:line="240" w:before="0" w:after="0"/>
      <w:jc w:val="center"/>
      <w:outlineLvl w:val="7"/>
    </w:pPr>
    <w:rPr>
      <w:rFonts w:ascii="Times New Roman" w:hAnsi="Times New Roman" w:eastAsia="Times New Roman"/>
      <w:b/>
      <w:bCs/>
      <w:sz w:val="24"/>
      <w:szCs w:val="24"/>
      <w:lang w:eastAsia="ru-RU"/>
    </w:rPr>
  </w:style>
  <w:style w:type="paragraph" w:styleId="9">
    <w:name w:val="Heading 9"/>
    <w:basedOn w:val="Normal"/>
    <w:next w:val="Normal"/>
    <w:uiPriority w:val="99"/>
    <w:qFormat/>
    <w:rsid w:val="009b18b2"/>
    <w:pPr>
      <w:keepNext w:val="true"/>
      <w:numPr>
        <w:ilvl w:val="8"/>
        <w:numId w:val="1"/>
      </w:numPr>
      <w:spacing w:lineRule="auto" w:line="240" w:before="240" w:after="120"/>
      <w:jc w:val="center"/>
      <w:outlineLvl w:val="8"/>
    </w:pPr>
    <w:rPr>
      <w:rFonts w:ascii="Times New Roman" w:hAnsi="Times New Roman" w:eastAsia="Times New Roman"/>
      <w:b/>
      <w:bCs/>
      <w:sz w:val="28"/>
      <w:szCs w:val="28"/>
      <w:lang w:eastAsia="ru-RU"/>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uiPriority w:val="99"/>
    <w:qFormat/>
    <w:rsid w:val="009b18b2"/>
    <w:rPr>
      <w:rFonts w:ascii="Times New Roman" w:hAnsi="Times New Roman" w:eastAsia="Times New Roman" w:cs="Times New Roman"/>
      <w:sz w:val="28"/>
      <w:szCs w:val="28"/>
      <w:lang w:eastAsia="ru-RU"/>
    </w:rPr>
  </w:style>
  <w:style w:type="character" w:styleId="21" w:customStyle="1">
    <w:name w:val="Основной текст с отступом 2 Знак1"/>
    <w:basedOn w:val="DefaultParagraphFont"/>
    <w:link w:val="20"/>
    <w:uiPriority w:val="99"/>
    <w:qFormat/>
    <w:rsid w:val="009b18b2"/>
    <w:rPr>
      <w:rFonts w:ascii="Times New Roman" w:hAnsi="Times New Roman" w:eastAsia="Times New Roman" w:cs="Times New Roman"/>
      <w:sz w:val="24"/>
      <w:szCs w:val="24"/>
      <w:lang w:eastAsia="ru-RU"/>
    </w:rPr>
  </w:style>
  <w:style w:type="character" w:styleId="31" w:customStyle="1">
    <w:name w:val="Основной текст с отступом 3 Знак1"/>
    <w:basedOn w:val="DefaultParagraphFont"/>
    <w:link w:val="30"/>
    <w:uiPriority w:val="99"/>
    <w:qFormat/>
    <w:rsid w:val="009b18b2"/>
    <w:rPr>
      <w:rFonts w:ascii="Times New Roman" w:hAnsi="Times New Roman" w:eastAsia="Times New Roman" w:cs="Times New Roman"/>
      <w:sz w:val="24"/>
      <w:szCs w:val="24"/>
      <w:lang w:eastAsia="ru-RU"/>
    </w:rPr>
  </w:style>
  <w:style w:type="character" w:styleId="41" w:customStyle="1">
    <w:name w:val="Заголовок 4 Знак"/>
    <w:basedOn w:val="DefaultParagraphFont"/>
    <w:uiPriority w:val="99"/>
    <w:qFormat/>
    <w:rsid w:val="009b18b2"/>
    <w:rPr>
      <w:rFonts w:ascii="Times New Roman" w:hAnsi="Times New Roman" w:eastAsia="Times New Roman" w:cs="Times New Roman"/>
      <w:sz w:val="28"/>
      <w:szCs w:val="28"/>
      <w:lang w:eastAsia="ru-RU"/>
    </w:rPr>
  </w:style>
  <w:style w:type="character" w:styleId="51" w:customStyle="1">
    <w:name w:val="Заголовок 5 Знак"/>
    <w:basedOn w:val="DefaultParagraphFont"/>
    <w:uiPriority w:val="99"/>
    <w:qFormat/>
    <w:rsid w:val="009b18b2"/>
    <w:rPr>
      <w:rFonts w:ascii="Times New Roman" w:hAnsi="Times New Roman" w:eastAsia="Times New Roman" w:cs="Times New Roman"/>
      <w:b/>
      <w:bCs/>
      <w:sz w:val="20"/>
      <w:szCs w:val="20"/>
      <w:lang w:eastAsia="ru-RU"/>
    </w:rPr>
  </w:style>
  <w:style w:type="character" w:styleId="61" w:customStyle="1">
    <w:name w:val="Заголовок 6 Знак"/>
    <w:basedOn w:val="DefaultParagraphFont"/>
    <w:uiPriority w:val="99"/>
    <w:qFormat/>
    <w:rsid w:val="009b18b2"/>
    <w:rPr>
      <w:rFonts w:ascii="Times New Roman" w:hAnsi="Times New Roman" w:eastAsia="Times New Roman" w:cs="Times New Roman"/>
      <w:sz w:val="24"/>
      <w:szCs w:val="24"/>
      <w:lang w:eastAsia="ru-RU"/>
    </w:rPr>
  </w:style>
  <w:style w:type="character" w:styleId="71" w:customStyle="1">
    <w:name w:val="Заголовок 7 Знак"/>
    <w:basedOn w:val="DefaultParagraphFont"/>
    <w:uiPriority w:val="99"/>
    <w:qFormat/>
    <w:rsid w:val="009b18b2"/>
    <w:rPr>
      <w:rFonts w:ascii="Times New Roman" w:hAnsi="Times New Roman" w:eastAsia="Times New Roman" w:cs="Times New Roman"/>
      <w:sz w:val="24"/>
      <w:szCs w:val="24"/>
      <w:lang w:eastAsia="ru-RU"/>
    </w:rPr>
  </w:style>
  <w:style w:type="character" w:styleId="81" w:customStyle="1">
    <w:name w:val="Заголовок 8 Знак"/>
    <w:basedOn w:val="DefaultParagraphFont"/>
    <w:uiPriority w:val="99"/>
    <w:qFormat/>
    <w:rsid w:val="009b18b2"/>
    <w:rPr>
      <w:rFonts w:ascii="Times New Roman" w:hAnsi="Times New Roman" w:eastAsia="Times New Roman" w:cs="Times New Roman"/>
      <w:b/>
      <w:bCs/>
      <w:sz w:val="24"/>
      <w:szCs w:val="24"/>
      <w:lang w:eastAsia="ru-RU"/>
    </w:rPr>
  </w:style>
  <w:style w:type="character" w:styleId="91" w:customStyle="1">
    <w:name w:val="Заголовок 9 Знак"/>
    <w:basedOn w:val="DefaultParagraphFont"/>
    <w:uiPriority w:val="99"/>
    <w:qFormat/>
    <w:rsid w:val="009b18b2"/>
    <w:rPr>
      <w:rFonts w:ascii="Times New Roman" w:hAnsi="Times New Roman" w:eastAsia="Times New Roman" w:cs="Times New Roman"/>
      <w:b/>
      <w:bCs/>
      <w:sz w:val="28"/>
      <w:szCs w:val="28"/>
      <w:lang w:eastAsia="ru-RU"/>
    </w:rPr>
  </w:style>
  <w:style w:type="character" w:styleId="12" w:customStyle="1">
    <w:name w:val="Гиперссылка1"/>
    <w:uiPriority w:val="99"/>
    <w:qFormat/>
    <w:rsid w:val="009b18b2"/>
    <w:rPr>
      <w:color w:val="0000FF"/>
      <w:u w:val="single"/>
    </w:rPr>
  </w:style>
  <w:style w:type="character" w:styleId="ConsPlusNormal" w:customStyle="1">
    <w:name w:val="ConsPlusNormal Знак"/>
    <w:uiPriority w:val="99"/>
    <w:qFormat/>
    <w:locked/>
    <w:rsid w:val="009b18b2"/>
    <w:rPr>
      <w:rFonts w:ascii="Arial" w:hAnsi="Arial" w:eastAsia="Times New Roman" w:cs="Arial"/>
      <w:lang w:eastAsia="ru-RU"/>
    </w:rPr>
  </w:style>
  <w:style w:type="character" w:styleId="Style5" w:customStyle="1">
    <w:name w:val="Основной текст с отступом Знак"/>
    <w:basedOn w:val="DefaultParagraphFont"/>
    <w:qFormat/>
    <w:rsid w:val="009b18b2"/>
    <w:rPr>
      <w:rFonts w:ascii="Times New Roman" w:hAnsi="Times New Roman" w:eastAsia="Calibri" w:cs="Times New Roman"/>
    </w:rPr>
  </w:style>
  <w:style w:type="character" w:styleId="32" w:customStyle="1">
    <w:name w:val="Основной текст с отступом 3 Знак"/>
    <w:basedOn w:val="DefaultParagraphFont"/>
    <w:qFormat/>
    <w:rsid w:val="009b18b2"/>
    <w:rPr>
      <w:rFonts w:ascii="Times New Roman" w:hAnsi="Times New Roman" w:eastAsia="Calibri" w:cs="Times New Roman"/>
      <w:sz w:val="16"/>
      <w:szCs w:val="16"/>
    </w:rPr>
  </w:style>
  <w:style w:type="character" w:styleId="22" w:customStyle="1">
    <w:name w:val="Основной текст с отступом 2 Знак"/>
    <w:basedOn w:val="DefaultParagraphFont"/>
    <w:uiPriority w:val="99"/>
    <w:qFormat/>
    <w:rsid w:val="009b18b2"/>
    <w:rPr>
      <w:rFonts w:ascii="Times New Roman" w:hAnsi="Times New Roman" w:eastAsia="Times New Roman" w:cs="Times New Roman"/>
      <w:sz w:val="24"/>
      <w:szCs w:val="24"/>
    </w:rPr>
  </w:style>
  <w:style w:type="character" w:styleId="Strong">
    <w:name w:val="Strong"/>
    <w:qFormat/>
    <w:rPr>
      <w:b/>
      <w:bCs/>
    </w:rPr>
  </w:style>
  <w:style w:type="character" w:styleId="Appleconvertedspace" w:customStyle="1">
    <w:name w:val="apple-converted-space"/>
    <w:basedOn w:val="DefaultParagraphFont"/>
    <w:qFormat/>
    <w:rsid w:val="00341ff0"/>
    <w:rPr/>
  </w:style>
  <w:style w:type="character" w:styleId="Style6" w:customStyle="1">
    <w:name w:val="Без интервала Знак"/>
    <w:uiPriority w:val="1"/>
    <w:qFormat/>
    <w:locked/>
    <w:rsid w:val="006a7c20"/>
    <w:rPr>
      <w:rFonts w:ascii="Calibri" w:hAnsi="Calibri" w:eastAsia="Calibri" w:cs="Times New Roman"/>
    </w:rPr>
  </w:style>
  <w:style w:type="character" w:styleId="Style7" w:customStyle="1">
    <w:name w:val="Текст выноски Знак"/>
    <w:basedOn w:val="DefaultParagraphFont"/>
    <w:uiPriority w:val="99"/>
    <w:semiHidden/>
    <w:qFormat/>
    <w:rsid w:val="004a1978"/>
    <w:rPr>
      <w:rFonts w:ascii="Tahoma" w:hAnsi="Tahoma" w:eastAsia="Calibri" w:cs="Tahoma"/>
      <w:sz w:val="16"/>
      <w:szCs w:val="16"/>
    </w:rPr>
  </w:style>
  <w:style w:type="character" w:styleId="WW8Num3z6" w:customStyle="1">
    <w:name w:val="WW8Num3z6"/>
    <w:qFormat/>
    <w:rsid w:val="00bb74a6"/>
    <w:rPr/>
  </w:style>
  <w:style w:type="character" w:styleId="FontStyle16" w:customStyle="1">
    <w:name w:val="Font Style16"/>
    <w:qFormat/>
    <w:rPr>
      <w:rFonts w:ascii="Times New Roman" w:hAnsi="Times New Roman" w:cs="Times New Roman"/>
      <w:sz w:val="22"/>
      <w:szCs w:val="22"/>
    </w:rPr>
  </w:style>
  <w:style w:type="character" w:styleId="D6d6e2e2e5e5f2f2eeeee2e2eeeee5e5e2e2fbfbe4e4e5e5ebebe5e5edede8e8e5e5e4e4ebebffffd2d2e5e5eaeaf1f1f2f2" w:customStyle="1">
    <w:name w:val="Цd6d6вe2e2еe5e5тf2f2оeeeeвe2e2оeeeeеe5e5 вe2e2ыfbfbдe4e4еe5e5лebebеe5e5нededиe8e8еe5e5 дe4e4лebebяffff Тd2d2еe5e5кeaeaсf1f1тf2f2"/>
    <w:qFormat/>
    <w:rPr/>
  </w:style>
  <w:style w:type="character" w:styleId="Style8" w:customStyle="1">
    <w:name w:val="Интернет-ссылка"/>
    <w:rsid w:val="00f12a48"/>
    <w:rPr>
      <w:color w:val="000080"/>
      <w:u w:val="single"/>
    </w:rPr>
  </w:style>
  <w:style w:type="character" w:styleId="Docy" w:customStyle="1">
    <w:name w:val="docy"/>
    <w:basedOn w:val="DefaultParagraphFont"/>
    <w:qFormat/>
    <w:rsid w:val="001e2aeb"/>
    <w:rPr/>
  </w:style>
  <w:style w:type="character" w:styleId="Fontstyle01" w:customStyle="1">
    <w:name w:val="fontstyle01"/>
    <w:basedOn w:val="DefaultParagraphFont"/>
    <w:qFormat/>
    <w:rsid w:val="00f57d35"/>
    <w:rPr>
      <w:rFonts w:ascii="LiberationSerif" w:hAnsi="LiberationSerif"/>
      <w:b w:val="false"/>
      <w:bCs w:val="false"/>
      <w:i w:val="false"/>
      <w:iCs w:val="false"/>
      <w:color w:val="000000"/>
      <w:sz w:val="28"/>
      <w:szCs w:val="28"/>
    </w:rPr>
  </w:style>
  <w:style w:type="character" w:styleId="Style9" w:customStyle="1">
    <w:name w:val="Основной текст документа"/>
    <w:qFormat/>
    <w:rPr>
      <w:sz w:val="22"/>
    </w:rPr>
  </w:style>
  <w:style w:type="character" w:styleId="Style10" w:customStyle="1">
    <w:name w:val="Верхний колонтитул Знак"/>
    <w:basedOn w:val="DefaultParagraphFont"/>
    <w:link w:val="a9"/>
    <w:uiPriority w:val="99"/>
    <w:qFormat/>
    <w:rsid w:val="007a12c1"/>
    <w:rPr>
      <w:rFonts w:cs="Times New Roman"/>
    </w:rPr>
  </w:style>
  <w:style w:type="character" w:styleId="Style11" w:customStyle="1">
    <w:name w:val="Нижний колонтитул Знак"/>
    <w:basedOn w:val="DefaultParagraphFont"/>
    <w:link w:val="ab"/>
    <w:uiPriority w:val="99"/>
    <w:qFormat/>
    <w:rsid w:val="007a12c1"/>
    <w:rPr>
      <w:rFonts w:cs="Times New Roman"/>
    </w:rPr>
  </w:style>
  <w:style w:type="paragraph" w:styleId="Style12">
    <w:name w:val="Заголовок"/>
    <w:basedOn w:val="Normal"/>
    <w:next w:val="Style13"/>
    <w:qFormat/>
    <w:pPr>
      <w:keepNext w:val="true"/>
      <w:spacing w:before="240" w:after="120"/>
    </w:pPr>
    <w:rPr>
      <w:rFonts w:ascii="PT Astra Serif" w:hAnsi="PT Astra Serif" w:eastAsia="Tahoma" w:cs="Noto Sans Devanagari"/>
      <w:sz w:val="28"/>
      <w:szCs w:val="28"/>
    </w:rPr>
  </w:style>
  <w:style w:type="paragraph" w:styleId="Style13">
    <w:name w:val="Body Text"/>
    <w:basedOn w:val="Normal"/>
    <w:pPr>
      <w:spacing w:before="0" w:after="140"/>
    </w:pPr>
    <w:rPr/>
  </w:style>
  <w:style w:type="paragraph" w:styleId="Style14">
    <w:name w:val="List"/>
    <w:basedOn w:val="Style13"/>
    <w:pPr/>
    <w:rPr>
      <w:rFonts w:ascii="PT Astra Serif" w:hAnsi="PT Astra Serif" w:cs="Noto Sans Devanagari"/>
    </w:rPr>
  </w:style>
  <w:style w:type="paragraph" w:styleId="Style15">
    <w:name w:val="Caption"/>
    <w:basedOn w:val="Normal"/>
    <w:qFormat/>
    <w:pPr>
      <w:suppressLineNumbers/>
      <w:spacing w:before="120" w:after="120"/>
    </w:pPr>
    <w:rPr>
      <w:rFonts w:ascii="PT Astra Serif" w:hAnsi="PT Astra Serif" w:cs="Noto Sans Devanagari"/>
      <w:i/>
      <w:iCs/>
      <w:sz w:val="24"/>
      <w:szCs w:val="24"/>
    </w:rPr>
  </w:style>
  <w:style w:type="paragraph" w:styleId="Style16">
    <w:name w:val="Указатель"/>
    <w:basedOn w:val="Normal"/>
    <w:qFormat/>
    <w:pPr>
      <w:suppressLineNumbers/>
    </w:pPr>
    <w:rPr>
      <w:rFonts w:ascii="PT Astra Serif" w:hAnsi="PT Astra Serif" w:cs="Noto Sans Devanagari"/>
      <w:lang w:val="zxx" w:eastAsia="zxx" w:bidi="zxx"/>
    </w:rPr>
  </w:style>
  <w:style w:type="paragraph" w:styleId="Style17">
    <w:name w:val="Title"/>
    <w:basedOn w:val="Normal"/>
    <w:next w:val="Style13"/>
    <w:qFormat/>
    <w:pPr>
      <w:keepNext w:val="true"/>
      <w:spacing w:before="240" w:after="120"/>
    </w:pPr>
    <w:rPr>
      <w:rFonts w:ascii="Liberation Sans" w:hAnsi="Liberation Sans" w:eastAsia="Microsoft YaHei" w:cs="Lucida Sans"/>
      <w:sz w:val="28"/>
      <w:szCs w:val="28"/>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Indexheading">
    <w:name w:val="index heading"/>
    <w:basedOn w:val="Normal"/>
    <w:qFormat/>
    <w:pPr>
      <w:suppressLineNumbers/>
    </w:pPr>
    <w:rPr>
      <w:rFonts w:ascii="PT Astra Serif" w:hAnsi="PT Astra Serif" w:cs="Noto Sans Devanagari"/>
    </w:rPr>
  </w:style>
  <w:style w:type="paragraph" w:styleId="13" w:customStyle="1">
    <w:name w:val="Заголовок1"/>
    <w:basedOn w:val="Normal"/>
    <w:next w:val="Style13"/>
    <w:qFormat/>
    <w:pPr>
      <w:keepNext w:val="true"/>
      <w:spacing w:before="240" w:after="120"/>
    </w:pPr>
    <w:rPr>
      <w:rFonts w:ascii="PT Astra Serif" w:hAnsi="PT Astra Serif" w:eastAsia="Tahoma" w:cs="Noto Sans Devanagari"/>
      <w:sz w:val="28"/>
      <w:szCs w:val="28"/>
    </w:rPr>
  </w:style>
  <w:style w:type="paragraph" w:styleId="ConsPlusNormal1" w:customStyle="1">
    <w:name w:val="ConsPlusNormal"/>
    <w:qFormat/>
    <w:rsid w:val="009b18b2"/>
    <w:pPr>
      <w:widowControl w:val="false"/>
      <w:suppressAutoHyphens w:val="true"/>
      <w:bidi w:val="0"/>
      <w:spacing w:before="0" w:after="0"/>
      <w:ind w:firstLine="720"/>
      <w:jc w:val="left"/>
    </w:pPr>
    <w:rPr>
      <w:rFonts w:ascii="Arial" w:hAnsi="Arial" w:eastAsia="Times New Roman" w:cs="Arial"/>
      <w:color w:val="auto"/>
      <w:kern w:val="0"/>
      <w:sz w:val="22"/>
      <w:szCs w:val="22"/>
      <w:lang w:val="ru-RU" w:eastAsia="ru-RU" w:bidi="ar-SA"/>
    </w:rPr>
  </w:style>
  <w:style w:type="paragraph" w:styleId="Style18">
    <w:name w:val="Body Text Indent"/>
    <w:basedOn w:val="Normal"/>
    <w:rsid w:val="009b18b2"/>
    <w:pPr>
      <w:spacing w:before="0" w:after="120"/>
      <w:ind w:left="283" w:hanging="0"/>
      <w:jc w:val="both"/>
    </w:pPr>
    <w:rPr>
      <w:rFonts w:ascii="Times New Roman" w:hAnsi="Times New Roman"/>
    </w:rPr>
  </w:style>
  <w:style w:type="paragraph" w:styleId="BodyTextIndent3">
    <w:name w:val="Body Text Indent 3"/>
    <w:basedOn w:val="Normal"/>
    <w:link w:val="31"/>
    <w:qFormat/>
    <w:rsid w:val="009b18b2"/>
    <w:pPr>
      <w:spacing w:before="0" w:after="120"/>
      <w:ind w:left="283" w:hanging="0"/>
      <w:jc w:val="both"/>
    </w:pPr>
    <w:rPr>
      <w:rFonts w:ascii="Times New Roman" w:hAnsi="Times New Roman"/>
      <w:sz w:val="16"/>
      <w:szCs w:val="16"/>
    </w:rPr>
  </w:style>
  <w:style w:type="paragraph" w:styleId="14" w:customStyle="1">
    <w:name w:val="Обычный1"/>
    <w:qFormat/>
    <w:rsid w:val="009b18b2"/>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BodyTextIndent2">
    <w:name w:val="Body Text Indent 2"/>
    <w:basedOn w:val="Normal"/>
    <w:link w:val="21"/>
    <w:uiPriority w:val="99"/>
    <w:qFormat/>
    <w:rsid w:val="009b18b2"/>
    <w:pPr>
      <w:spacing w:lineRule="auto" w:line="480" w:before="0" w:after="120"/>
      <w:ind w:left="283" w:hanging="0"/>
    </w:pPr>
    <w:rPr>
      <w:rFonts w:ascii="Times New Roman" w:hAnsi="Times New Roman" w:eastAsia="Times New Roman"/>
      <w:sz w:val="24"/>
      <w:szCs w:val="24"/>
    </w:rPr>
  </w:style>
  <w:style w:type="paragraph" w:styleId="Style19" w:customStyle="1">
    <w:name w:val="Контракт-раздел"/>
    <w:basedOn w:val="Normal"/>
    <w:next w:val="Style20"/>
    <w:uiPriority w:val="99"/>
    <w:qFormat/>
    <w:rsid w:val="009b18b2"/>
    <w:pPr>
      <w:keepNext w:val="true"/>
      <w:tabs>
        <w:tab w:val="clear" w:pos="708"/>
        <w:tab w:val="left" w:pos="540" w:leader="none"/>
      </w:tabs>
      <w:spacing w:lineRule="auto" w:line="240" w:before="360" w:after="120"/>
      <w:jc w:val="center"/>
      <w:outlineLvl w:val="3"/>
    </w:pPr>
    <w:rPr>
      <w:rFonts w:ascii="Times New Roman" w:hAnsi="Times New Roman" w:eastAsia="Times New Roman"/>
      <w:b/>
      <w:bCs/>
      <w:smallCaps/>
      <w:sz w:val="24"/>
      <w:szCs w:val="24"/>
      <w:lang w:eastAsia="ru-RU"/>
    </w:rPr>
  </w:style>
  <w:style w:type="paragraph" w:styleId="Style20" w:customStyle="1">
    <w:name w:val="Контракт-пункт"/>
    <w:basedOn w:val="Normal"/>
    <w:uiPriority w:val="99"/>
    <w:qFormat/>
    <w:rsid w:val="009b18b2"/>
    <w:pPr>
      <w:tabs>
        <w:tab w:val="clear" w:pos="708"/>
        <w:tab w:val="left" w:pos="0" w:leader="none"/>
        <w:tab w:val="left" w:pos="1391" w:leader="none"/>
      </w:tabs>
      <w:spacing w:lineRule="auto" w:line="240" w:before="0" w:after="0"/>
      <w:ind w:left="1391" w:hanging="0"/>
      <w:jc w:val="both"/>
    </w:pPr>
    <w:rPr>
      <w:rFonts w:ascii="Times New Roman" w:hAnsi="Times New Roman" w:eastAsia="Times New Roman"/>
      <w:sz w:val="24"/>
      <w:szCs w:val="24"/>
      <w:lang w:eastAsia="ru-RU"/>
    </w:rPr>
  </w:style>
  <w:style w:type="paragraph" w:styleId="Style21" w:customStyle="1">
    <w:name w:val="Контракт-подпункт"/>
    <w:basedOn w:val="Normal"/>
    <w:uiPriority w:val="99"/>
    <w:qFormat/>
    <w:rsid w:val="009b18b2"/>
    <w:pPr>
      <w:tabs>
        <w:tab w:val="clear" w:pos="708"/>
        <w:tab w:val="left" w:pos="0" w:leader="none"/>
      </w:tabs>
      <w:spacing w:lineRule="auto" w:line="240" w:before="0" w:after="0"/>
      <w:jc w:val="both"/>
    </w:pPr>
    <w:rPr>
      <w:rFonts w:ascii="Times New Roman" w:hAnsi="Times New Roman" w:eastAsia="Times New Roman"/>
      <w:sz w:val="24"/>
      <w:szCs w:val="24"/>
      <w:lang w:eastAsia="ru-RU"/>
    </w:rPr>
  </w:style>
  <w:style w:type="paragraph" w:styleId="Style22" w:customStyle="1">
    <w:name w:val="Контракт-подподпункт"/>
    <w:basedOn w:val="Normal"/>
    <w:uiPriority w:val="99"/>
    <w:qFormat/>
    <w:rsid w:val="009b18b2"/>
    <w:pPr>
      <w:tabs>
        <w:tab w:val="clear" w:pos="708"/>
        <w:tab w:val="left" w:pos="0" w:leader="none"/>
      </w:tabs>
      <w:spacing w:lineRule="auto" w:line="240" w:before="0" w:after="0"/>
      <w:jc w:val="both"/>
    </w:pPr>
    <w:rPr>
      <w:rFonts w:ascii="Times New Roman" w:hAnsi="Times New Roman" w:eastAsia="Times New Roman"/>
      <w:sz w:val="24"/>
      <w:szCs w:val="24"/>
      <w:lang w:eastAsia="ru-RU"/>
    </w:rPr>
  </w:style>
  <w:style w:type="paragraph" w:styleId="23" w:customStyle="1">
    <w:name w:val="Обычный2"/>
    <w:qFormat/>
    <w:rsid w:val="009b18b2"/>
    <w:pPr>
      <w:widowControl w:val="false"/>
      <w:suppressAutoHyphens w:val="true"/>
      <w:bidi w:val="0"/>
      <w:spacing w:lineRule="auto" w:line="300" w:before="0" w:after="0"/>
      <w:ind w:firstLine="720"/>
      <w:jc w:val="both"/>
    </w:pPr>
    <w:rPr>
      <w:rFonts w:ascii="Times New Roman" w:hAnsi="Times New Roman" w:eastAsia="Calibri" w:cs="Times New Roman" w:eastAsiaTheme="minorHAnsi"/>
      <w:color w:val="auto"/>
      <w:kern w:val="0"/>
      <w:sz w:val="24"/>
      <w:szCs w:val="20"/>
      <w:lang w:val="ru-RU" w:eastAsia="ru-RU" w:bidi="ar-SA"/>
    </w:rPr>
  </w:style>
  <w:style w:type="paragraph" w:styleId="NoSpacing">
    <w:name w:val="No Spacing"/>
    <w:qFormat/>
    <w:rsid w:val="009b18b2"/>
    <w:pPr>
      <w:widowControl/>
      <w:suppressAutoHyphens w:val="true"/>
      <w:bidi w:val="0"/>
      <w:spacing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15" w:customStyle="1">
    <w:name w:val="Без интервала1"/>
    <w:qFormat/>
    <w:rsid w:val="009b18b2"/>
    <w:pPr>
      <w:widowControl/>
      <w:suppressAutoHyphens w:val="true"/>
      <w:bidi w:val="0"/>
      <w:spacing w:before="0" w:after="0"/>
      <w:jc w:val="left"/>
    </w:pPr>
    <w:rPr>
      <w:rFonts w:ascii="Calibri" w:hAnsi="Calibri" w:eastAsia="Calibri" w:cs="Times New Roman" w:asciiTheme="minorHAnsi" w:eastAsiaTheme="minorHAnsi" w:hAnsiTheme="minorHAnsi"/>
      <w:color w:val="auto"/>
      <w:kern w:val="0"/>
      <w:sz w:val="22"/>
      <w:szCs w:val="22"/>
      <w:lang w:val="ru-RU" w:eastAsia="ru-RU" w:bidi="ar-SA"/>
    </w:rPr>
  </w:style>
  <w:style w:type="paragraph" w:styleId="NoSpacing1" w:customStyle="1">
    <w:name w:val="No Spacing1"/>
    <w:uiPriority w:val="99"/>
    <w:qFormat/>
    <w:rsid w:val="009b18b2"/>
    <w:pPr>
      <w:widowControl/>
      <w:suppressAutoHyphens w:val="true"/>
      <w:bidi w:val="0"/>
      <w:spacing w:before="0" w:after="0"/>
      <w:jc w:val="left"/>
    </w:pPr>
    <w:rPr>
      <w:rFonts w:ascii="Calibri" w:hAnsi="Calibri" w:eastAsia="Calibri" w:cs="Calibri" w:asciiTheme="minorHAnsi" w:eastAsiaTheme="minorHAnsi" w:hAnsiTheme="minorHAnsi"/>
      <w:color w:val="auto"/>
      <w:kern w:val="0"/>
      <w:sz w:val="22"/>
      <w:szCs w:val="22"/>
      <w:lang w:val="ru-RU" w:eastAsia="ru-RU" w:bidi="ar-SA"/>
    </w:rPr>
  </w:style>
  <w:style w:type="paragraph" w:styleId="16" w:customStyle="1">
    <w:name w:val="Абзац списка1"/>
    <w:basedOn w:val="Normal"/>
    <w:qFormat/>
    <w:rsid w:val="009b18b2"/>
    <w:pPr>
      <w:spacing w:before="0" w:after="200"/>
      <w:ind w:left="720" w:hanging="0"/>
      <w:contextualSpacing/>
    </w:pPr>
    <w:rPr>
      <w:lang w:eastAsia="ru-RU"/>
    </w:rPr>
  </w:style>
  <w:style w:type="paragraph" w:styleId="BalloonText">
    <w:name w:val="Balloon Text"/>
    <w:basedOn w:val="Normal"/>
    <w:uiPriority w:val="99"/>
    <w:semiHidden/>
    <w:unhideWhenUsed/>
    <w:qFormat/>
    <w:rsid w:val="004a1978"/>
    <w:pPr>
      <w:spacing w:lineRule="auto" w:line="240" w:before="0" w:after="0"/>
    </w:pPr>
    <w:rPr>
      <w:rFonts w:ascii="Tahoma" w:hAnsi="Tahoma" w:cs="Tahoma"/>
      <w:sz w:val="16"/>
      <w:szCs w:val="16"/>
    </w:rPr>
  </w:style>
  <w:style w:type="paragraph" w:styleId="17" w:customStyle="1">
    <w:name w:val="Обычный (веб)1"/>
    <w:basedOn w:val="Normal"/>
    <w:qFormat/>
    <w:pPr>
      <w:spacing w:lineRule="auto" w:line="240" w:before="280" w:after="280"/>
    </w:pPr>
    <w:rPr>
      <w:rFonts w:ascii="Times New Roman" w:hAnsi="Times New Roman" w:eastAsia="Times New Roman"/>
      <w:sz w:val="24"/>
      <w:szCs w:val="24"/>
      <w:lang w:eastAsia="zh-CN"/>
    </w:rPr>
  </w:style>
  <w:style w:type="paragraph" w:styleId="ListParagraph">
    <w:name w:val="List Paragraph"/>
    <w:basedOn w:val="Normal"/>
    <w:qFormat/>
    <w:pPr>
      <w:spacing w:before="0" w:after="0"/>
      <w:ind w:left="720" w:hanging="0"/>
      <w:contextualSpacing/>
    </w:pPr>
    <w:rPr/>
  </w:style>
  <w:style w:type="paragraph" w:styleId="Style23" w:customStyle="1">
    <w:name w:val="Содержимое таблицы"/>
    <w:basedOn w:val="Standard"/>
    <w:qFormat/>
    <w:rsid w:val="00622c01"/>
    <w:pPr/>
    <w:rPr/>
  </w:style>
  <w:style w:type="paragraph" w:styleId="Style24" w:customStyle="1">
    <w:name w:val="Заголовок таблицы"/>
    <w:basedOn w:val="Style23"/>
    <w:qFormat/>
    <w:pPr>
      <w:jc w:val="center"/>
    </w:pPr>
    <w:rPr>
      <w:b/>
      <w:bCs/>
    </w:rPr>
  </w:style>
  <w:style w:type="paragraph" w:styleId="Textbody" w:customStyle="1">
    <w:name w:val="Text body"/>
    <w:basedOn w:val="Normal"/>
    <w:qFormat/>
    <w:pPr>
      <w:spacing w:before="0" w:after="120"/>
      <w:jc w:val="both"/>
      <w:textAlignment w:val="baseline"/>
    </w:pPr>
    <w:rPr>
      <w:kern w:val="2"/>
      <w:sz w:val="24"/>
      <w:szCs w:val="24"/>
    </w:rPr>
  </w:style>
  <w:style w:type="paragraph" w:styleId="ConsNormal" w:customStyle="1">
    <w:name w:val="ConsNormal"/>
    <w:qFormat/>
    <w:pPr>
      <w:widowControl/>
      <w:suppressAutoHyphens w:val="true"/>
      <w:bidi w:val="0"/>
      <w:spacing w:before="0" w:after="0"/>
      <w:jc w:val="both"/>
    </w:pPr>
    <w:rPr>
      <w:rFonts w:ascii="Courier New" w:hAnsi="Courier New" w:eastAsia="Courier New" w:cs="Courier New"/>
      <w:color w:val="auto"/>
      <w:kern w:val="0"/>
      <w:sz w:val="20"/>
      <w:szCs w:val="20"/>
      <w:lang w:val="ru-RU" w:eastAsia="ru-RU" w:bidi="ar-SA"/>
    </w:rPr>
  </w:style>
  <w:style w:type="paragraph" w:styleId="Aaf57754bde2fa03msolistparagraph" w:customStyle="1">
    <w:name w:val="aaf57754bde2fa03msolistparagraph"/>
    <w:basedOn w:val="Normal"/>
    <w:qFormat/>
    <w:rsid w:val="00746e0f"/>
    <w:pPr>
      <w:spacing w:lineRule="auto" w:line="240" w:before="280" w:after="280"/>
    </w:pPr>
    <w:rPr>
      <w:rFonts w:ascii="Times New Roman" w:hAnsi="Times New Roman" w:eastAsia="Times New Roman"/>
      <w:sz w:val="24"/>
      <w:szCs w:val="24"/>
      <w:lang w:eastAsia="zh-CN"/>
    </w:rPr>
  </w:style>
  <w:style w:type="paragraph" w:styleId="Docdata" w:customStyle="1">
    <w:name w:val="docdata"/>
    <w:basedOn w:val="Normal"/>
    <w:qFormat/>
    <w:rsid w:val="00487a3a"/>
    <w:pPr>
      <w:suppressAutoHyphens w:val="false"/>
      <w:spacing w:lineRule="auto" w:line="240" w:beforeAutospacing="1" w:afterAutospacing="1"/>
    </w:pPr>
    <w:rPr>
      <w:rFonts w:ascii="Times New Roman" w:hAnsi="Times New Roman" w:eastAsia="Times New Roman"/>
      <w:sz w:val="24"/>
      <w:szCs w:val="24"/>
      <w:lang w:eastAsia="ru-RU"/>
    </w:rPr>
  </w:style>
  <w:style w:type="paragraph" w:styleId="Style25" w:customStyle="1">
    <w:name w:val="Колонтитул"/>
    <w:basedOn w:val="Normal"/>
    <w:qFormat/>
    <w:pPr/>
    <w:rPr/>
  </w:style>
  <w:style w:type="paragraph" w:styleId="Style26">
    <w:name w:val="Header"/>
    <w:basedOn w:val="Normal"/>
    <w:link w:val="a8"/>
    <w:uiPriority w:val="99"/>
    <w:unhideWhenUsed/>
    <w:rsid w:val="007a12c1"/>
    <w:pPr>
      <w:tabs>
        <w:tab w:val="clear" w:pos="708"/>
        <w:tab w:val="center" w:pos="4677" w:leader="none"/>
        <w:tab w:val="right" w:pos="9355" w:leader="none"/>
      </w:tabs>
      <w:spacing w:lineRule="auto" w:line="240" w:before="0" w:after="0"/>
    </w:pPr>
    <w:rPr/>
  </w:style>
  <w:style w:type="paragraph" w:styleId="Style27">
    <w:name w:val="Footer"/>
    <w:basedOn w:val="Normal"/>
    <w:link w:val="aa"/>
    <w:uiPriority w:val="99"/>
    <w:unhideWhenUsed/>
    <w:rsid w:val="007a12c1"/>
    <w:pPr>
      <w:tabs>
        <w:tab w:val="clear" w:pos="708"/>
        <w:tab w:val="center" w:pos="4677" w:leader="none"/>
        <w:tab w:val="right" w:pos="9355" w:leader="none"/>
      </w:tabs>
      <w:spacing w:lineRule="auto" w:line="240" w:before="0" w:after="0"/>
    </w:pPr>
    <w:rPr/>
  </w:style>
  <w:style w:type="paragraph" w:styleId="Standard" w:customStyle="1">
    <w:name w:val="Standard"/>
    <w:qFormat/>
    <w:rsid w:val="00622c01"/>
    <w:pPr>
      <w:widowControl w:val="false"/>
      <w:suppressAutoHyphens w:val="true"/>
      <w:bidi w:val="0"/>
      <w:spacing w:before="0" w:after="0"/>
      <w:jc w:val="center"/>
      <w:textAlignment w:val="baseline"/>
    </w:pPr>
    <w:rPr>
      <w:rFonts w:ascii="PT Astra Serif" w:hAnsi="PT Astra Serif" w:eastAsia="PT Astra Serif" w:cs="PT Astra Serif"/>
      <w:color w:val="auto"/>
      <w:kern w:val="2"/>
      <w:sz w:val="28"/>
      <w:szCs w:val="24"/>
      <w:lang w:val="ru-RU" w:eastAsia="ru-RU" w:bidi="ar-SA"/>
    </w:rPr>
  </w:style>
  <w:style w:type="numbering" w:styleId="NoList" w:default="1">
    <w:name w:val="No List"/>
    <w:uiPriority w:val="99"/>
    <w:semiHidden/>
    <w:unhideWhenUsed/>
    <w:qFormat/>
  </w:style>
  <w:style w:type="numbering" w:styleId="Style28" w:customStyle="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9">
    <w:name w:val="Table Grid"/>
    <w:basedOn w:val="a1"/>
    <w:uiPriority w:val="59"/>
    <w:rsid w:val="006e5a32"/>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17">
    <w:name w:val="Сетка таблицы1"/>
    <w:basedOn w:val="a1"/>
    <w:uiPriority w:val="59"/>
    <w:rsid w:val="007a414e"/>
    <w:rPr>
      <w:lang w:eastAsia="ru-RU"/>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FC66F9112049BF70844330D8F467622160095DB732CE25B0D828521A8B4A36220923D3DC669DA4A6DBFEF0EF229A9B9C4DC690956C62B200M"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22EFD-DF07-406F-942A-27EEC4354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Application>LibreOffice/7.2.7.2$Linux_X86_64 LibreOffice_project/20$Build-2</Application>
  <AppVersion>15.0000</AppVersion>
  <Pages>12</Pages>
  <Words>3524</Words>
  <Characters>25321</Characters>
  <CharactersWithSpaces>28674</CharactersWithSpaces>
  <Paragraphs>256</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2026-08-11T06:56:00Z</dcterms:created>
  <dc:creator>Admin</dc:creator>
  <dc:description/>
  <dc:language>ru-RU</dc:language>
  <cp:lastModifiedBy/>
  <cp:lastPrinted>2026-03-26T11:47:00Z</cp:lastPrinted>
  <dcterms:modified xsi:type="dcterms:W3CDTF">2026-08-11T14:18:21Z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