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left="12049" w:hanging="0"/>
        <w:rPr>
          <w:rFonts w:ascii="Tinos" w:hAnsi="Tinos" w:eastAsia="Times New Roman" w:cs="Times New Roman"/>
          <w:b/>
          <w:b/>
          <w:sz w:val="24"/>
        </w:rPr>
      </w:pPr>
      <w:r>
        <w:rPr>
          <w:rFonts w:eastAsia="Times New Roman" w:cs="Times New Roman" w:ascii="Tinos" w:hAnsi="Tinos"/>
          <w:b/>
          <w:sz w:val="24"/>
        </w:rPr>
      </w:r>
    </w:p>
    <w:tbl>
      <w:tblPr>
        <w:tblW w:w="14505" w:type="dxa"/>
        <w:jc w:val="left"/>
        <w:tblInd w:w="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9"/>
        <w:gridCol w:w="63"/>
        <w:gridCol w:w="916"/>
        <w:gridCol w:w="1768"/>
        <w:gridCol w:w="1563"/>
        <w:gridCol w:w="1657"/>
        <w:gridCol w:w="1046"/>
        <w:gridCol w:w="3893"/>
        <w:gridCol w:w="2998"/>
      </w:tblGrid>
      <w:tr>
        <w:trPr>
          <w:trHeight w:val="510" w:hRule="atLeast"/>
        </w:trPr>
        <w:tc>
          <w:tcPr>
            <w:tcW w:w="14503" w:type="dxa"/>
            <w:gridSpan w:val="9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cs="Times New Roman"/>
                <w:b/>
                <w:b/>
                <w:sz w:val="24"/>
              </w:rPr>
            </w:pPr>
            <w:r>
              <w:rPr>
                <w:rFonts w:cs="Times New Roman" w:ascii="Tinos" w:hAnsi="Tinos"/>
                <w:b/>
                <w:sz w:val="24"/>
              </w:rPr>
              <w:t>Описание объекта закупки</w:t>
            </w:r>
          </w:p>
          <w:p>
            <w:pPr>
              <w:pStyle w:val="Standard"/>
              <w:widowControl w:val="false"/>
              <w:rPr>
                <w:rFonts w:ascii="Tinos" w:hAnsi="Tinos" w:cs="Times New Roman"/>
                <w:b/>
                <w:b/>
                <w:sz w:val="24"/>
              </w:rPr>
            </w:pPr>
            <w:r>
              <w:rPr>
                <w:rFonts w:cs="Times New Roman" w:ascii="Tinos" w:hAnsi="Tinos"/>
                <w:b/>
                <w:sz w:val="24"/>
              </w:rPr>
            </w:r>
          </w:p>
          <w:p>
            <w:pPr>
              <w:pStyle w:val="Standard"/>
              <w:widowControl w:val="false"/>
              <w:rPr>
                <w:rFonts w:ascii="Tinos" w:hAnsi="Tinos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kern w:val="0"/>
                <w:sz w:val="24"/>
              </w:rPr>
              <w:t xml:space="preserve"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>
              <w:rPr>
                <w:rFonts w:eastAsia="Times New Roman" w:cs="Times New Roman" w:ascii="Tinos" w:hAnsi="Tinos"/>
                <w:b/>
                <w:bCs/>
                <w:color w:val="000000"/>
                <w:kern w:val="0"/>
                <w:sz w:val="24"/>
                <w:shd w:fill="FFFFFF" w:val="clear"/>
              </w:rPr>
              <w:t xml:space="preserve">В </w:t>
            </w:r>
            <w:r>
              <w:rPr>
                <w:rFonts w:eastAsia="Times New Roman" w:cs="Times New Roman" w:ascii="Tinos" w:hAnsi="Tinos"/>
                <w:b/>
                <w:bCs/>
                <w:color w:val="000000"/>
                <w:kern w:val="0"/>
                <w:sz w:val="24"/>
              </w:rPr>
              <w:t>случае отсутствия соответствующих позиций в КТРУ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</w:r>
          </w:p>
        </w:tc>
      </w:tr>
      <w:tr>
        <w:trPr>
          <w:trHeight w:val="315" w:hRule="atLeast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3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 xml:space="preserve">Поставка периферийных устройств </w:t>
            </w: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 xml:space="preserve">и клавиатуры </w:t>
            </w: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 xml:space="preserve">взамен вышедших из строя для нужд Главного управления </w:t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МЧС России по Астраханской области</w:t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</w:r>
          </w:p>
        </w:tc>
      </w:tr>
      <w:tr>
        <w:trPr>
          <w:trHeight w:val="611" w:hRule="atLeast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3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</w:r>
          </w:p>
        </w:tc>
      </w:tr>
      <w:tr>
        <w:trPr>
          <w:trHeight w:val="268" w:hRule="atLeast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Cs/>
                <w:color w:val="000000"/>
                <w:sz w:val="24"/>
              </w:rPr>
              <w:t>2.1</w:t>
            </w:r>
          </w:p>
        </w:tc>
        <w:tc>
          <w:tcPr>
            <w:tcW w:w="13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Cs/>
                <w:color w:val="000000"/>
                <w:sz w:val="24"/>
              </w:rPr>
              <w:t>При закупке работ, услуг</w:t>
            </w:r>
          </w:p>
        </w:tc>
      </w:tr>
      <w:tr>
        <w:trPr>
          <w:trHeight w:val="348" w:hRule="atLeast"/>
        </w:trPr>
        <w:tc>
          <w:tcPr>
            <w:tcW w:w="14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rFonts w:ascii="Calibri" w:hAnsi="Calibri" w:eastAsia="Times New Roman" w:cs="Times New Roman" w:asciiTheme="minorHAnsi" w:hAnsiTheme="minorHAnsi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4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-</w:t>
            </w:r>
          </w:p>
        </w:tc>
      </w:tr>
      <w:tr>
        <w:trPr>
          <w:trHeight w:val="566" w:hRule="atLeast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Cs/>
                <w:color w:val="000000"/>
                <w:sz w:val="24"/>
              </w:rPr>
              <w:t>2.2</w:t>
            </w:r>
          </w:p>
        </w:tc>
        <w:tc>
          <w:tcPr>
            <w:tcW w:w="13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Cs/>
                <w:color w:val="000000"/>
                <w:sz w:val="24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139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 xml:space="preserve">№ </w:t>
            </w:r>
            <w:r>
              <w:rPr>
                <w:rFonts w:cs="Times New Roman" w:ascii="Tinos" w:hAnsi="Tinos"/>
                <w:color w:val="000000"/>
                <w:sz w:val="24"/>
              </w:rPr>
              <w:t>п</w:t>
            </w:r>
            <w:r>
              <w:rPr>
                <w:rFonts w:cs="Times New Roman" w:ascii="Tinos" w:hAnsi="Tinos"/>
                <w:color w:val="000000"/>
                <w:sz w:val="24"/>
                <w:lang w:val="en-US"/>
              </w:rPr>
              <w:t>/</w:t>
            </w:r>
            <w:r>
              <w:rPr>
                <w:rFonts w:cs="Times New Roman" w:ascii="Tinos" w:hAnsi="Tinos"/>
                <w:color w:val="000000"/>
                <w:sz w:val="24"/>
              </w:rPr>
              <w:t>п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107" w:right="-46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Наименование товара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108" w:right="-9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Номер позиции Каталога товаров, работ, услуг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160"/>
              <w:ind w:left="-108" w:right="-103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Наименование характеристики товара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108" w:right="-103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Значение характеристики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108" w:right="-12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Единица измерения характеристики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211" w:right="-10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Инструкция по заполнению характеристики в заявке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ind w:left="-108" w:right="-10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16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</w:r>
          </w:p>
          <w:p>
            <w:pPr>
              <w:pStyle w:val="Standard"/>
              <w:widowControl w:val="false"/>
              <w:spacing w:before="0" w:after="16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1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-107" w:right="-46" w:hanging="0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</w:r>
          </w:p>
          <w:p>
            <w:pPr>
              <w:pStyle w:val="Standard"/>
              <w:widowControl w:val="false"/>
              <w:ind w:left="-107" w:right="-46" w:hanging="0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  <w:t>Клавиатура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ind w:left="-108" w:right="-9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</w:r>
          </w:p>
          <w:p>
            <w:pPr>
              <w:pStyle w:val="Style19"/>
              <w:widowControl w:val="false"/>
              <w:spacing w:before="0" w:after="200"/>
              <w:ind w:left="-108" w:right="-98" w:hanging="0"/>
              <w:rPr>
                <w:rFonts w:ascii="Tinos" w:hAnsi="Tinos" w:cs="Times New Roman"/>
                <w:color w:val="000000"/>
                <w:sz w:val="24"/>
              </w:rPr>
            </w:pPr>
            <w:r>
              <w:rPr>
                <w:rFonts w:cs="Times New Roman" w:ascii="Tinos" w:hAnsi="Tinos"/>
                <w:color w:val="000000"/>
                <w:sz w:val="24"/>
              </w:rPr>
              <w:t>26.20.16.110-00000002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Тип подключения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Проводная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28" w:before="0" w:after="200"/>
              <w:rPr>
                <w:rFonts w:ascii="Tinos" w:hAnsi="Tinos"/>
                <w:sz w:val="24"/>
                <w:lang w:eastAsia="en-US"/>
              </w:rPr>
            </w:pPr>
            <w:r>
              <w:rPr>
                <w:rFonts w:ascii="Tinos" w:hAnsi="Tinos"/>
                <w:sz w:val="24"/>
                <w:lang w:eastAsia="en-US"/>
              </w:rPr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Интерфейс подключения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USB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28" w:before="0" w:after="200"/>
              <w:rPr>
                <w:rFonts w:ascii="Tinos" w:hAnsi="Tinos"/>
                <w:sz w:val="24"/>
                <w:lang w:eastAsia="en-US"/>
              </w:rPr>
            </w:pPr>
            <w:r>
              <w:rPr>
                <w:rFonts w:ascii="Tinos" w:hAnsi="Tinos"/>
                <w:sz w:val="24"/>
                <w:lang w:eastAsia="en-US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</w:rPr>
              <w:t>Длина кабеля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≥</w:t>
            </w:r>
            <w:r>
              <w:rPr>
                <w:rFonts w:eastAsia="Source Han Sans CN Regular" w:cs="Lohit Devanagari" w:ascii="Tinos" w:hAnsi="Tinos"/>
                <w:sz w:val="24"/>
              </w:rPr>
              <w:t xml:space="preserve">1.6 и </w:t>
            </w:r>
            <w:r>
              <w:rPr>
                <w:rFonts w:eastAsia="Source Han Sans CN Regular" w:cs="Lohit Devanagari"/>
                <w:sz w:val="24"/>
              </w:rPr>
              <w:t>&lt;</w:t>
            </w:r>
            <w:r>
              <w:rPr>
                <w:rFonts w:eastAsia="Source Han Sans CN Regular" w:cs="Lohit Devanagari" w:ascii="Tinos" w:hAnsi="Tinos"/>
                <w:sz w:val="24"/>
              </w:rPr>
              <w:t>2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Метр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</w:rPr>
              <w:t>Мультифункциональные клавиши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Source Han Sans CN Regular" w:cs="Lohit Devanagari" w:ascii="Tinos" w:hAnsi="Tinos"/>
                <w:sz w:val="24"/>
              </w:rPr>
              <w:t>Да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</w:rPr>
              <w:t>Отличие цвета русских букв на клавишах от латинских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Source Han Sans CN Regular" w:cs="Lohit Devanagari" w:ascii="Tinos" w:hAnsi="Tinos"/>
                <w:sz w:val="24"/>
              </w:rPr>
              <w:t>Да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613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</w:rPr>
              <w:t>Раскладка клавиатуры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Source Han Sans CN Regular" w:cs="Lohit Devanagari" w:ascii="Tinos" w:hAnsi="Tinos"/>
                <w:sz w:val="24"/>
              </w:rPr>
              <w:t>ЙЦУКЕН</w:t>
            </w:r>
          </w:p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Source Han Sans CN Regular" w:cs="Lohit Devanagari" w:ascii="Tinos" w:hAnsi="Tinos"/>
                <w:sz w:val="24"/>
              </w:rPr>
              <w:t>QWERTY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6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  <w:t>2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  <w:t>Мышь компьютерная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26.20.16.170-00000002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tabs>
                <w:tab w:val="left" w:pos="284" w:leader="none"/>
                <w:tab w:val="left" w:pos="708" w:leader="none"/>
              </w:tabs>
              <w:spacing w:lineRule="auto" w:line="228" w:before="0" w:after="200"/>
              <w:rPr>
                <w:rFonts w:ascii="Tinos" w:hAnsi="Tinos" w:cs="Times New Roman"/>
                <w:iCs/>
                <w:color w:val="000000"/>
                <w:sz w:val="24"/>
                <w:lang w:eastAsia="en-US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  <w:lang w:eastAsia="en-US"/>
              </w:rPr>
              <w:t>Тип подключения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 w:before="0" w:after="200"/>
              <w:rPr>
                <w:rFonts w:ascii="Tinos" w:hAnsi="Tinos"/>
                <w:sz w:val="24"/>
                <w:lang w:eastAsia="en-US"/>
              </w:rPr>
            </w:pPr>
            <w:r>
              <w:rPr>
                <w:rFonts w:ascii="Tinos" w:hAnsi="Tinos"/>
                <w:sz w:val="24"/>
                <w:lang w:eastAsia="en-US"/>
              </w:rPr>
              <w:t>Проводной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Интерфейс подключения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USB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Тип сенсора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Оптический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306" w:hRule="atLeast"/>
        </w:trPr>
        <w:tc>
          <w:tcPr>
            <w:tcW w:w="6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iCs/>
                <w:color w:val="000000"/>
                <w:sz w:val="24"/>
              </w:rPr>
              <w:t>Длина кабеля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 w:eastAsia="Source Han Sans CN Regular" w:cs="Lohit Devanagari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≥</w:t>
            </w:r>
            <w:r>
              <w:rPr>
                <w:rFonts w:eastAsia="Source Han Sans CN Regular" w:cs="Lohit Devanagari" w:ascii="Tinos" w:hAnsi="Tinos"/>
                <w:sz w:val="24"/>
              </w:rPr>
              <w:t xml:space="preserve">1 и </w:t>
            </w:r>
            <w:r>
              <w:rPr>
                <w:rFonts w:eastAsia="Source Han Sans CN Regular" w:cs="Lohit Devanagari"/>
                <w:sz w:val="24"/>
              </w:rPr>
              <w:t>&lt;1.5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Метр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rPr>
                <w:rFonts w:ascii="Tinos" w:hAnsi="Tinos" w:cs="Times New Roman"/>
                <w:b/>
                <w:b/>
                <w:iCs/>
                <w:color w:val="000000"/>
                <w:sz w:val="24"/>
              </w:rPr>
            </w:pPr>
            <w:r>
              <w:rPr>
                <w:rFonts w:cs="Times New Roman" w:ascii="Tinos" w:hAnsi="Tinos"/>
                <w:b/>
                <w:iCs/>
                <w:color w:val="000000"/>
                <w:sz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59" w:before="0" w:after="160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</w:r>
          </w:p>
        </w:tc>
      </w:tr>
      <w:tr>
        <w:trPr>
          <w:trHeight w:val="675" w:hRule="atLeast"/>
        </w:trPr>
        <w:tc>
          <w:tcPr>
            <w:tcW w:w="14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Tinos" w:hAnsi="Tinos" w:eastAsia="Times New Roman" w:cs="Times New Roman"/>
                <w:b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1505" w:hRule="exact"/>
        </w:trPr>
        <w:tc>
          <w:tcPr>
            <w:tcW w:w="145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</w:r>
          </w:p>
          <w:p>
            <w:pPr>
              <w:pStyle w:val="Standard"/>
              <w:widowControl w:val="false"/>
              <w:jc w:val="both"/>
              <w:rPr>
                <w:rFonts w:ascii="Tinos" w:hAnsi="Tinos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  <w:t>Гарантийный срок Поставщика на товар составляет не менее 12 (двенадцати) месяцев с момента подписания документа о приемке. В случае поставки товара, качество которого не соответствует условиям договора, Поставщик обязан заменить его товаром надлежащего качества или восстановить количество (комплектность) партии товара в срок не более 5 (пяти) календарных дней с момента подписания Акта об установленном расхождении по количеству и качеству при приемке товара.</w:t>
            </w:r>
          </w:p>
          <w:p>
            <w:pPr>
              <w:pStyle w:val="Standard"/>
              <w:widowControl w:val="false"/>
              <w:jc w:val="both"/>
              <w:rPr>
                <w:rFonts w:ascii="Tinos" w:hAnsi="Tinos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</w:rPr>
            </w:r>
          </w:p>
        </w:tc>
      </w:tr>
    </w:tbl>
    <w:p>
      <w:pPr>
        <w:pStyle w:val="Standard"/>
        <w:jc w:val="both"/>
        <w:rPr>
          <w:rFonts w:ascii="Calibri" w:hAnsi="Calibri" w:asciiTheme="minorHAnsi" w:hAnsiTheme="minorHAnsi"/>
          <w:sz w:val="24"/>
        </w:rPr>
      </w:pPr>
      <w:r>
        <w:rPr>
          <w:rFonts w:asciiTheme="minorHAnsi" w:hAnsiTheme="minorHAnsi" w:ascii="Calibri" w:hAnsi="Calibri"/>
          <w:sz w:val="24"/>
        </w:rPr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ab/>
        <w:t>Поставка товара осуществляется путем его доставки Государственному заказчику по адресу: Астраханская область, г Астрахань, ул. Тамбовская, 3</w:t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ab/>
        <w:t>Срок поставки товара: в течение 30 (тридцати) дней с даты заключения контракта. Поставка Товара производится Поставщиком в рабочие дни: с понедельника по четверг с 09.30 ч. до 17.30 ч., в пятницу с 09.30 ч. до 16.30 ч., обеденный перерыв с 13.00 ч. до 13.45 ч. (время местное). Поставщик не менее чем за 1 (один) рабочий день до осуществления поставки Товара уведомляет по телефону 8 (8512) 44-12-55 доб. 169 Заказчика о времени и дате доставки Товара в место поставки. Поставщик осуществляет доставку, погрузку, разгрузку и подъем Товара на этаж своими силами и за свой счет. Поставка товара осуществляется одной партией.</w:t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ab/>
        <w:t>Требования качеству товара, упаковке и маркировке: Товар должен соответствовать действующим стандартам и нормам по пожарной, санитарной и электрической безопасности, а также электромагнитной совместимости, в соответствии с номенклатурой продукции, в отношении которой законодательными актами Российской Федерации предусмотрена обязательная сертификация с документальным подтверждением, если такие требования установлены действующим законодательством. Товар должен быть новым (товар, который не был в употреблении), в исправном состоянии, без видимых повреждений и скрытых дефектов.</w:t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ab/>
        <w:t>Поставка товара осуществляется в упаковке, обеспечивающей сохранность товара. Весь товар при отгрузке должен быть должным образом упакован. Упаковка должна обеспечивать сохранность товара при транспортировке и погрузо-разгрузочных работах.</w:t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ab/>
        <w:t>Требования к документации: Поставщик при передаче товара предоставляет Заказчику необходимые для данного вида товара документы: сертификат качества, паспорта и другие документы предусмотренные законодательством Российской Федерации (при наличии).</w:t>
      </w:r>
    </w:p>
    <w:p>
      <w:pPr>
        <w:pStyle w:val="Standard"/>
        <w:jc w:val="both"/>
        <w:rPr>
          <w:rFonts w:ascii="Tinos" w:hAnsi="Tinos"/>
          <w:sz w:val="24"/>
        </w:rPr>
      </w:pPr>
      <w:r>
        <w:rPr>
          <w:rFonts w:cs="Times New Roman" w:ascii="Tinos" w:hAnsi="Tinos"/>
          <w:color w:val="000000"/>
          <w:sz w:val="24"/>
        </w:rPr>
        <w:tab/>
        <w:t xml:space="preserve">Прочие требования: Каждая единица поставляемого товара должна быть новой, не бывшей в употреблении, оригинальной от производителя, </w:t>
      </w:r>
      <w:r>
        <w:rPr>
          <w:rFonts w:eastAsia="Calibri" w:cs="Times New Roman" w:ascii="Tinos" w:hAnsi="Tinos"/>
          <w:color w:val="000000"/>
          <w:sz w:val="24"/>
        </w:rPr>
        <w:t>не ранее 2025 года выпуска</w:t>
      </w:r>
      <w:r>
        <w:rPr>
          <w:rFonts w:cs="Times New Roman" w:ascii="Tinos" w:hAnsi="Tinos"/>
          <w:color w:val="000000"/>
          <w:sz w:val="24"/>
        </w:rPr>
        <w:t>. Упаковка должна обеспечивать сохранность товара при транспортировке, погрузо-разгрузочных работах к конечному месту доставки и при последующем хранении. Поставляемые товары должны быть изготовлены в соответствии со стандартами, показателями и параметрами, утвержденными по каждому виду товара. Качество товара должно соответствовать требованиям ГОСТов, технических регламентов, иным нормативным документам по стандартизации и другим актам законодательства.</w:t>
      </w:r>
    </w:p>
    <w:p>
      <w:pPr>
        <w:pStyle w:val="Standard"/>
        <w:jc w:val="both"/>
        <w:rPr>
          <w:rFonts w:ascii="Tinos" w:hAnsi="Tinos" w:cs="Times New Roman"/>
          <w:color w:val="000000"/>
          <w:sz w:val="24"/>
        </w:rPr>
      </w:pPr>
      <w:r>
        <w:rPr>
          <w:rFonts w:cs="Times New Roman" w:ascii="Tinos" w:hAnsi="Tinos"/>
          <w:color w:val="000000"/>
          <w:sz w:val="24"/>
        </w:rPr>
        <w:tab/>
        <w:t>Убытки, возникшие в связи с заменой товара, несет Поставщик.</w:t>
      </w:r>
    </w:p>
    <w:p>
      <w:pPr>
        <w:pStyle w:val="Standard"/>
        <w:ind w:left="-851" w:firstLine="851"/>
        <w:jc w:val="both"/>
        <w:rPr>
          <w:rFonts w:ascii="Tinos" w:hAnsi="Tinos" w:cs="Times New Roman"/>
          <w:color w:val="000000"/>
          <w:sz w:val="24"/>
        </w:rPr>
      </w:pPr>
      <w:r>
        <w:rPr>
          <w:rFonts w:cs="Times New Roman" w:ascii="Tinos" w:hAnsi="Tinos"/>
          <w:color w:val="000000"/>
          <w:sz w:val="24"/>
        </w:rPr>
        <w:tab/>
        <w:t>Возврат товара ненадлежащего качества осуществляется силами и средствами Поставщика.</w:t>
      </w:r>
    </w:p>
    <w:p>
      <w:pPr>
        <w:pStyle w:val="Standard"/>
        <w:jc w:val="both"/>
        <w:rPr>
          <w:rFonts w:ascii="Tinos" w:hAnsi="Tinos"/>
          <w:b/>
          <w:b/>
          <w:bCs/>
          <w:sz w:val="24"/>
        </w:rPr>
      </w:pPr>
      <w:r>
        <w:rPr>
          <w:rFonts w:ascii="Tinos" w:hAnsi="Tinos"/>
          <w:b/>
          <w:bCs/>
          <w:sz w:val="24"/>
        </w:rPr>
        <w:tab/>
        <w:t>Товар должен соответствовать Постановлению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нужд».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709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75e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andard" w:customStyle="1">
    <w:name w:val="Standard"/>
    <w:qFormat/>
    <w:rsid w:val="00a975e9"/>
    <w:pPr>
      <w:widowControl w:val="false"/>
      <w:suppressAutoHyphens w:val="true"/>
      <w:bidi w:val="0"/>
      <w:spacing w:lineRule="auto" w:line="240" w:before="0" w:after="0"/>
      <w:jc w:val="center"/>
      <w:textAlignment w:val="baseline"/>
    </w:pPr>
    <w:rPr>
      <w:rFonts w:ascii="PT Astra Serif" w:hAnsi="PT Astra Serif" w:eastAsia="PT Astra Serif" w:cs="PT Astra Serif"/>
      <w:color w:val="auto"/>
      <w:kern w:val="2"/>
      <w:sz w:val="28"/>
      <w:szCs w:val="24"/>
      <w:lang w:eastAsia="ru-RU" w:val="ru-RU" w:bidi="ar-SA"/>
    </w:rPr>
  </w:style>
  <w:style w:type="paragraph" w:styleId="Style19" w:customStyle="1">
    <w:name w:val="Содержимое таблицы"/>
    <w:basedOn w:val="Standard"/>
    <w:qFormat/>
    <w:rsid w:val="00a975e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LibreOffice/7.2.7.2$Linux_X86_64 LibreOffice_project/20$Build-2</Application>
  <AppVersion>15.0000</AppVersion>
  <Pages>3</Pages>
  <Words>758</Words>
  <Characters>5301</Characters>
  <CharactersWithSpaces>5995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2026-08-11T06:09:00Z</dcterms:created>
  <dc:creator>User</dc:creator>
  <dc:description/>
  <dc:language>ru-RU</dc:language>
  <cp:lastModifiedBy/>
  <dcterms:modified xsi:type="dcterms:W3CDTF">2026-08-11T14:19:01Z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