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</w:t>
      </w:r>
      <w:r>
        <w:rPr>
          <w:rtl w:val="0"/>
        </w:rPr>
        <w:t xml:space="preserve">2162624</w:t>
      </w:r>
      <w:r>
        <w:br/>
      </w:r>
      <w:r>
        <w:rPr>
          <w:rtl w:val="0"/>
        </w:rPr>
        <w:t xml:space="preserve">на поставку канцелярских принадлежностей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Проректора по экономическому развитию и информатизации Малюкова Юрия Алексеевича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  <w:lang w:val="ru-RU"/>
        </w:rPr>
        <w:t xml:space="preserve">60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017184af-2658-46b2-81ee-07d99dd4eacd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hint="default" w:eastAsia="Arial Unicode MS" w:cs="Arial Unicode MS"/>
          <w:rtl w:val="0"/>
        </w:rPr>
        <w:t xml:space="preserve"> от </w:t>
      </w:r>
      <w:r>
        <w:rPr>
          <w:rFonts w:eastAsia="Arial Unicode MS" w:cs="Arial Unicode MS"/>
          <w:rtl w:val="0"/>
        </w:rPr>
        <w:t xml:space="preserve">01.0</w:t>
      </w:r>
      <w:r>
        <w:rPr>
          <w:rFonts w:eastAsia="Arial Unicode MS" w:cs="Arial Unicode MS"/>
          <w:rtl w:val="0"/>
          <w:lang w:val="ru-RU"/>
        </w:rPr>
        <w:t xml:space="preserve">4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организационно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правовая форма организации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</w:t>
      </w:r>
      <w:r>
        <w:rPr>
          <w:rFonts w:eastAsia="Arial Unicode MS" w:cs="Arial Unicode MS"/>
          <w:rtl w:val="0"/>
        </w:rPr>
        <w:t xml:space="preserve">.4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93 </w:t>
      </w:r>
      <w:r>
        <w:rPr>
          <w:rFonts w:hint="default" w:eastAsia="Arial Unicode MS" w:cs="Arial Unicode MS"/>
          <w:rtl w:val="0"/>
          <w:lang w:val="ru-RU"/>
        </w:rPr>
        <w:t xml:space="preserve">Федерального закона от </w:t>
      </w:r>
      <w:r>
        <w:rPr>
          <w:rFonts w:eastAsia="Arial Unicode MS" w:cs="Arial Unicode MS"/>
          <w:rtl w:val="0"/>
        </w:rPr>
        <w:t xml:space="preserve">05.04.2013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 «О Договорной системе в сфере закупок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для обеспечения государственных и муниципальных нужд»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ИКЗ </w:t>
      </w:r>
      <w:r>
        <w:rPr>
          <w:rFonts w:eastAsia="Arial Unicode MS" w:cs="Arial Unicode MS"/>
          <w:rtl w:val="0"/>
        </w:rPr>
        <w:t xml:space="preserve">261770500102077050100100030000000244)</w:t>
      </w:r>
      <w:r>
        <w:rPr>
          <w:rFonts w:hint="default" w:eastAsia="Arial Unicode MS" w:cs="Arial Unicode MS"/>
          <w:rtl w:val="0"/>
          <w:lang w:val="ru-RU"/>
        </w:rPr>
        <w:t xml:space="preserve"> 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олучения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от Поставщика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счёта на оплату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  <w:lang w:val="ru-RU"/>
        </w:rPr>
        <w:t xml:space="preserve">счёта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бумажном носителе или получения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  <w:lang w:val="ru-RU"/>
        </w:rPr>
        <w:t xml:space="preserve">трёх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hint="default" w:eastAsia="Arial Unicode MS" w:cs="Arial Unicode MS"/>
          <w:rtl w:val="0"/>
          <w:lang w:val="ru-RU"/>
        </w:rPr>
        <w:t xml:space="preserve"> направлять </w:t>
      </w:r>
      <w:r>
        <w:rPr>
          <w:rFonts w:hint="default" w:eastAsia="Arial Unicode MS" w:cs="Arial Unicode MS"/>
          <w:rtl w:val="0"/>
          <w:lang w:val="ru-RU"/>
        </w:rPr>
        <w:t xml:space="preserve">указанные</w:t>
      </w:r>
      <w:r>
        <w:rPr>
          <w:rFonts w:hint="default" w:eastAsia="Arial Unicode MS" w:cs="Arial Unicode MS"/>
          <w:rtl w:val="0"/>
          <w:lang w:val="ru-RU"/>
        </w:rPr>
        <w:t xml:space="preserve"> документы не позднее </w:t>
      </w:r>
      <w:r>
        <w:rPr>
          <w:rFonts w:eastAsia="Arial Unicode MS" w:cs="Arial Unicode MS"/>
          <w:rtl w:val="0"/>
          <w:lang w:val="ru-RU"/>
        </w:rPr>
        <w:t xml:space="preserve">5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</w:rPr>
        <w:t xml:space="preserve">Федеральному закону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  <w:lang w:val="ru-RU"/>
        </w:rPr>
        <w:t xml:space="preserve">ФЗ и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цены Договора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пунктом </w:t>
      </w:r>
      <w:r>
        <w:rPr>
          <w:rFonts w:eastAsia="Arial Unicode MS" w:cs="Arial Unicode MS"/>
          <w:rtl w:val="0"/>
        </w:rPr>
        <w:t xml:space="preserve">6.2.2 </w:t>
      </w:r>
      <w:r>
        <w:rPr>
          <w:rFonts w:hint="default" w:eastAsia="Arial Unicode MS" w:cs="Arial Unicode MS"/>
          <w:rtl w:val="0"/>
        </w:rPr>
        <w:t xml:space="preserve">Договора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Договоре таких обязательств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Поставщиком обязательств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гарантийного обязательства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Заказчик направляет Поставщику требование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каждый день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устанавливается Договором в размере одной трехсотой действующей на дату уплаты пени ключевой ставки Центрального банка Российской Федерации от цены Договора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отдельного этапа исполнения Договора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уменьшенной на сумму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пропорциональную объему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соответствующим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отдельным </w:t>
      </w:r>
      <w:r>
        <w:rPr>
          <w:rFonts w:hint="default" w:eastAsia="Arial Unicode MS" w:cs="Arial Unicode MS"/>
          <w:rtl w:val="0"/>
          <w:lang w:val="ru-RU"/>
        </w:rPr>
        <w:t xml:space="preserve">этап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исполнения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фактически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начисленных штрафов за неисполнение или ненадлежащее исполнение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каждый факт неисполнения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вправе потребовать уплаты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каждый день просрочки исполнения 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 в размере одной трехсотой действующей на дату уплаты пени ключевой ставки Центрального банка Российской Федерации от не уплаченной в срок суммы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</w:t>
      </w:r>
      <w:r>
        <w:rPr>
          <w:rFonts w:hint="default" w:eastAsia="Arial Unicode MS" w:cs="Arial Unicode MS"/>
          <w:rtl w:val="0"/>
          <w:lang w:val="ru-RU"/>
        </w:rPr>
        <w:t xml:space="preserve">ых штрафов</w:t>
      </w:r>
      <w:r>
        <w:rPr>
          <w:rFonts w:hint="default" w:eastAsia="Arial Unicode MS" w:cs="Arial Unicode MS"/>
          <w:rtl w:val="0"/>
          <w:lang w:val="ru-RU"/>
        </w:rPr>
        <w:t xml:space="preserve"> за ненадлежащее исполнение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в том числе рассчитывается как процент цены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Договором предусмотрены этапы исполнения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как процент этапа исполнения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штрафа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пени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пени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31.08.2026,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1027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1211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601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193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37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2162624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26"/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Техническое задание </w:t>
        <w:br/>
      </w:r>
      <w:r>
        <w:rPr>
          <w:rtl w:val="0"/>
        </w:rPr>
        <w:t xml:space="preserve">на поставк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канцелярских принадлежностей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7"/>
        <w:pBdr/>
        <w:bidi w:val="false"/>
        <w:spacing/>
        <w:ind/>
        <w:rPr/>
      </w:pPr>
      <w:r>
        <w:rPr>
          <w:rtl w:val="0"/>
        </w:rPr>
        <w:t xml:space="preserve">ДО</w:t>
      </w:r>
      <w:r>
        <w:rPr>
          <w:rtl w:val="0"/>
        </w:rPr>
        <w:t xml:space="preserve">14</w:t>
      </w:r>
      <w:r/>
    </w:p>
    <w:p>
      <w:pPr>
        <w:pStyle w:val="1035"/>
        <w:numPr>
          <w:ilvl w:val="0"/>
          <w:numId w:val="48"/>
        </w:numPr>
        <w:pBdr/>
        <w:bidi w:val="false"/>
        <w:spacing/>
        <w:ind/>
        <w:rPr/>
      </w:pPr>
      <w:r>
        <w:rPr>
          <w:rtl w:val="0"/>
        </w:rPr>
        <w:t xml:space="preserve">Объект закупки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</w: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</w:rPr>
        <w:t xml:space="preserve">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канцелярских принадлежностей</w:t>
      </w:r>
      <w:r>
        <w:rPr>
          <w:rFonts w:hint="default" w:eastAsia="Arial Unicode MS" w:cs="Arial Unicode MS"/>
          <w:rtl w:val="0"/>
        </w:rPr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</w:t>
      </w:r>
      <w:r>
        <w:rPr>
          <w:rtl w:val="0"/>
          <w:lang w:val="ru-RU"/>
        </w:rPr>
        <w:t xml:space="preserve">исполнения обязательств Поставщиком </w:t>
      </w:r>
      <w:r>
        <w:rPr>
          <w:rtl w:val="0"/>
          <w:lang w:val="ru-RU"/>
        </w:rPr>
        <w:t xml:space="preserve">(</w:t>
      </w:r>
      <w:r>
        <w:rPr>
          <w:rtl w:val="0"/>
          <w:lang w:val="ru-RU"/>
        </w:rPr>
        <w:t xml:space="preserve">подрядчиком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Исполнителем</w:t>
      </w:r>
      <w:r>
        <w:rPr>
          <w:rtl w:val="0"/>
          <w:lang w:val="ru-RU"/>
        </w:rPr>
        <w:t xml:space="preserve">)</w:t>
      </w:r>
      <w:r>
        <w:rPr>
          <w:rtl w:val="0"/>
        </w:rPr>
        <w:t xml:space="preserve">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  <w:lang w:val="ru-RU"/>
        </w:rPr>
        <w:t xml:space="preserve">трёх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Контракта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Настоящим Техническим заданием установлен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исполнения</w:t>
      </w:r>
      <w:r>
        <w:rPr>
          <w:rFonts w:hint="default" w:eastAsia="Arial Unicode MS" w:cs="Arial Unicode MS"/>
          <w:rtl w:val="0"/>
          <w:lang w:val="ru-RU"/>
        </w:rPr>
        <w:t xml:space="preserve">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услуг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по</w:t>
      </w:r>
      <w:r>
        <w:rPr>
          <w:rFonts w:hint="default" w:eastAsia="Arial Unicode MS" w:cs="Arial Unicode MS"/>
          <w:rtl w:val="0"/>
        </w:rPr>
        <w:t xml:space="preserve"> Контракт</w:t>
      </w:r>
      <w:r>
        <w:rPr>
          <w:rFonts w:hint="default" w:eastAsia="Arial Unicode MS" w:cs="Arial Unicode MS"/>
          <w:rtl w:val="0"/>
          <w:lang w:val="ru-RU"/>
        </w:rPr>
        <w:t xml:space="preserve">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hint="default" w:eastAsia="Arial Unicode MS" w:cs="Arial Unicode MS"/>
          <w:rtl w:val="0"/>
          <w:lang w:val="ru-RU"/>
        </w:rPr>
        <w:t xml:space="preserve"> его действия</w:t>
      </w:r>
      <w:r>
        <w:rPr>
          <w:rFonts w:hint="default" w:eastAsia="Arial Unicode MS" w:cs="Arial Unicode MS"/>
          <w:rtl w:val="0"/>
          <w:lang w:val="ru-RU"/>
        </w:rPr>
        <w:t xml:space="preserve"> и 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  <w:lang w:val="ru-RU"/>
        </w:rPr>
        <w:t xml:space="preserve"> Технического задания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Адрес исполнения обязательств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(</w:t>
      </w:r>
      <w:r>
        <w:rPr>
          <w:rtl w:val="0"/>
        </w:rPr>
        <w:t xml:space="preserve">поставки товара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выполнения работ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оказания услуг</w:t>
      </w:r>
      <w:r>
        <w:rPr>
          <w:rtl w:val="0"/>
        </w:rPr>
        <w:t xml:space="preserve">):</w:t>
      </w:r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переулок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 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 8.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порядку поставки товара</w:t>
      </w:r>
      <w:r>
        <w:rPr>
          <w:rtl w:val="0"/>
        </w:rPr>
        <w:t xml:space="preserve">: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передачи Товара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Поставщик обязан направлять указанные документы не позднее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нему документы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</w:rPr>
        <w:t xml:space="preserve">):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качеству товара и гарантийным обязательствам</w:t>
      </w:r>
      <w:r>
        <w:rPr>
          <w:rtl w:val="0"/>
        </w:rPr>
        <w:t xml:space="preserve">: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счет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Сопутствующие услуги</w:t>
      </w:r>
      <w:r>
        <w:rPr>
          <w:rFonts w:eastAsia="Arial Unicode MS" w:cs="Arial Unicode MS"/>
          <w:rtl w:val="0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требования к их</w:t>
      </w:r>
      <w:r>
        <w:rPr>
          <w:rFonts w:hint="default" w:eastAsia="Arial Unicode MS" w:cs="Arial Unicode MS"/>
          <w:rtl w:val="0"/>
          <w:lang w:val="ru-RU"/>
        </w:rPr>
        <w:t xml:space="preserve"> оказанию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выполнению</w:t>
      </w:r>
      <w:r>
        <w:rPr>
          <w:rFonts w:eastAsia="Arial Unicode MS" w:cs="Arial Unicode MS"/>
          <w:rtl w:val="0"/>
        </w:rPr>
        <w:t xml:space="preserve">: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следующие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поставкой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упаковка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маркировка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погрузка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разгрузка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доставка Товара к месту поставки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подъём Товара на этаж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расположении места поставки выше первого этажа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вывоз упаковочного материала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1027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Представитель поставщика при поставке обязан произвести инструктаж по эксплуатации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демонстрация базовых функций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ответы на вопросы пользователей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5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Технические характеристики и количество поставляемого товара</w:t>
      </w:r>
      <w:r>
        <w:rPr>
          <w:rtl w:val="0"/>
        </w:rPr>
        <w:t xml:space="preserve">: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2146"/>
        <w:gridCol w:w="4702"/>
        <w:gridCol w:w="1383"/>
        <w:gridCol w:w="1383"/>
      </w:tblGrid>
      <w:tr>
        <w:trPr>
          <w:trHeight w:val="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Ватман бумага чертёжная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упаковка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листов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190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поставляться в пачках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листов в пачке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белый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Стикеры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цвета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поставляться в блоках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цветов в блоке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листов в блоке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спикера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Высота спикера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Ручка шариковая неавтоматическая синяя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 линии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0,35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150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Скобы для степлера №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26/6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оцинкованные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упаковка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1000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26/6;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поставляться в упаковках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в упаковке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..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Ватман бумага чертежная 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упаковка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листов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190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поставляться в пачках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листов в пачке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белый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Скоросшиватель картонный Дело №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"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Дело №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";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380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Максимальная вместимость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листов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000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Батарейка ААА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ААА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Напряжение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1,5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150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Батарейка АА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АА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Напряжение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1,5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150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Папка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регистратор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70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ПВХ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голубая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голубой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Вместимость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480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листов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Папка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регистратор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ПВХ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голубая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4; 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голубой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103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2162624</w:t>
      </w:r>
      <w:r/>
    </w:p>
    <w:p>
      <w:pPr>
        <w:pStyle w:val="103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1027"/>
        <w:pBdr/>
        <w:bidi w:val="false"/>
        <w:spacing/>
        <w:ind/>
        <w:rPr/>
      </w:pPr>
      <w:r/>
      <w:r/>
    </w:p>
    <w:p>
      <w:pPr>
        <w:pStyle w:val="1032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49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Поставка канцелярских принадлежностей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3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1042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p>
      <w:pPr>
        <w:pStyle w:val="1027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1027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4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1033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1027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center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4">
    <w:numStyleLink w:val="1036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5">
    <w:styleLink w:val="1036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1036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5"/>
  </w:num>
  <w:num w:numId="46">
    <w:abstractNumId w:val="44"/>
  </w:num>
  <w:num w:numId="47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8">
    <w:abstractNumId w:val="4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Table Grid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>
    <w:name w:val="Heading 1"/>
    <w:basedOn w:val="1020"/>
    <w:next w:val="1020"/>
    <w:link w:val="97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62">
    <w:name w:val="Heading 2"/>
    <w:basedOn w:val="1020"/>
    <w:next w:val="1020"/>
    <w:link w:val="9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63">
    <w:name w:val="Heading 3"/>
    <w:basedOn w:val="1020"/>
    <w:next w:val="1020"/>
    <w:link w:val="9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4">
    <w:name w:val="Heading 4"/>
    <w:basedOn w:val="1020"/>
    <w:next w:val="1020"/>
    <w:link w:val="9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5">
    <w:name w:val="Heading 5"/>
    <w:basedOn w:val="1020"/>
    <w:next w:val="1020"/>
    <w:link w:val="9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66">
    <w:name w:val="Heading 6"/>
    <w:basedOn w:val="1020"/>
    <w:next w:val="1020"/>
    <w:link w:val="9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7">
    <w:name w:val="Heading 7"/>
    <w:basedOn w:val="1020"/>
    <w:next w:val="1020"/>
    <w:link w:val="9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8">
    <w:name w:val="Heading 8"/>
    <w:basedOn w:val="1020"/>
    <w:next w:val="1020"/>
    <w:link w:val="9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9">
    <w:name w:val="Heading 9"/>
    <w:basedOn w:val="1020"/>
    <w:next w:val="1020"/>
    <w:link w:val="9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0">
    <w:name w:val="Heading 1 Char"/>
    <w:basedOn w:val="1021"/>
    <w:link w:val="9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1">
    <w:name w:val="Heading 2 Char"/>
    <w:basedOn w:val="1021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2">
    <w:name w:val="Heading 3 Char"/>
    <w:basedOn w:val="1021"/>
    <w:link w:val="9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3">
    <w:name w:val="Heading 4 Char"/>
    <w:basedOn w:val="1021"/>
    <w:link w:val="96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4">
    <w:name w:val="Heading 5 Char"/>
    <w:basedOn w:val="1021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75">
    <w:name w:val="Heading 6 Char"/>
    <w:basedOn w:val="1021"/>
    <w:link w:val="9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6">
    <w:name w:val="Heading 7 Char"/>
    <w:basedOn w:val="1021"/>
    <w:link w:val="9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7">
    <w:name w:val="Heading 8 Char"/>
    <w:basedOn w:val="1021"/>
    <w:link w:val="9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8">
    <w:name w:val="Heading 9 Char"/>
    <w:basedOn w:val="1021"/>
    <w:link w:val="9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79">
    <w:name w:val="Title"/>
    <w:basedOn w:val="1020"/>
    <w:next w:val="1020"/>
    <w:link w:val="9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0">
    <w:name w:val="Title Char"/>
    <w:basedOn w:val="1021"/>
    <w:link w:val="9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1">
    <w:name w:val="Subtitle"/>
    <w:basedOn w:val="1020"/>
    <w:next w:val="1020"/>
    <w:link w:val="9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2">
    <w:name w:val="Subtitle Char"/>
    <w:basedOn w:val="1021"/>
    <w:link w:val="9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3">
    <w:name w:val="Quote"/>
    <w:basedOn w:val="1020"/>
    <w:next w:val="1020"/>
    <w:link w:val="9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4">
    <w:name w:val="Quote Char"/>
    <w:basedOn w:val="1021"/>
    <w:link w:val="98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85">
    <w:name w:val="List Paragraph"/>
    <w:basedOn w:val="1020"/>
    <w:uiPriority w:val="34"/>
    <w:qFormat/>
    <w:pPr>
      <w:pBdr/>
      <w:spacing/>
      <w:ind w:left="720"/>
      <w:contextualSpacing w:val="true"/>
    </w:pPr>
  </w:style>
  <w:style w:type="character" w:styleId="986">
    <w:name w:val="Intense Emphasis"/>
    <w:basedOn w:val="10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7">
    <w:name w:val="Intense Quote"/>
    <w:basedOn w:val="1020"/>
    <w:next w:val="1020"/>
    <w:link w:val="9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8">
    <w:name w:val="Intense Quote Char"/>
    <w:basedOn w:val="1021"/>
    <w:link w:val="9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9">
    <w:name w:val="Intense Reference"/>
    <w:basedOn w:val="10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90">
    <w:name w:val="No Spacing"/>
    <w:basedOn w:val="1020"/>
    <w:uiPriority w:val="1"/>
    <w:qFormat/>
    <w:pPr>
      <w:pBdr/>
      <w:spacing w:after="0" w:line="240" w:lineRule="auto"/>
      <w:ind/>
    </w:pPr>
  </w:style>
  <w:style w:type="character" w:styleId="991">
    <w:name w:val="Subtle Emphasis"/>
    <w:basedOn w:val="10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2">
    <w:name w:val="Emphasis"/>
    <w:basedOn w:val="1021"/>
    <w:uiPriority w:val="20"/>
    <w:qFormat/>
    <w:pPr>
      <w:pBdr/>
      <w:spacing/>
      <w:ind/>
    </w:pPr>
    <w:rPr>
      <w:i/>
      <w:iCs/>
    </w:rPr>
  </w:style>
  <w:style w:type="character" w:styleId="993">
    <w:name w:val="Strong"/>
    <w:basedOn w:val="1021"/>
    <w:uiPriority w:val="22"/>
    <w:qFormat/>
    <w:pPr>
      <w:pBdr/>
      <w:spacing/>
      <w:ind/>
    </w:pPr>
    <w:rPr>
      <w:b/>
      <w:bCs/>
    </w:rPr>
  </w:style>
  <w:style w:type="character" w:styleId="994">
    <w:name w:val="Subtle Reference"/>
    <w:basedOn w:val="10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5">
    <w:name w:val="Book Title"/>
    <w:basedOn w:val="102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96">
    <w:name w:val="Header"/>
    <w:basedOn w:val="1020"/>
    <w:link w:val="9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7">
    <w:name w:val="Header Char"/>
    <w:basedOn w:val="1021"/>
    <w:link w:val="996"/>
    <w:uiPriority w:val="99"/>
    <w:pPr>
      <w:pBdr/>
      <w:spacing/>
      <w:ind/>
    </w:pPr>
  </w:style>
  <w:style w:type="paragraph" w:styleId="998">
    <w:name w:val="Footer"/>
    <w:basedOn w:val="1020"/>
    <w:link w:val="9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9">
    <w:name w:val="Footer Char"/>
    <w:basedOn w:val="1021"/>
    <w:link w:val="998"/>
    <w:uiPriority w:val="99"/>
    <w:pPr>
      <w:pBdr/>
      <w:spacing/>
      <w:ind/>
    </w:pPr>
  </w:style>
  <w:style w:type="paragraph" w:styleId="1000">
    <w:name w:val="Caption"/>
    <w:basedOn w:val="1020"/>
    <w:next w:val="10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01">
    <w:name w:val="footnote text"/>
    <w:basedOn w:val="1020"/>
    <w:link w:val="10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2">
    <w:name w:val="Footnote Text Char"/>
    <w:basedOn w:val="1021"/>
    <w:link w:val="1001"/>
    <w:uiPriority w:val="99"/>
    <w:semiHidden/>
    <w:pPr>
      <w:pBdr/>
      <w:spacing/>
      <w:ind/>
    </w:pPr>
    <w:rPr>
      <w:sz w:val="20"/>
      <w:szCs w:val="20"/>
    </w:rPr>
  </w:style>
  <w:style w:type="character" w:styleId="1003">
    <w:name w:val="foot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1020"/>
    <w:link w:val="10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5">
    <w:name w:val="Endnote Text Char"/>
    <w:basedOn w:val="1021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endnote reference"/>
    <w:basedOn w:val="1021"/>
    <w:uiPriority w:val="99"/>
    <w:semiHidden/>
    <w:unhideWhenUsed/>
    <w:pPr>
      <w:pBdr/>
      <w:spacing/>
      <w:ind/>
    </w:pPr>
    <w:rPr>
      <w:vertAlign w:val="superscript"/>
    </w:rPr>
  </w:style>
  <w:style w:type="character" w:styleId="1007">
    <w:name w:val="FollowedHyperlink"/>
    <w:basedOn w:val="10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8">
    <w:name w:val="toc 1"/>
    <w:basedOn w:val="1020"/>
    <w:next w:val="1020"/>
    <w:uiPriority w:val="39"/>
    <w:unhideWhenUsed/>
    <w:pPr>
      <w:pBdr/>
      <w:spacing w:after="100"/>
      <w:ind/>
    </w:pPr>
  </w:style>
  <w:style w:type="paragraph" w:styleId="1009">
    <w:name w:val="toc 2"/>
    <w:basedOn w:val="1020"/>
    <w:next w:val="1020"/>
    <w:uiPriority w:val="39"/>
    <w:unhideWhenUsed/>
    <w:pPr>
      <w:pBdr/>
      <w:spacing w:after="100"/>
      <w:ind w:left="220"/>
    </w:pPr>
  </w:style>
  <w:style w:type="paragraph" w:styleId="1010">
    <w:name w:val="toc 3"/>
    <w:basedOn w:val="1020"/>
    <w:next w:val="1020"/>
    <w:uiPriority w:val="39"/>
    <w:unhideWhenUsed/>
    <w:pPr>
      <w:pBdr/>
      <w:spacing w:after="100"/>
      <w:ind w:left="440"/>
    </w:pPr>
  </w:style>
  <w:style w:type="paragraph" w:styleId="1011">
    <w:name w:val="toc 4"/>
    <w:basedOn w:val="1020"/>
    <w:next w:val="1020"/>
    <w:uiPriority w:val="39"/>
    <w:unhideWhenUsed/>
    <w:pPr>
      <w:pBdr/>
      <w:spacing w:after="100"/>
      <w:ind w:left="660"/>
    </w:pPr>
  </w:style>
  <w:style w:type="paragraph" w:styleId="1012">
    <w:name w:val="toc 5"/>
    <w:basedOn w:val="1020"/>
    <w:next w:val="1020"/>
    <w:uiPriority w:val="39"/>
    <w:unhideWhenUsed/>
    <w:pPr>
      <w:pBdr/>
      <w:spacing w:after="100"/>
      <w:ind w:left="880"/>
    </w:pPr>
  </w:style>
  <w:style w:type="paragraph" w:styleId="1013">
    <w:name w:val="toc 6"/>
    <w:basedOn w:val="1020"/>
    <w:next w:val="1020"/>
    <w:uiPriority w:val="39"/>
    <w:unhideWhenUsed/>
    <w:pPr>
      <w:pBdr/>
      <w:spacing w:after="100"/>
      <w:ind w:left="1100"/>
    </w:pPr>
  </w:style>
  <w:style w:type="paragraph" w:styleId="1014">
    <w:name w:val="toc 7"/>
    <w:basedOn w:val="1020"/>
    <w:next w:val="1020"/>
    <w:uiPriority w:val="39"/>
    <w:unhideWhenUsed/>
    <w:pPr>
      <w:pBdr/>
      <w:spacing w:after="100"/>
      <w:ind w:left="1320"/>
    </w:pPr>
  </w:style>
  <w:style w:type="paragraph" w:styleId="1015">
    <w:name w:val="toc 8"/>
    <w:basedOn w:val="1020"/>
    <w:next w:val="1020"/>
    <w:uiPriority w:val="39"/>
    <w:unhideWhenUsed/>
    <w:pPr>
      <w:pBdr/>
      <w:spacing w:after="100"/>
      <w:ind w:left="1540"/>
    </w:pPr>
  </w:style>
  <w:style w:type="paragraph" w:styleId="1016">
    <w:name w:val="toc 9"/>
    <w:basedOn w:val="1020"/>
    <w:next w:val="1020"/>
    <w:uiPriority w:val="39"/>
    <w:unhideWhenUsed/>
    <w:pPr>
      <w:pBdr/>
      <w:spacing w:after="100"/>
      <w:ind w:left="1760"/>
    </w:pPr>
  </w:style>
  <w:style w:type="character" w:styleId="1017">
    <w:name w:val="Placeholder Text"/>
    <w:basedOn w:val="1021"/>
    <w:uiPriority w:val="99"/>
    <w:semiHidden/>
    <w:pPr>
      <w:pBdr/>
      <w:spacing/>
      <w:ind/>
    </w:pPr>
    <w:rPr>
      <w:color w:val="666666"/>
    </w:rPr>
  </w:style>
  <w:style w:type="paragraph" w:styleId="1018">
    <w:name w:val="TOC Heading"/>
    <w:uiPriority w:val="39"/>
    <w:unhideWhenUsed/>
    <w:pPr>
      <w:pBdr/>
      <w:spacing/>
      <w:ind/>
    </w:pPr>
  </w:style>
  <w:style w:type="paragraph" w:styleId="1019">
    <w:name w:val="table of figures"/>
    <w:basedOn w:val="1020"/>
    <w:next w:val="1020"/>
    <w:uiPriority w:val="99"/>
    <w:unhideWhenUsed/>
    <w:pPr>
      <w:pBdr/>
      <w:spacing w:after="0" w:afterAutospacing="0"/>
      <w:ind/>
    </w:pPr>
  </w:style>
  <w:style w:type="paragraph" w:styleId="1020" w:default="1">
    <w:name w:val="Normal"/>
    <w:next w:val="1020"/>
    <w:pPr>
      <w:pBdr/>
      <w:spacing/>
      <w:ind/>
    </w:pPr>
    <w:rPr>
      <w:sz w:val="24"/>
      <w:szCs w:val="24"/>
      <w:lang w:val="en-US" w:eastAsia="en-US" w:bidi="ar-SA"/>
    </w:rPr>
  </w:style>
  <w:style w:type="character" w:styleId="1021" w:default="1">
    <w:name w:val="Default Paragraph Font"/>
    <w:next w:val="1021"/>
    <w:pPr>
      <w:pBdr/>
      <w:spacing/>
      <w:ind/>
    </w:pPr>
  </w:style>
  <w:style w:type="character" w:styleId="1022">
    <w:name w:val="Hyperlink"/>
    <w:pPr>
      <w:pBdr/>
      <w:spacing/>
      <w:ind/>
    </w:pPr>
    <w:rPr>
      <w:u w:val="single"/>
    </w:rPr>
  </w:style>
  <w:style w:type="table" w:styleId="1023">
    <w:name w:val="Table Normal"/>
    <w:next w:val="1023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4" w:default="1">
    <w:name w:val="No List"/>
    <w:next w:val="1024"/>
    <w:pPr>
      <w:pBdr/>
      <w:spacing/>
      <w:ind/>
    </w:pPr>
  </w:style>
  <w:style w:type="paragraph" w:styleId="1025">
    <w:name w:val="Колонтитулы"/>
    <w:next w:val="1025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1026">
    <w:name w:val="Заголовок"/>
    <w:next w:val="102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7">
    <w:name w:val="Текст"/>
    <w:next w:val="102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8">
    <w:name w:val="Заголовок таблицы 11"/>
    <w:next w:val="102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29">
    <w:name w:val="Подзаголовок таблицы 11"/>
    <w:next w:val="102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0">
    <w:name w:val="Текст таблицы по центру 11"/>
    <w:next w:val="103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1">
    <w:name w:val="Текст таблицы слева 11"/>
    <w:next w:val="103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2">
    <w:name w:val="Заголовок содержания"/>
    <w:next w:val="103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1033">
    <w:name w:val="Текст таблицы слева 12"/>
    <w:next w:val="103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4">
    <w:name w:val="Текст таблицы справа 12"/>
    <w:next w:val="103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5">
    <w:name w:val="Подзаголовок нумерации"/>
    <w:next w:val="103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1036">
    <w:name w:val="С числами - многоуровневая нумерация"/>
    <w:pPr>
      <w:numPr>
        <w:numId w:val="45"/>
      </w:numPr>
      <w:pBdr/>
      <w:spacing/>
      <w:ind/>
    </w:pPr>
  </w:style>
  <w:style w:type="paragraph" w:styleId="1037">
    <w:name w:val="Текст маркировки"/>
    <w:next w:val="103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1038">
    <w:name w:val="Текст с выравниванием справа"/>
    <w:next w:val="103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39">
    <w:name w:val="Текст с выравниванием слева"/>
    <w:next w:val="103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0">
    <w:name w:val="Заголовок таблицы 12"/>
    <w:next w:val="104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1">
    <w:name w:val="Текст таблицы по центру 12"/>
    <w:next w:val="104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1042">
    <w:name w:val="Текст строки итогов таблицы 11"/>
    <w:next w:val="104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modified xsi:type="dcterms:W3CDTF">2026-07-21T07:22:31Z</dcterms:modified>
</cp:coreProperties>
</file>