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;Times New Roman" w:hAnsi="Times;Times New Roman" w:eastAsia="PT Astra Serif" w:cs="Times;Times New Roman"/>
          <w:color w:val="000000"/>
          <w:shd w:fill="auto" w:val="clear"/>
          <w:lang w:val="ru-RU"/>
        </w:rPr>
      </w:pPr>
      <w:r>
        <w:rPr>
          <w:rFonts w:eastAsia="Times;Times New Roman" w:cs="Times;Times New Roman" w:ascii="Times;Times New Roman" w:hAnsi="Times;Times New Roman"/>
        </w:rPr>
        <w:t xml:space="preserve">                          </w:t>
      </w:r>
      <w:r>
        <w:rPr>
          <w:rFonts w:cs="Times;Times New Roman" w:ascii="Times;Times New Roman" w:hAnsi="Times;Times New Roman"/>
        </w:rPr>
        <w:t xml:space="preserve">Договор № </w:t>
      </w:r>
    </w:p>
    <w:p>
      <w:pPr>
        <w:pStyle w:val="Normal"/>
        <w:jc w:val="center"/>
        <w:rPr>
          <w:color w:val="000000"/>
          <w:spacing w:val="-4"/>
          <w:shd w:fill="auto" w:val="clear"/>
        </w:rPr>
      </w:pPr>
      <w:r>
        <w:rPr>
          <w:rFonts w:eastAsia="PT Astra Serif" w:cs="Times;Times New Roman" w:ascii="Times;Times New Roman" w:hAnsi="Times;Times New Roman"/>
          <w:color w:val="000000"/>
          <w:shd w:fill="auto" w:val="clear"/>
          <w:lang w:val="ru-RU"/>
        </w:rPr>
        <w:t xml:space="preserve">г. Самара                             </w:t>
      </w:r>
      <w:r>
        <w:rPr>
          <w:rFonts w:eastAsia="PT Astra Serif" w:cs="Times;Times New Roman" w:ascii="Times;Times New Roman" w:hAnsi="Times;Times New Roman"/>
          <w:color w:val="000000"/>
          <w:shd w:fill="auto" w:val="clear"/>
        </w:rPr>
        <w:t xml:space="preserve">                                                                       «___»_____________20__ года</w:t>
      </w:r>
    </w:p>
    <w:p>
      <w:pPr>
        <w:pStyle w:val="Normal"/>
        <w:tabs>
          <w:tab w:val="clear" w:pos="708"/>
          <w:tab w:val="left" w:pos="567" w:leader="none"/>
          <w:tab w:val="left" w:pos="851" w:leader="none"/>
        </w:tabs>
        <w:spacing w:before="0" w:after="0"/>
        <w:ind w:firstLine="567" w:end="0"/>
        <w:rPr>
          <w:color w:val="000000"/>
          <w:spacing w:val="-4"/>
          <w:shd w:fill="auto" w:val="clear"/>
        </w:rPr>
      </w:pPr>
      <w:r>
        <w:rPr>
          <w:color w:val="000000"/>
          <w:spacing w:val="-4"/>
          <w:shd w:fill="auto" w:val="clear"/>
        </w:rPr>
      </w:r>
    </w:p>
    <w:p>
      <w:pPr>
        <w:pStyle w:val="Normal"/>
        <w:jc w:val="both"/>
        <w:rPr>
          <w:rFonts w:ascii="Times;Times New Roman" w:hAnsi="Times;Times New Roman" w:cs="Times;Times New Roman"/>
        </w:rPr>
      </w:pPr>
      <w:r>
        <w:rPr>
          <w:rFonts w:eastAsia="Times New Roman" w:cs="Times;Times New Roman" w:ascii="Times;Times New Roman" w:hAnsi="Times;Times New Roman"/>
          <w:b/>
          <w:bCs/>
          <w:color w:val="000000"/>
          <w:spacing w:val="0"/>
          <w:sz w:val="24"/>
          <w:szCs w:val="24"/>
          <w:shd w:fill="auto" w:val="clear"/>
          <w:lang w:val="ru-RU" w:eastAsia="ar-SA" w:bidi="ar-SA"/>
        </w:rPr>
        <w:t>Главное управление Федеральной службы судебных приставов по Самарской области</w:t>
      </w:r>
      <w:r>
        <w:rPr>
          <w:rFonts w:eastAsia="Times New Roman" w:cs="Times;Times New Roman" w:ascii="Times;Times New Roman" w:hAnsi="Times;Times New Roman"/>
          <w:b w:val="false"/>
          <w:bCs w:val="false"/>
          <w:color w:val="000000"/>
          <w:spacing w:val="0"/>
          <w:sz w:val="24"/>
          <w:szCs w:val="24"/>
          <w:shd w:fill="auto" w:val="clear"/>
          <w:lang w:val="ru-RU" w:eastAsia="ar-SA" w:bidi="ar-SA"/>
        </w:rPr>
        <w:t xml:space="preserve">, именуемое в дальнейшем "Заказчик" в лице заместителя </w:t>
      </w:r>
      <w:r>
        <w:rPr>
          <w:rFonts w:eastAsia="Times New Roman" w:cs="Times;Times New Roman" w:ascii="Times;Times New Roman" w:hAnsi="Times;Times New Roman"/>
          <w:b w:val="false"/>
          <w:bCs w:val="false"/>
          <w:color w:val="000000"/>
          <w:spacing w:val="0"/>
          <w:sz w:val="24"/>
          <w:szCs w:val="24"/>
          <w:shd w:fill="auto" w:val="clear"/>
          <w:lang w:val="ru-RU" w:eastAsia="ru-RU" w:bidi="ar-SA"/>
        </w:rPr>
        <w:t>руководителя ГУФССП России по Самарской области — заместителя главного судебного пристава Самарской области майора внутренней службы Корсунова Сергея Аркадьевича</w:t>
      </w:r>
      <w:r>
        <w:rPr>
          <w:rFonts w:eastAsia="Times New Roman" w:cs="Times;Times New Roman" w:ascii="Times;Times New Roman" w:hAnsi="Times;Times New Roman"/>
          <w:b w:val="false"/>
          <w:bCs w:val="false"/>
          <w:color w:val="000000"/>
          <w:spacing w:val="0"/>
          <w:sz w:val="24"/>
          <w:szCs w:val="24"/>
          <w:shd w:fill="auto" w:val="clear"/>
          <w:lang w:val="ru-RU" w:eastAsia="ar-SA" w:bidi="ar-SA"/>
        </w:rPr>
        <w:t xml:space="preserve">, действующего на основании Доверенности, </w:t>
      </w:r>
      <w:r>
        <w:rPr>
          <w:rStyle w:val="S1"/>
          <w:rFonts w:eastAsia="Times New Roman" w:cs="Times;Times New Roman" w:ascii="Times;Times New Roman" w:hAnsi="Times;Times New Roman"/>
          <w:b w:val="false"/>
          <w:bCs w:val="false"/>
          <w:color w:val="000000"/>
          <w:spacing w:val="0"/>
          <w:sz w:val="24"/>
          <w:szCs w:val="24"/>
          <w:shd w:fill="FFFFFF" w:val="clear"/>
          <w:lang w:val="ru-RU" w:eastAsia="ar-SA" w:bidi="ar-SA"/>
        </w:rPr>
        <w:t>от 17.05.2024 № Д-63908/24/1514</w:t>
      </w:r>
      <w:r>
        <w:rPr>
          <w:rFonts w:eastAsia="Times New Roman" w:cs="Times;Times New Roman" w:ascii="Times;Times New Roman" w:hAnsi="Times;Times New Roman"/>
          <w:b w:val="false"/>
          <w:bCs w:val="false"/>
          <w:color w:val="000000"/>
          <w:spacing w:val="0"/>
          <w:sz w:val="24"/>
          <w:szCs w:val="24"/>
          <w:shd w:fill="auto" w:val="clear"/>
          <w:lang w:val="ru-RU" w:eastAsia="ar-SA" w:bidi="ar-SA"/>
        </w:rPr>
        <w:t>, с одной стороны, и ____________________________________</w:t>
      </w:r>
      <w:r>
        <w:rPr>
          <w:rFonts w:eastAsia="Times New Roman" w:cs="Times;Times New Roman" w:ascii="Times;Times New Roman" w:hAnsi="Times;Times New Roman"/>
          <w:b w:val="false"/>
          <w:bCs w:val="false"/>
          <w:i w:val="false"/>
          <w:iCs w:val="false"/>
          <w:color w:val="000000"/>
          <w:spacing w:val="-6"/>
          <w:sz w:val="24"/>
          <w:szCs w:val="24"/>
          <w:shd w:fill="auto" w:val="clear"/>
          <w:lang w:val="ru-RU" w:eastAsia="ar-SA" w:bidi="ar-SA"/>
        </w:rPr>
        <w:t>(далее -__________)</w:t>
      </w:r>
      <w:r>
        <w:rPr>
          <w:rFonts w:eastAsia="Times New Roman" w:cs="Times;Times New Roman" w:ascii="Times;Times New Roman" w:hAnsi="Times;Times New Roman"/>
          <w:b w:val="false"/>
          <w:bCs w:val="false"/>
          <w:color w:val="000000"/>
          <w:spacing w:val="0"/>
          <w:sz w:val="24"/>
          <w:szCs w:val="24"/>
          <w:shd w:fill="auto" w:val="clear"/>
          <w:lang w:val="ru-RU" w:eastAsia="ar-SA" w:bidi="ar-SA"/>
        </w:rPr>
        <w:t>, именуемое в дальнейшем</w:t>
      </w:r>
      <w:r>
        <w:rPr>
          <w:rFonts w:eastAsia="PT Astra Serif" w:cs="Times;Times New Roman" w:ascii="Times;Times New Roman" w:hAnsi="Times;Times New Roman"/>
          <w:bCs/>
          <w:color w:val="000000"/>
          <w:spacing w:val="0"/>
          <w:sz w:val="24"/>
          <w:szCs w:val="24"/>
          <w:shd w:fill="auto" w:val="clear"/>
        </w:rPr>
        <w:t xml:space="preserve"> «Поставщик», </w:t>
      </w:r>
      <w:r>
        <w:rPr>
          <w:rFonts w:eastAsia="PT Astra Serif" w:cs="Times;Times New Roman" w:ascii="Times;Times New Roman" w:hAnsi="Times;Times New Roman"/>
          <w:b w:val="false"/>
          <w:bCs w:val="false"/>
          <w:i w:val="false"/>
          <w:iCs w:val="false"/>
          <w:color w:val="000000"/>
          <w:spacing w:val="-6"/>
          <w:sz w:val="24"/>
          <w:szCs w:val="24"/>
          <w:shd w:fill="auto" w:val="clear"/>
        </w:rPr>
        <w:t xml:space="preserve">в лице директора ________________________, </w:t>
      </w:r>
      <w:r>
        <w:rPr>
          <w:rFonts w:eastAsia="PT Astra Serif" w:cs="Times;Times New Roman" w:ascii="Times;Times New Roman" w:hAnsi="Times;Times New Roman"/>
          <w:b w:val="false"/>
          <w:bCs w:val="false"/>
          <w:color w:val="000000"/>
          <w:spacing w:val="-6"/>
          <w:sz w:val="24"/>
          <w:szCs w:val="24"/>
          <w:shd w:fill="auto" w:val="clear"/>
          <w:lang w:eastAsia="ru-RU"/>
        </w:rPr>
        <w:t>действующей на основании Устава</w:t>
      </w:r>
      <w:r>
        <w:rPr>
          <w:rFonts w:eastAsia="PT Astra Serif" w:cs="Times;Times New Roman" w:ascii="Times;Times New Roman" w:hAnsi="Times;Times New Roman"/>
          <w:b w:val="false"/>
          <w:bCs w:val="false"/>
          <w:color w:val="000000"/>
          <w:spacing w:val="-6"/>
          <w:sz w:val="24"/>
          <w:szCs w:val="24"/>
          <w:shd w:fill="auto" w:val="clear"/>
        </w:rPr>
        <w:t>,</w:t>
      </w:r>
      <w:r>
        <w:rPr>
          <w:rFonts w:eastAsia="PT Astra Serif" w:cs="Times;Times New Roman" w:ascii="Times;Times New Roman" w:hAnsi="Times;Times New Roman"/>
          <w:bCs/>
          <w:color w:val="000000"/>
          <w:spacing w:val="0"/>
          <w:sz w:val="24"/>
          <w:szCs w:val="24"/>
          <w:shd w:fill="auto" w:val="clear"/>
        </w:rPr>
        <w:t xml:space="preserve">с другой стороны, </w:t>
      </w:r>
      <w:r>
        <w:rPr>
          <w:rFonts w:eastAsia="PT Astra Serif" w:cs="Times;Times New Roman" w:ascii="Times;Times New Roman" w:hAnsi="Times;Times New Roman"/>
          <w:bCs/>
          <w:color w:val="000000"/>
          <w:spacing w:val="-6"/>
          <w:sz w:val="24"/>
          <w:szCs w:val="24"/>
          <w:shd w:fill="auto" w:val="clear"/>
        </w:rPr>
        <w:t>в дальнейшем вместе именуемые «Стороны»,</w:t>
      </w:r>
      <w:r>
        <w:rPr>
          <w:rFonts w:eastAsia="PT Astra Serif" w:cs="Times;Times New Roman" w:ascii="Times;Times New Roman" w:hAnsi="Times;Times New Roman"/>
          <w:color w:val="000000"/>
          <w:spacing w:val="-6"/>
          <w:sz w:val="24"/>
          <w:szCs w:val="24"/>
          <w:shd w:fill="auto" w:val="clear"/>
        </w:rPr>
        <w:t xml:space="preserve"> и каждый в отдельности «Сторона», с соблюдением требований Гражданского </w:t>
      </w:r>
      <w:hyperlink r:id="rId2">
        <w:r>
          <w:rPr>
            <w:rStyle w:val="Hyperlink"/>
            <w:rFonts w:eastAsia="PT Astra Serif" w:cs="Times;Times New Roman" w:ascii="Times;Times New Roman" w:hAnsi="Times;Times New Roman"/>
            <w:color w:val="000000"/>
            <w:spacing w:val="-6"/>
            <w:sz w:val="24"/>
            <w:szCs w:val="24"/>
            <w:shd w:fill="auto" w:val="clear"/>
          </w:rPr>
          <w:t>кодекса</w:t>
        </w:r>
      </w:hyperlink>
      <w:r>
        <w:rPr>
          <w:rFonts w:eastAsia="PT Astra Serif" w:cs="Times;Times New Roman" w:ascii="Times;Times New Roman" w:hAnsi="Times;Times New Roman"/>
          <w:color w:val="000000"/>
          <w:spacing w:val="-6"/>
          <w:sz w:val="24"/>
          <w:szCs w:val="24"/>
          <w:shd w:fill="auto" w:val="clear"/>
        </w:rPr>
        <w:t xml:space="preserve"> Российской Федерации, Федерального </w:t>
      </w:r>
      <w:hyperlink r:id="rId3">
        <w:r>
          <w:rPr>
            <w:rStyle w:val="Hyperlink"/>
            <w:rFonts w:eastAsia="PT Astra Serif" w:cs="Times;Times New Roman" w:ascii="Times;Times New Roman" w:hAnsi="Times;Times New Roman"/>
            <w:color w:val="000000"/>
            <w:spacing w:val="-6"/>
            <w:sz w:val="24"/>
            <w:szCs w:val="24"/>
            <w:shd w:fill="auto" w:val="clear"/>
          </w:rPr>
          <w:t>закона</w:t>
        </w:r>
      </w:hyperlink>
      <w:r>
        <w:rPr>
          <w:rFonts w:eastAsia="PT Astra Serif" w:cs="Times;Times New Roman" w:ascii="Times;Times New Roman" w:hAnsi="Times;Times New Roman"/>
          <w:color w:val="000000"/>
          <w:spacing w:val="-6"/>
          <w:sz w:val="24"/>
          <w:szCs w:val="24"/>
          <w:shd w:fill="auto" w:val="clear"/>
        </w:rPr>
        <w:t xml:space="preserve"> от 05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 на условиях, предусмотренных извещением об осуществлении закупки от _________ № </w:t>
      </w:r>
      <w:r>
        <w:rPr>
          <w:rFonts w:eastAsia="PT Astra Serif" w:cs="Times;Times New Roman" w:ascii="Times;Times New Roman" w:hAnsi="Times;Times New Roman"/>
          <w:b w:val="false"/>
          <w:bCs w:val="false"/>
          <w:color w:val="000000"/>
          <w:spacing w:val="-6"/>
          <w:sz w:val="24"/>
          <w:szCs w:val="24"/>
          <w:shd w:fill="auto" w:val="clear"/>
        </w:rPr>
        <w:t>________________</w:t>
      </w:r>
      <w:r>
        <w:rPr>
          <w:rFonts w:eastAsia="PT Astra Serif" w:cs="Times;Times New Roman" w:ascii="Times;Times New Roman" w:hAnsi="Times;Times New Roman"/>
          <w:color w:val="000000"/>
          <w:spacing w:val="-6"/>
          <w:sz w:val="24"/>
          <w:szCs w:val="24"/>
          <w:shd w:fill="auto" w:val="clear"/>
        </w:rPr>
        <w:t>, на основании протокола подведения итогов определения поставщика № ___ от _______ г. заключили настоящий государственный контракт (далее – Контракт) о нижеследующем:</w:t>
      </w:r>
    </w:p>
    <w:p>
      <w:pPr>
        <w:pStyle w:val="Normal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p>
      <w:pPr>
        <w:pStyle w:val="Normal"/>
        <w:jc w:val="center"/>
        <w:rPr>
          <w:rFonts w:ascii="Times;Times New Roman" w:hAnsi="Times;Times New Roman" w:cs="Times;Times New Roman"/>
          <w:b/>
          <w:i/>
          <w:i/>
        </w:rPr>
      </w:pPr>
      <w:r>
        <w:rPr>
          <w:rFonts w:cs="Times;Times New Roman" w:ascii="Times;Times New Roman" w:hAnsi="Times;Times New Roman"/>
          <w:b/>
          <w:i/>
        </w:rPr>
        <w:t>1. Предмет Договора.</w:t>
      </w:r>
    </w:p>
    <w:p>
      <w:pPr>
        <w:pStyle w:val="Normal"/>
        <w:jc w:val="center"/>
        <w:rPr>
          <w:rFonts w:ascii="Times;Times New Roman" w:hAnsi="Times;Times New Roman" w:cs="Times;Times New Roman"/>
          <w:b/>
          <w:i/>
          <w:i/>
        </w:rPr>
      </w:pPr>
      <w:r>
        <w:rPr>
          <w:rFonts w:cs="Times;Times New Roman" w:ascii="Times;Times New Roman" w:hAnsi="Times;Times New Roman"/>
          <w:b/>
          <w:i/>
        </w:rPr>
      </w:r>
    </w:p>
    <w:p>
      <w:pPr>
        <w:pStyle w:val="Normal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  <w:t>1.1.  Исполнитель обязуется оказать услуги   по техническому обслуживанию и ремонту компьютерной и оргтехники с выдачей технических заключений   согласно спецификации (Приложение 1).</w:t>
      </w:r>
    </w:p>
    <w:p>
      <w:pPr>
        <w:pStyle w:val="Normal"/>
        <w:jc w:val="both"/>
        <w:rPr>
          <w:rFonts w:ascii="Times;Times New Roman" w:hAnsi="Times;Times New Roman" w:cs="Times;Times New Roman"/>
          <w:bCs/>
        </w:rPr>
      </w:pPr>
      <w:r>
        <w:rPr>
          <w:rFonts w:cs="Times;Times New Roman" w:ascii="Times;Times New Roman" w:hAnsi="Times;Times New Roman"/>
        </w:rPr>
        <w:t xml:space="preserve">1.2.  Заказчик обязуется принять и оплатить оказанные услуги. </w:t>
      </w:r>
    </w:p>
    <w:p>
      <w:pPr>
        <w:pStyle w:val="Style21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  <w:bCs/>
        </w:rPr>
        <w:t>Источник финансирования – Федеральный бюджет</w:t>
      </w:r>
    </w:p>
    <w:p>
      <w:pPr>
        <w:pStyle w:val="Style19"/>
        <w:tabs>
          <w:tab w:val="clear" w:pos="708"/>
          <w:tab w:val="left" w:pos="567" w:leader="none"/>
        </w:tabs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p>
      <w:pPr>
        <w:pStyle w:val="Normal"/>
        <w:jc w:val="center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  <w:b/>
          <w:i/>
        </w:rPr>
        <w:t>2. Права и обязанности Сторон.</w:t>
      </w:r>
    </w:p>
    <w:p>
      <w:pPr>
        <w:pStyle w:val="Normal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  <w:t>2.1  Заказчик обязуется:</w:t>
      </w:r>
    </w:p>
    <w:p>
      <w:pPr>
        <w:pStyle w:val="Normal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  <w:t>2.1.1. Своевременно принять результат оказанных услуг  согласно условиям настоящего Договора.</w:t>
      </w:r>
    </w:p>
    <w:p>
      <w:pPr>
        <w:pStyle w:val="Normal"/>
        <w:jc w:val="both"/>
        <w:rPr>
          <w:rFonts w:ascii="Times;Times New Roman" w:hAnsi="Times;Times New Roman" w:cs="Times;Times New Roman"/>
          <w:b/>
          <w:i/>
          <w:i/>
        </w:rPr>
      </w:pPr>
      <w:r>
        <w:rPr>
          <w:rFonts w:cs="Times;Times New Roman" w:ascii="Times;Times New Roman" w:hAnsi="Times;Times New Roman"/>
        </w:rPr>
        <w:t>2.1.2. Оплатить услуги согласно условиям настоящего Договора.</w:t>
      </w:r>
    </w:p>
    <w:p>
      <w:pPr>
        <w:pStyle w:val="Normal"/>
        <w:ind w:end="-104"/>
        <w:jc w:val="center"/>
        <w:rPr>
          <w:rFonts w:ascii="Times;Times New Roman" w:hAnsi="Times;Times New Roman" w:cs="Times;Times New Roman"/>
          <w:b/>
          <w:i/>
          <w:i/>
        </w:rPr>
      </w:pPr>
      <w:r>
        <w:rPr>
          <w:rFonts w:cs="Times;Times New Roman" w:ascii="Times;Times New Roman" w:hAnsi="Times;Times New Roman"/>
          <w:b/>
          <w:i/>
        </w:rPr>
      </w:r>
    </w:p>
    <w:p>
      <w:pPr>
        <w:pStyle w:val="Normal"/>
        <w:ind w:end="-104"/>
        <w:jc w:val="center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  <w:b/>
          <w:i/>
        </w:rPr>
        <w:t>3. Стоимость товара и порядок расчетов.</w:t>
      </w:r>
    </w:p>
    <w:p>
      <w:pPr>
        <w:pStyle w:val="Normal"/>
        <w:ind w:end="-104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  <w:t xml:space="preserve">3.1. Стоимость услуг по настоящему Договору составляет ___________ руб. (_____________________) руб. 00 копеек, в том числе  НДС -  %  </w:t>
      </w:r>
    </w:p>
    <w:p>
      <w:pPr>
        <w:pStyle w:val="Normal"/>
        <w:ind w:end="-104"/>
        <w:jc w:val="both"/>
        <w:rPr>
          <w:rFonts w:ascii="Times;Times New Roman" w:hAnsi="Times;Times New Roman" w:cs="Times;Times New Roman"/>
          <w:b/>
          <w:i/>
          <w:i/>
        </w:rPr>
      </w:pPr>
      <w:r>
        <w:rPr>
          <w:rFonts w:cs="Times;Times New Roman" w:ascii="Times;Times New Roman" w:hAnsi="Times;Times New Roman"/>
        </w:rPr>
        <w:t>3.2. Оплата оказанных услуг, предусмотренного настоящим Договором, осуществляется в безналичной форме, путем перечисления Заказчиком денежных средств на основании акта выполненных работ в течение 7 (семи) банковских дней с момента оказания услуг.</w:t>
      </w:r>
    </w:p>
    <w:p>
      <w:pPr>
        <w:pStyle w:val="Normal"/>
        <w:ind w:end="-104"/>
        <w:jc w:val="center"/>
        <w:rPr>
          <w:rFonts w:ascii="Times;Times New Roman" w:hAnsi="Times;Times New Roman" w:cs="Times;Times New Roman"/>
          <w:b/>
          <w:i/>
          <w:i/>
        </w:rPr>
      </w:pPr>
      <w:r>
        <w:rPr>
          <w:rFonts w:cs="Times;Times New Roman" w:ascii="Times;Times New Roman" w:hAnsi="Times;Times New Roman"/>
          <w:b/>
          <w:i/>
        </w:rPr>
      </w:r>
    </w:p>
    <w:p>
      <w:pPr>
        <w:pStyle w:val="Normal"/>
        <w:ind w:end="-104"/>
        <w:jc w:val="center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  <w:b/>
          <w:i/>
        </w:rPr>
        <w:t>4. Срок действия договора.</w:t>
      </w:r>
    </w:p>
    <w:p>
      <w:pPr>
        <w:pStyle w:val="Normal"/>
        <w:ind w:end="-104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  <w:t xml:space="preserve">4.1. С </w:t>
      </w:r>
      <w:r>
        <w:rPr>
          <w:rFonts w:cs="Times;Times New Roman" w:ascii="Times;Times New Roman" w:hAnsi="Times;Times New Roman"/>
        </w:rPr>
        <w:t>даты заключения контракта</w:t>
      </w:r>
      <w:r>
        <w:rPr>
          <w:rFonts w:cs="Times;Times New Roman" w:ascii="Times;Times New Roman" w:hAnsi="Times;Times New Roman"/>
        </w:rPr>
        <w:t xml:space="preserve"> по 31.12.202</w:t>
      </w:r>
      <w:r>
        <w:rPr>
          <w:rFonts w:cs="Times;Times New Roman" w:ascii="Times;Times New Roman" w:hAnsi="Times;Times New Roman"/>
        </w:rPr>
        <w:t>6</w:t>
      </w:r>
      <w:r>
        <w:rPr>
          <w:rFonts w:cs="Times;Times New Roman" w:ascii="Times;Times New Roman" w:hAnsi="Times;Times New Roman"/>
        </w:rPr>
        <w:t>.</w:t>
      </w:r>
    </w:p>
    <w:p>
      <w:pPr>
        <w:pStyle w:val="Normal"/>
        <w:ind w:end="-104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p>
      <w:pPr>
        <w:pStyle w:val="Normal"/>
        <w:ind w:end="-104"/>
        <w:jc w:val="both"/>
        <w:rPr>
          <w:rFonts w:ascii="Times;Times New Roman" w:hAnsi="Times;Times New Roman" w:cs="Times;Times New Roman"/>
        </w:rPr>
      </w:pPr>
      <w:r>
        <w:rPr>
          <w:rFonts w:eastAsia="Times;Times New Roman" w:cs="Times;Times New Roman" w:ascii="Times;Times New Roman" w:hAnsi="Times;Times New Roman"/>
          <w:b/>
          <w:i/>
        </w:rPr>
        <w:t xml:space="preserve">                                                    </w:t>
      </w:r>
      <w:r>
        <w:rPr>
          <w:rFonts w:cs="Times;Times New Roman" w:ascii="Times;Times New Roman" w:hAnsi="Times;Times New Roman"/>
          <w:b/>
          <w:i/>
        </w:rPr>
        <w:t>5. Изменения и дополнения к договору.</w:t>
      </w:r>
    </w:p>
    <w:p>
      <w:pPr>
        <w:pStyle w:val="Normal"/>
        <w:ind w:end="-104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  <w:t>5.1.</w:t>
      </w:r>
      <w:r>
        <w:rPr>
          <w:rFonts w:cs="Times;Times New Roman" w:ascii="Times;Times New Roman" w:hAnsi="Times;Times New Roman"/>
          <w:b/>
        </w:rPr>
        <w:t xml:space="preserve"> </w:t>
      </w:r>
      <w:r>
        <w:rPr>
          <w:rFonts w:cs="Times;Times New Roman" w:ascii="Times;Times New Roman" w:hAnsi="Times;Times New Roman"/>
        </w:rPr>
        <w:t>Все изменения и дополнения к настоящему Договору действительны, если они составлены в письменной форме и подписаны Сторонами.</w:t>
      </w:r>
    </w:p>
    <w:p>
      <w:pPr>
        <w:pStyle w:val="Normal"/>
        <w:ind w:end="-104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p>
      <w:pPr>
        <w:pStyle w:val="Normal"/>
        <w:ind w:end="-104"/>
        <w:rPr>
          <w:rFonts w:ascii="Times;Times New Roman" w:hAnsi="Times;Times New Roman" w:cs="Times;Times New Roman"/>
          <w:b/>
          <w:i/>
          <w:i/>
        </w:rPr>
      </w:pPr>
      <w:r>
        <w:rPr>
          <w:rFonts w:eastAsia="Times;Times New Roman" w:cs="Times;Times New Roman" w:ascii="Times;Times New Roman" w:hAnsi="Times;Times New Roman"/>
          <w:b/>
          <w:i/>
        </w:rPr>
        <w:t xml:space="preserve">                                                      </w:t>
      </w:r>
      <w:r>
        <w:rPr>
          <w:rFonts w:cs="Times;Times New Roman" w:ascii="Times;Times New Roman" w:hAnsi="Times;Times New Roman"/>
          <w:b/>
          <w:i/>
        </w:rPr>
        <w:t>6. Прочие условия.</w:t>
      </w:r>
    </w:p>
    <w:p>
      <w:pPr>
        <w:pStyle w:val="Normal"/>
        <w:ind w:end="-104"/>
        <w:jc w:val="center"/>
        <w:rPr>
          <w:rFonts w:ascii="Times;Times New Roman" w:hAnsi="Times;Times New Roman" w:cs="Times;Times New Roman"/>
          <w:b/>
          <w:i/>
          <w:i/>
        </w:rPr>
      </w:pPr>
      <w:r>
        <w:rPr>
          <w:rFonts w:cs="Times;Times New Roman" w:ascii="Times;Times New Roman" w:hAnsi="Times;Times New Roman"/>
          <w:b/>
          <w:i/>
        </w:rPr>
      </w:r>
    </w:p>
    <w:p>
      <w:pPr>
        <w:pStyle w:val="Normal"/>
        <w:ind w:end="-104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  <w:t>6.1.  Исполнитель не вправе передать свои права и обязательства по Договору третьим лицам без письменного согласия Заказчика.</w:t>
      </w:r>
    </w:p>
    <w:p>
      <w:pPr>
        <w:pStyle w:val="Normal"/>
        <w:ind w:end="-104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  <w:t>6.2.  При просрочке предусмотренного п.1.1. Договора срока оказания услуг Заказчику, Исполнитель обязан оплатить Заказчику неустойку в размере 1/300 действующей на день уплаты неустойки ставки рефинансирования Центрального банка Российской Федерации за каждый день просрочки.</w:t>
      </w:r>
    </w:p>
    <w:p>
      <w:pPr>
        <w:pStyle w:val="Normal"/>
        <w:ind w:end="-104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  <w:t>6.3.  За неисполнение или ненадлежащее исполнение обязательств по Настоящему Договору Исполнитель обязан уплатить Заказчику неустойку в размере 10% от указанной в п.3.1. цены контракта.</w:t>
      </w:r>
    </w:p>
    <w:p>
      <w:pPr>
        <w:pStyle w:val="Normal"/>
        <w:ind w:end="-104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  <w:t>6.4. Споры, возникшие при исполнении, изменении настоящего Договора, разрешаются путем переговоров.</w:t>
      </w:r>
    </w:p>
    <w:p>
      <w:pPr>
        <w:pStyle w:val="Normal"/>
        <w:ind w:end="-104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  <w:t xml:space="preserve">6.5. </w:t>
      </w:r>
      <w:r>
        <w:rPr>
          <w:rFonts w:cs="Times;Times New Roman" w:ascii="Times;Times New Roman" w:hAnsi="Times;Times New Roman"/>
          <w:color w:val="000000"/>
          <w:shd w:fill="FFFFFF" w:val="clear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со ст. 95 Закона 44-ФЗ.</w:t>
      </w:r>
    </w:p>
    <w:p>
      <w:pPr>
        <w:pStyle w:val="Normal"/>
        <w:ind w:end="-104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  <w:t>6.6. Настоящий Договор вступает в силу со дня его подписания представителями Сторон и действует до момента исполнения Сторонами своих обязательств по Договору.</w:t>
      </w:r>
    </w:p>
    <w:p>
      <w:pPr>
        <w:pStyle w:val="Normal"/>
        <w:ind w:end="-104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  <w:t>6.7. Взаимоотношения Сторон, не неурегулированные настоящим Договором, регламентируются действующим гражданским законодательством Российской Федерации.</w:t>
      </w:r>
    </w:p>
    <w:p>
      <w:pPr>
        <w:pStyle w:val="Normal"/>
        <w:ind w:end="-104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  <w:t>6.8. Настоящий Договор составлен на русском языке, подписан в двух экземплярах, по одному для каждой из сторон, при этом оба экземпляра имеют одинаковую юридическую силу.</w:t>
      </w:r>
    </w:p>
    <w:p>
      <w:pPr>
        <w:pStyle w:val="Normal"/>
        <w:ind w:end="-104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  <w:t>6.9. Все изменения и дополнения к настоящему Договору действительны, если они составлены в письменной форме и подписаны Сторонами.</w:t>
      </w:r>
    </w:p>
    <w:p>
      <w:pPr>
        <w:pStyle w:val="Normal"/>
        <w:ind w:end="-104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  <w:t>6.10. Досрочное расторжение Договора допускается  по соглашению Сторон или решению суда по основаниям, предусмотренным действующим законодательством Российской Федерации.</w:t>
      </w:r>
    </w:p>
    <w:p>
      <w:pPr>
        <w:pStyle w:val="Normal"/>
        <w:ind w:end="-104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p>
      <w:pPr>
        <w:pStyle w:val="Normal"/>
        <w:ind w:end="-104"/>
        <w:jc w:val="center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  <w:b/>
          <w:i/>
        </w:rPr>
        <w:t>7. Форс-мажорные обстоятельства.</w:t>
      </w:r>
    </w:p>
    <w:p>
      <w:pPr>
        <w:pStyle w:val="Normal"/>
        <w:ind w:end="-104"/>
        <w:jc w:val="both"/>
        <w:rPr>
          <w:rFonts w:ascii="Times;Times New Roman" w:hAnsi="Times;Times New Roman" w:cs="Times;Times New Roman"/>
          <w:b/>
          <w:i/>
          <w:i/>
        </w:rPr>
      </w:pPr>
      <w:r>
        <w:rPr>
          <w:rFonts w:cs="Times;Times New Roman" w:ascii="Times;Times New Roman" w:hAnsi="Times;Times New Roman"/>
        </w:rPr>
        <w:t>В случае наступления обстоятельств непреодолимой силы, оказывающих влияние на выполнение обязательств, сторонами по настоящему Договору, - сроки выполнения этих обязательств соразмерно отодвигаются на время действия этих обязательств, либо прекращаются вовсе.</w:t>
      </w:r>
    </w:p>
    <w:p>
      <w:pPr>
        <w:pStyle w:val="Normal"/>
        <w:ind w:end="-104"/>
        <w:jc w:val="center"/>
        <w:rPr>
          <w:rFonts w:ascii="Times;Times New Roman" w:hAnsi="Times;Times New Roman" w:cs="Times;Times New Roman"/>
          <w:b/>
          <w:i/>
          <w:i/>
        </w:rPr>
      </w:pPr>
      <w:r>
        <w:rPr>
          <w:rFonts w:cs="Times;Times New Roman" w:ascii="Times;Times New Roman" w:hAnsi="Times;Times New Roman"/>
          <w:b/>
          <w:i/>
        </w:rPr>
      </w:r>
    </w:p>
    <w:p>
      <w:pPr>
        <w:pStyle w:val="Normal"/>
        <w:ind w:end="-104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;Times New Roman" w:ascii="Times;Times New Roman" w:hAnsi="Times;Times New Roman"/>
          <w:b/>
          <w:i/>
        </w:rPr>
        <w:t>8. Адреса и банковские реквизиты сторон.</w:t>
      </w:r>
    </w:p>
    <w:p>
      <w:pPr>
        <w:pStyle w:val="Normal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Главное управление Федеральной службы судебных приставов по Самарской области</w:t>
      </w:r>
    </w:p>
    <w:p>
      <w:pPr>
        <w:pStyle w:val="Normal"/>
        <w:widowControl w:val="false"/>
        <w:spacing w:lineRule="auto" w:line="240" w:before="0" w:after="0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443030, г. Самара, ул.Урицкого, 17</w:t>
      </w:r>
    </w:p>
    <w:p>
      <w:pPr>
        <w:pStyle w:val="Normal"/>
        <w:widowControl w:val="false"/>
        <w:spacing w:lineRule="auto" w:line="240" w:before="0" w:after="0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ИНН 6316096934,</w:t>
      </w:r>
    </w:p>
    <w:p>
      <w:pPr>
        <w:pStyle w:val="Normal"/>
        <w:widowControl w:val="false"/>
        <w:spacing w:lineRule="auto" w:line="240" w:before="0" w:after="0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КПП 631101001,</w:t>
      </w:r>
    </w:p>
    <w:p>
      <w:pPr>
        <w:pStyle w:val="Normal"/>
        <w:widowControl w:val="false"/>
        <w:spacing w:lineRule="auto" w:line="240" w:before="0" w:after="0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л/с 03421785570</w:t>
      </w:r>
    </w:p>
    <w:p>
      <w:pPr>
        <w:pStyle w:val="Normal"/>
        <w:widowControl w:val="false"/>
        <w:spacing w:lineRule="auto" w:line="240" w:before="0" w:after="0"/>
        <w:contextualSpacing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</w:rPr>
        <w:t xml:space="preserve">ЕКС 40102810745370000024 </w:t>
      </w:r>
      <w:r>
        <w:rPr>
          <w:rFonts w:cs="Times New Roman"/>
          <w:sz w:val="24"/>
          <w:szCs w:val="24"/>
          <w:lang w:val="ru-RU"/>
        </w:rPr>
        <w:t>(кор.счет)</w:t>
      </w:r>
    </w:p>
    <w:p>
      <w:pPr>
        <w:pStyle w:val="Normal"/>
        <w:widowControl w:val="false"/>
        <w:spacing w:lineRule="auto" w:line="240" w:before="0" w:after="0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val="ru-RU"/>
        </w:rPr>
        <w:t>ОКЦ № 1 ВВГУ Банка России</w:t>
      </w:r>
      <w:r>
        <w:rPr>
          <w:rFonts w:cs="Times New Roman"/>
          <w:sz w:val="24"/>
          <w:szCs w:val="24"/>
        </w:rPr>
        <w:t xml:space="preserve">//УФК по </w:t>
      </w:r>
      <w:r>
        <w:rPr>
          <w:rFonts w:cs="Times New Roman"/>
          <w:sz w:val="24"/>
          <w:szCs w:val="24"/>
          <w:lang w:val="ru-RU"/>
        </w:rPr>
        <w:t>Нижегородской</w:t>
      </w:r>
      <w:r>
        <w:rPr>
          <w:rFonts w:cs="Times New Roman"/>
          <w:sz w:val="24"/>
          <w:szCs w:val="24"/>
        </w:rPr>
        <w:t xml:space="preserve"> области г. </w:t>
      </w:r>
      <w:r>
        <w:rPr>
          <w:rFonts w:cs="Times New Roman"/>
          <w:sz w:val="24"/>
          <w:szCs w:val="24"/>
          <w:lang w:val="ru-RU"/>
        </w:rPr>
        <w:t>Нижний Новгород</w:t>
      </w:r>
    </w:p>
    <w:p>
      <w:pPr>
        <w:pStyle w:val="Normal"/>
        <w:widowControl w:val="false"/>
        <w:spacing w:lineRule="auto" w:line="240" w:before="0" w:after="0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БИК 012202102</w:t>
      </w:r>
    </w:p>
    <w:p>
      <w:pPr>
        <w:pStyle w:val="Normal"/>
        <w:widowControl w:val="false"/>
        <w:spacing w:lineRule="auto" w:line="240" w:before="0" w:after="0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Казначейский счет 03211643000000013249</w:t>
      </w:r>
    </w:p>
    <w:p>
      <w:pPr>
        <w:pStyle w:val="Normal"/>
        <w:widowControl w:val="false"/>
        <w:spacing w:lineRule="auto" w:line="240" w:before="0" w:after="0"/>
        <w:contextualSpacing/>
        <w:rPr>
          <w:rFonts w:cs="PT Astra Serif"/>
          <w:sz w:val="24"/>
          <w:szCs w:val="24"/>
        </w:rPr>
      </w:pPr>
      <w:r>
        <w:rPr>
          <w:rFonts w:cs="Times New Roman"/>
          <w:sz w:val="24"/>
          <w:szCs w:val="24"/>
        </w:rPr>
        <w:t>Тел.: (846) 266-60-98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contextualSpacing/>
        <w:jc w:val="start"/>
        <w:rPr>
          <w:rFonts w:cs="Times New Roman"/>
          <w:sz w:val="24"/>
          <w:szCs w:val="24"/>
        </w:rPr>
      </w:pPr>
      <w:r>
        <w:rPr>
          <w:rFonts w:cs="PT Astra Serif"/>
          <w:sz w:val="24"/>
          <w:szCs w:val="24"/>
        </w:rPr>
        <w:t xml:space="preserve">e-mail: </w:t>
      </w:r>
      <w:hyperlink r:id="rId4">
        <w:r>
          <w:rPr>
            <w:rStyle w:val="Hyperlink"/>
            <w:rFonts w:cs="PT Astra Serif"/>
            <w:sz w:val="24"/>
            <w:szCs w:val="24"/>
          </w:rPr>
          <w:t>mto@r63.fssp.gov.ru</w:t>
        </w:r>
      </w:hyperlink>
    </w:p>
    <w:p>
      <w:pPr>
        <w:pStyle w:val="Normal"/>
        <w:widowControl w:val="false"/>
        <w:suppressAutoHyphens w:val="true"/>
        <w:bidi w:val="0"/>
        <w:spacing w:lineRule="auto" w:line="240" w:before="0" w:after="0"/>
        <w:contextualSpacing/>
        <w:jc w:val="star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rPr>
          <w:rFonts w:ascii="Times;Times New Roman" w:hAnsi="Times;Times New Roman" w:cs="Times;Times New Roman"/>
        </w:rPr>
      </w:pPr>
      <w:r>
        <w:rPr>
          <w:rFonts w:eastAsia="Times;Times New Roman" w:cs="Times;Times New Roman" w:ascii="Times;Times New Roman" w:hAnsi="Times;Times New Roman"/>
        </w:rPr>
        <w:t xml:space="preserve">   </w:t>
      </w:r>
      <w:r>
        <w:rPr>
          <w:rFonts w:cs="Times;Times New Roman" w:ascii="Times;Times New Roman" w:hAnsi="Times;Times New Roman"/>
        </w:rPr>
        <w:t xml:space="preserve">_______________ </w:t>
      </w:r>
    </w:p>
    <w:p>
      <w:pPr>
        <w:pStyle w:val="Normal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p>
      <w:pPr>
        <w:pStyle w:val="Normal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p>
      <w:pPr>
        <w:pStyle w:val="Normal"/>
        <w:ind w:end="-104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  <w:b/>
        </w:rPr>
        <w:t>Исполнитель:</w:t>
      </w:r>
      <w:r>
        <w:rPr>
          <w:rFonts w:cs="Times;Times New Roman" w:ascii="Times;Times New Roman" w:hAnsi="Times;Times New Roman"/>
        </w:rPr>
        <w:t xml:space="preserve"> </w:t>
      </w:r>
    </w:p>
    <w:p>
      <w:pPr>
        <w:pStyle w:val="Normal"/>
        <w:ind w:end="-104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p>
      <w:pPr>
        <w:pStyle w:val="Normal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p>
      <w:pPr>
        <w:pStyle w:val="Normal"/>
        <w:rPr>
          <w:rFonts w:ascii="Times;Times New Roman" w:hAnsi="Times;Times New Roman" w:cs="Times;Times New Roman"/>
        </w:rPr>
      </w:pPr>
      <w:r>
        <w:rPr>
          <w:rFonts w:eastAsia="Times;Times New Roman" w:cs="Times;Times New Roman" w:ascii="Times;Times New Roman" w:hAnsi="Times;Times New Roman"/>
        </w:rPr>
        <w:t xml:space="preserve">                                                                        </w:t>
      </w:r>
    </w:p>
    <w:p>
      <w:pPr>
        <w:pStyle w:val="Normal"/>
        <w:rPr>
          <w:rFonts w:ascii="Times;Times New Roman" w:hAnsi="Times;Times New Roman" w:eastAsia="PT Astra Serif" w:cs="Times;Times New Roman"/>
        </w:rPr>
      </w:pPr>
      <w:r>
        <w:rPr>
          <w:rFonts w:cs="Times;Times New Roman" w:ascii="Times;Times New Roman" w:hAnsi="Times;Times New Roman"/>
        </w:rPr>
        <w:t xml:space="preserve">________________                           </w:t>
      </w:r>
    </w:p>
    <w:p>
      <w:pPr>
        <w:pStyle w:val="Normal"/>
        <w:rPr>
          <w:rFonts w:ascii="Times;Times New Roman" w:hAnsi="Times;Times New Roman" w:cs="Times;Times New Roman"/>
        </w:rPr>
      </w:pPr>
      <w:r>
        <w:rPr>
          <w:rFonts w:eastAsia="Times;Times New Roman" w:cs="Times;Times New Roman" w:ascii="Times;Times New Roman" w:hAnsi="Times;Times New Roman"/>
        </w:rPr>
        <w:t xml:space="preserve">                           </w:t>
      </w:r>
    </w:p>
    <w:p>
      <w:pPr>
        <w:pStyle w:val="Normal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p>
      <w:pPr>
        <w:pStyle w:val="Normal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  <w:t xml:space="preserve">МП                                                                                     МП      </w:t>
      </w:r>
    </w:p>
    <w:p>
      <w:pPr>
        <w:pStyle w:val="Normal"/>
        <w:jc w:val="end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p>
      <w:pPr>
        <w:pStyle w:val="Normal"/>
        <w:jc w:val="end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p>
      <w:pPr>
        <w:pStyle w:val="Normal"/>
        <w:jc w:val="end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  <w:t xml:space="preserve">Приложение № 1 </w:t>
      </w:r>
    </w:p>
    <w:p>
      <w:pPr>
        <w:pStyle w:val="Normal"/>
        <w:jc w:val="end"/>
        <w:rPr>
          <w:rFonts w:ascii="Times;Times New Roman" w:hAnsi="Times;Times New Roman" w:eastAsia="PT Astra Serif" w:cs="Times;Times New Roman"/>
        </w:rPr>
      </w:pPr>
      <w:r>
        <w:rPr>
          <w:rFonts w:cs="Times;Times New Roman" w:ascii="Times;Times New Roman" w:hAnsi="Times;Times New Roman"/>
        </w:rPr>
        <w:t>к договору № ___</w:t>
      </w:r>
    </w:p>
    <w:p>
      <w:pPr>
        <w:pStyle w:val="Normal"/>
        <w:jc w:val="end"/>
        <w:rPr>
          <w:rFonts w:ascii="Times;Times New Roman" w:hAnsi="Times;Times New Roman" w:cs="Times;Times New Roman"/>
        </w:rPr>
      </w:pPr>
      <w:r>
        <w:rPr>
          <w:rFonts w:eastAsia="Times;Times New Roman" w:cs="Times;Times New Roman" w:ascii="Times;Times New Roman" w:hAnsi="Times;Times New Roman"/>
        </w:rPr>
        <w:t xml:space="preserve"> </w:t>
      </w:r>
      <w:r>
        <w:rPr>
          <w:rFonts w:cs="Times;Times New Roman" w:ascii="Times;Times New Roman" w:hAnsi="Times;Times New Roman"/>
        </w:rPr>
        <w:t xml:space="preserve">от ____ ________2026 г.     </w:t>
      </w:r>
    </w:p>
    <w:p>
      <w:pPr>
        <w:pStyle w:val="Normal"/>
        <w:jc w:val="center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  <w:t xml:space="preserve">Спецификация </w:t>
      </w:r>
    </w:p>
    <w:p>
      <w:pPr>
        <w:pStyle w:val="Normal"/>
        <w:jc w:val="center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p>
      <w:pPr>
        <w:pStyle w:val="Normal"/>
        <w:jc w:val="center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p>
      <w:pPr>
        <w:pStyle w:val="Normal"/>
        <w:jc w:val="center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tbl>
      <w:tblPr>
        <w:tblW w:w="10185" w:type="dxa"/>
        <w:jc w:val="start"/>
        <w:tblInd w:w="-14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390"/>
        <w:gridCol w:w="2370"/>
        <w:gridCol w:w="7425"/>
      </w:tblGrid>
      <w:tr>
        <w:trPr>
          <w:trHeight w:val="1245" w:hRule="atLeast"/>
        </w:trPr>
        <w:tc>
          <w:tcPr>
            <w:tcW w:w="3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hd w:fill="auto" w:val="clear"/>
              </w:rPr>
              <w:t xml:space="preserve">№ </w:t>
            </w:r>
            <w:r>
              <w:rPr>
                <w:b/>
                <w:shd w:fill="auto" w:val="clear"/>
              </w:rPr>
              <w:t>п/п</w:t>
            </w:r>
          </w:p>
        </w:tc>
        <w:tc>
          <w:tcPr>
            <w:tcW w:w="23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hd w:fill="auto" w:val="clear"/>
              </w:rPr>
            </w:pPr>
            <w:r>
              <w:rPr>
                <w:b/>
                <w:shd w:fill="auto" w:val="clear"/>
              </w:rPr>
              <w:t>Наименование обслуживаемого оборудования</w:t>
            </w:r>
          </w:p>
        </w:tc>
        <w:tc>
          <w:tcPr>
            <w:tcW w:w="7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hd w:fill="auto" w:val="clear"/>
              </w:rPr>
            </w:pPr>
            <w:r>
              <w:rPr>
                <w:b/>
                <w:shd w:fill="auto" w:val="clear"/>
              </w:rPr>
              <w:t>Наименование услуги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1</w:t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МФУ Kyocera FS-1035</w:t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Диагностика 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Замена резинового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Замена тефлонового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Замена ролика подачи бумаги автоподатчика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Замена втулки тефлонового вала (правая)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Замена втулки тефлонового вала (левая)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Замена фоторецептора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Замена ракеля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Замена pедуктора в сборе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блока лазера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или ремонт кассеты в сборе CT-1130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узла дуплекса в сборе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муфты подачи бумаги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узла захвата/подачи бумаги в сборе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блока закрепления в сборе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платы высоковольтной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сканирующей линейки в сборе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блока лазера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блока питания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блока проявки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Чистка и обслуживание 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</w:t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МФУ Kyocera Mita TASKalfa-181/2200</w:t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Диагностика 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Замена ролика захвата бумаги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Замена вала заряда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Замена вала магнитного в сборе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Замена вала резинового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Замена вала тефлонового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Замена ракеля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Замена фоторецептора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Замена бункера для отработанного тонера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кассеты в сборе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блока проявки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печи в сборе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главного коротрона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блока лазера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двигателя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Чистка и обслуживание 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2"/>
                <w:sz w:val="20"/>
                <w:szCs w:val="20"/>
                <w:shd w:fill="auto" w:val="clear"/>
                <w:lang w:val="ru-RU" w:eastAsia="ar-SA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0"/>
                <w:szCs w:val="20"/>
                <w:shd w:fill="auto" w:val="clear"/>
                <w:lang w:val="ru-RU" w:eastAsia="ar-SA" w:bidi="ar-SA"/>
              </w:rPr>
              <w:t>3</w:t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МФУ Kyocera Mita  KM 1635/ 2035</w:t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Диагностика 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термоузла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лазер-сканера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платы форматера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платы DC контроллера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ролика подачи бумаги лотка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ролика подачи бумаги ручного лотка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тормозной площадки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резинового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бушинга резинового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тефлонового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бушинга тефлонового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23"/>
              <w:jc w:val="center"/>
              <w:rPr/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блока фотобарабана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Чистка и обслуживание 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4</w:t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МФУ Ricoh SP325SNw</w:t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Диагностика 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Замена пластины отделения автоматического податчика документов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Замена блока разделения бумаги в сборе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Замена шестерни привода картриджа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главной платы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вала нагрева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прижимного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очистительного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роллера переноса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блока лазера (сканера)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панели управления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роллера регистрации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мотора редуктора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Чистка и обслуживание 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5</w:t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МФУ Xerox VersaLink B7030</w:t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Диагностика 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ролика подачи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термопленки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площадки отделения (обходной лоток)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ролика захвата бумаги (ручной лоток)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накладки прижимной планки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вала тефлонового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фоторецептора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ракеля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блока фотобарабана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узла термозакрепления в сборе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узла переноса в сборе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ролика переноса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муфты ролика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комплекта роликов подачи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Чистка и обслуживание 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6</w:t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start"/>
              <w:rPr/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0"/>
                <w:u w:val="none"/>
                <w:shd w:fill="auto" w:val="clear"/>
                <w:em w:val="none"/>
                <w:lang w:val="ru-RU" w:eastAsia="ru-RU" w:bidi="ar-SA"/>
              </w:rPr>
              <w:t>МФУ Lexmark-MB2338adw</w:t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Диагностика 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термоузла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лазер-сканера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платы форматера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платы DC контроллера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ролика подачи бумаги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тормозной площадки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резинового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бушинга резинового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тефлонового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бушинга тефлонового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блока фотобарабана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/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Ремонт автоподатчика бумаги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ролика подачи бумаги автоподатчика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Ремонт лотка для бумаги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Ремонт ручного лотка для бумаги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Чистка и обслуживание 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7</w:t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rPr/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МФУ </w:t>
            </w:r>
            <w:bookmarkStart w:id="0" w:name="__DdeLink__28497_2707809778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Lexmark MX317dn</w:t>
            </w:r>
            <w:bookmarkEnd w:id="0"/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Диагностика 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термоузла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лазер-сканера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платы форматера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платы DC контроллера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ролика подачи бумаги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тормозной площадки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резинового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бушинга резинового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тефлонового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бушинга тефлонового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блока фотобарабана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/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Ремонт автоподатчика бумаги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ролика подачи бумаги автоподатчика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Ремонт лотка для бумаги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Ремонт ручного лотка для бумаги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Чистка и обслуживание 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8</w:t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16"/>
                <w:u w:val="none"/>
                <w:shd w:fill="auto" w:val="clear"/>
                <w:em w:val="none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0"/>
                <w:u w:val="none"/>
                <w:shd w:fill="auto" w:val="clear"/>
                <w:em w:val="none"/>
                <w:lang w:val="ru-RU" w:eastAsia="ru-RU" w:bidi="ar-SA"/>
              </w:rPr>
              <w:t>МФУ Ricoh Aficio MP 2501</w:t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Диагностика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термоузла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лазер-сканера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платы форматера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платы DC контроллера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ролика подачи бумаги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тормозной площадки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резинового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бушинга резинового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тефлонового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/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Ремонт автоподатчика бумаги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бушинга тефлонового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фотобарабана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Ремонт лотка для бумаги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Ремонт ручного лотка для бумаги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Чистка и обслуживание 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9</w:t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Принтер HP LaserJet</w:t>
            </w:r>
            <w:r>
              <w:rPr>
                <w:shd w:fill="auto" w:val="clear"/>
              </w:rPr>
              <w:t xml:space="preserve"> 2035</w:t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Диагностика  принтера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вала резинового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шестерни привода узла закрепления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шестерни  резинового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термоэлемента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сепарационная площадки  (лоток 2)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ролика захвата бумаги из кассеты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ролика захвата бумаги из ручного лотка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втулки резинового вала (компл 2 шт)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термопленки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главного мотора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блока закрепления в сборе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термопленки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главной платы (не сетевая)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главной платы (сетевая)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блока сканера (лазер)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платы памяти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Чистка и обслуживание 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10</w:t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0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0"/>
                <w:u w:val="none"/>
                <w:shd w:fill="auto" w:val="clear"/>
                <w:em w:val="none"/>
                <w:lang w:val="ru-RU" w:eastAsia="ru-RU" w:bidi="ar-SA"/>
              </w:rPr>
              <w:t>МФУ лазерное Pantum M7100DN</w:t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Диагностика 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термоузла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лазер-сканера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платы форматера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платы DC контроллера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ролика подачи бумаги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тормозной площадки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резинового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бушинга резинового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тефлонового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бушинга тефлонового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блока фотобарабана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Ремонт автоподатчика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ролика подачи бумаги автоподатчика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Ремонт лотка для бумаги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Ремонт ручного лотка для бумаги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Чистка и обслуживание 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11</w:t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 w:eastAsia="Times New Roman" w:cs="Times New Roman"/>
                <w:b w:val="false"/>
                <w:bCs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0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0"/>
                <w:u w:val="none"/>
                <w:shd w:fill="auto" w:val="clear"/>
                <w:em w:val="none"/>
                <w:lang w:val="ru-RU" w:eastAsia="ru-RU" w:bidi="ar-SA"/>
              </w:rPr>
              <w:t>КМА CANON 1024</w:t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Диагностика 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термоузла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лазер-сканера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платы форматера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платы DC контроллера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ролика подачи бумаги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тормозной площадки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резинового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бушинга резинового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фотобарабана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Ремонт лотка для бумаги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Ремонт ручного лотка для бу маги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Ремонт автоподатчика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Чистка и обслуживание 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12</w:t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Источник бесперебойного питания</w:t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Диагностика источника бесперебойного питания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Ремонт источника бесперебойного питания (замена батареи + диагностика)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Ремонт источника бесперебойного питания (до 1000VA)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Ремонт источника бесперебойного питания (1000VA и больше)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"Батарея  12V 4,5AH (GP-1245)"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"Батарея  12V 7,0/7,2 AH (GP1270F2/1272)"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13</w:t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Моноблок</w:t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Диагностика моноблока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Ремонт или замена блока питания моноблока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Ремонт материнской платы (мелкий ремонт)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Ремонт или замена материнской платы (замена основных чипсетов: южный мост, северный мост)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Ремонт или замена матрицы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Ремонт или замена жесткого диска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14</w:t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Ноутбук</w:t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Диагностика ноутбука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Ремонт или замена материнской платы ноутбука (без стоимости запасных частей)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матрицы ноутбука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Ремонт или замена блока питания моноблока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Ремонт или замена жесткого диска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Ремонт или замена кулера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15</w:t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МФУ Xerox VersaLink B405</w:t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Диагностика 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Замена вала переноса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Замена термопленки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Замена вала тефлоновыого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Замена девелопера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Замена ролика подачи бумаги</w:t>
            </w:r>
          </w:p>
        </w:tc>
      </w:tr>
      <w:tr>
        <w:trPr>
          <w:trHeight w:val="339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Ролики подачи бумаги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барабана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ремкомплекта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термоузла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блока лазера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панели управления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ремкомплекта из кассеты с узлом ролика отделения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комплекта захвата/подачи бумаги из кассеты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комплекта замедления в лотке ручной подачи бумаги в сборе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обходного лотока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лотка ручной подачи бумаги в сборе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узла транспортировки в сборе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электромагнитной муфты узла регистрации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электромагнитной муфты узла подачи бумаги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вала второго переноса в сборе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Чистка и обслуживание 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16</w:t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Xerox WorkCentre 3345</w:t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Диагностика  МФУ</w:t>
            </w:r>
          </w:p>
        </w:tc>
      </w:tr>
      <w:tr>
        <w:trPr>
          <w:trHeight w:val="402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Замена ролика отделения бумаги</w:t>
            </w:r>
          </w:p>
        </w:tc>
      </w:tr>
      <w:tr>
        <w:trPr>
          <w:trHeight w:val="462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Замена вала тефлонового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сепарационной площадки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Замена вала переноса</w:t>
            </w:r>
          </w:p>
        </w:tc>
      </w:tr>
      <w:tr>
        <w:trPr>
          <w:trHeight w:val="630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Замена ролика захвата бумаги и ролика отделения бумаги (комплект)</w:t>
            </w:r>
          </w:p>
        </w:tc>
      </w:tr>
      <w:tr>
        <w:trPr>
          <w:trHeight w:val="336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главной платы управления аппаратом</w:t>
            </w:r>
          </w:p>
        </w:tc>
      </w:tr>
      <w:tr>
        <w:trPr>
          <w:trHeight w:val="210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блока фотобарабана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узла термозакрепления в сборе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прижимного вала 0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термистора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блока лазера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сканирующей линейки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платы высоковольтного питания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платы импульсного питания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основной платы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платы управления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ролика переноса 1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ролика подачи из кассеты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ролика отделения в сборе обходного лотка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двигателя в сборе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дуплекса в сборе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узла захвата в сборе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Чистка и обслуживание  МФУ</w:t>
            </w:r>
          </w:p>
        </w:tc>
      </w:tr>
    </w:tbl>
    <w:p>
      <w:pPr>
        <w:pStyle w:val="Normal"/>
        <w:jc w:val="center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p>
      <w:pPr>
        <w:pStyle w:val="Normal"/>
        <w:jc w:val="center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tbl>
      <w:tblPr>
        <w:tblW w:w="12316" w:type="dxa"/>
        <w:jc w:val="start"/>
        <w:tblInd w:w="56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20"/>
        <w:gridCol w:w="404"/>
        <w:gridCol w:w="239"/>
        <w:gridCol w:w="316"/>
        <w:gridCol w:w="320"/>
        <w:gridCol w:w="321"/>
        <w:gridCol w:w="320"/>
        <w:gridCol w:w="320"/>
        <w:gridCol w:w="319"/>
        <w:gridCol w:w="320"/>
        <w:gridCol w:w="320"/>
        <w:gridCol w:w="321"/>
        <w:gridCol w:w="320"/>
        <w:gridCol w:w="320"/>
        <w:gridCol w:w="319"/>
        <w:gridCol w:w="320"/>
        <w:gridCol w:w="320"/>
        <w:gridCol w:w="321"/>
        <w:gridCol w:w="320"/>
        <w:gridCol w:w="319"/>
        <w:gridCol w:w="320"/>
        <w:gridCol w:w="320"/>
        <w:gridCol w:w="321"/>
        <w:gridCol w:w="320"/>
        <w:gridCol w:w="320"/>
        <w:gridCol w:w="463"/>
        <w:gridCol w:w="462"/>
        <w:gridCol w:w="1791"/>
        <w:gridCol w:w="320"/>
        <w:gridCol w:w="320"/>
        <w:gridCol w:w="319"/>
        <w:gridCol w:w="320"/>
        <w:gridCol w:w="315"/>
      </w:tblGrid>
      <w:tr>
        <w:trPr>
          <w:trHeight w:val="139" w:hRule="atLeast"/>
        </w:trPr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404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239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16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1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19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1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19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1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19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1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463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462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1791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19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15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</w:tr>
      <w:tr>
        <w:trPr>
          <w:trHeight w:val="255" w:hRule="atLeast"/>
        </w:trPr>
        <w:tc>
          <w:tcPr>
            <w:tcW w:w="11995" w:type="dxa"/>
            <w:gridSpan w:val="32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15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</w:tr>
      <w:tr>
        <w:trPr>
          <w:trHeight w:val="255" w:hRule="atLeast"/>
        </w:trPr>
        <w:tc>
          <w:tcPr>
            <w:tcW w:w="11675" w:type="dxa"/>
            <w:gridSpan w:val="31"/>
            <w:tcBorders/>
          </w:tcPr>
          <w:p>
            <w:pPr>
              <w:pStyle w:val="Normal"/>
              <w:rPr>
                <w:rFonts w:ascii="Times;Times New Roman" w:hAnsi="Times;Times New Roman" w:eastAsia="Times;Times New Roman" w:cs="Times;Times New Roman"/>
                <w:b/>
                <w:bCs/>
              </w:rPr>
            </w:pPr>
            <w:r>
              <w:rPr/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  <w:b/>
                <w:bCs/>
              </w:rPr>
            </w:pPr>
            <w:r>
              <w:rPr>
                <w:rFonts w:cs="Times;Times New Roman" w:ascii="Times;Times New Roman" w:hAnsi="Times;Times New Roman"/>
                <w:b/>
                <w:bCs/>
              </w:rPr>
            </w:r>
          </w:p>
        </w:tc>
        <w:tc>
          <w:tcPr>
            <w:tcW w:w="315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  <w:b/>
                <w:bCs/>
              </w:rPr>
            </w:pPr>
            <w:r>
              <w:rPr>
                <w:rFonts w:cs="Times;Times New Roman" w:ascii="Times;Times New Roman" w:hAnsi="Times;Times New Roman"/>
                <w:b/>
                <w:bCs/>
              </w:rPr>
            </w:r>
          </w:p>
        </w:tc>
      </w:tr>
    </w:tbl>
    <w:p>
      <w:pPr>
        <w:pStyle w:val="Normal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  <w:t>Заказчик:                                                                      Исполнитель:</w:t>
      </w:r>
    </w:p>
    <w:p>
      <w:pPr>
        <w:pStyle w:val="Normal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p>
      <w:pPr>
        <w:pStyle w:val="Normal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p>
      <w:pPr>
        <w:pStyle w:val="Normal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p>
      <w:pPr>
        <w:pStyle w:val="Normal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p>
      <w:pPr>
        <w:pStyle w:val="Normal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p>
      <w:pPr>
        <w:pStyle w:val="Normal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  <w:t xml:space="preserve">____________________                 _________________                                   </w:t>
      </w:r>
    </w:p>
    <w:p>
      <w:pPr>
        <w:pStyle w:val="Normal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p>
      <w:pPr>
        <w:pStyle w:val="Normal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  <w:t xml:space="preserve">МП                                                           МП      </w:t>
      </w:r>
    </w:p>
    <w:sectPr>
      <w:type w:val="nextPage"/>
      <w:pgSz w:w="11906" w:h="16838"/>
      <w:pgMar w:left="1134" w:right="567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Segoe UI">
    <w:charset w:val="01" w:characterSet="utf-8"/>
    <w:family w:val="roman"/>
    <w:pitch w:val="variable"/>
  </w:font>
  <w:font w:name="Open Sans">
    <w:charset w:val="01" w:characterSet="utf-8"/>
    <w:family w:val="roman"/>
    <w:pitch w:val="variable"/>
  </w:font>
  <w:font w:name="Arial Narrow">
    <w:charset w:val="01" w:characterSet="utf-8"/>
    <w:family w:val="roman"/>
    <w:pitch w:val="variable"/>
  </w:font>
  <w:font w:name="Courier New">
    <w:charset w:val="01" w:characterSet="utf-8"/>
    <w:family w:val="roman"/>
    <w:pitch w:val="variable"/>
  </w:font>
  <w:font w:name="Times">
    <w:altName w:val="Times New Roman"/>
    <w:charset w:val="01" w:characterSet="utf-8"/>
    <w:family w:val="roman"/>
    <w:pitch w:val="variable"/>
  </w:font>
  <w:font w:name="Arial">
    <w:charset w:val="01" w:characterSet="utf-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ЧАСТЬ %1."/>
      <w:lvlJc w:val="start"/>
      <w:pPr>
        <w:tabs>
          <w:tab w:val="num" w:pos="2160"/>
        </w:tabs>
        <w:ind w:start="720" w:hanging="720"/>
      </w:pPr>
      <w:rPr>
        <w:sz w:val="40"/>
        <w:szCs w:val="40"/>
        <w:rFonts w:cs="Times New Roman"/>
      </w:rPr>
    </w:lvl>
    <w:lvl w:ilvl="1">
      <w:start w:val="1"/>
      <w:numFmt w:val="decimal"/>
      <w:lvlText w:val="РАЗДЕЛ %1.%2"/>
      <w:lvlJc w:val="start"/>
      <w:pPr>
        <w:tabs>
          <w:tab w:val="num" w:pos="1440"/>
        </w:tabs>
        <w:ind w:start="720" w:hanging="720"/>
      </w:pPr>
      <w:rPr>
        <w:rFonts w:cs="Times New Roman"/>
      </w:rPr>
    </w:lvl>
    <w:lvl w:ilvl="2">
      <w:start w:val="1"/>
      <w:numFmt w:val="decimal"/>
      <w:lvlText w:val="%1.%2.%3"/>
      <w:lvlJc w:val="start"/>
      <w:pPr>
        <w:tabs>
          <w:tab w:val="num" w:pos="720"/>
        </w:tabs>
        <w:ind w:start="720" w:hanging="720"/>
      </w:pPr>
      <w:rPr>
        <w:rFonts w:cs="Times New Roman"/>
      </w:rPr>
    </w:lvl>
    <w:lvl w:ilvl="3">
      <w:start w:val="1"/>
      <w:numFmt w:val="decimal"/>
      <w:lvlText w:val="%1.%2.%3.%4"/>
      <w:lvlJc w:val="start"/>
      <w:pPr>
        <w:tabs>
          <w:tab w:val="num" w:pos="720"/>
        </w:tabs>
        <w:ind w:start="720" w:hanging="720"/>
      </w:pPr>
      <w:rPr>
        <w:rFonts w:cs="Times New Roman"/>
      </w:rPr>
    </w:lvl>
    <w:lvl w:ilvl="4">
      <w:start w:val="1"/>
      <w:numFmt w:val="decimal"/>
      <w:lvlText w:val="%1.%2.%3.%4.%5"/>
      <w:lvlJc w:val="start"/>
      <w:pPr>
        <w:tabs>
          <w:tab w:val="num" w:pos="1080"/>
        </w:tabs>
        <w:ind w:start="1080" w:hanging="1080"/>
      </w:pPr>
      <w:rPr>
        <w:rFonts w:cs="Times New Roman"/>
      </w:rPr>
    </w:lvl>
    <w:lvl w:ilvl="5">
      <w:start w:val="1"/>
      <w:numFmt w:val="decimal"/>
      <w:lvlText w:val="%1.%2.%3.%4.%5.%6"/>
      <w:lvlJc w:val="start"/>
      <w:pPr>
        <w:tabs>
          <w:tab w:val="num" w:pos="1080"/>
        </w:tabs>
        <w:ind w:star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start"/>
      <w:pPr>
        <w:tabs>
          <w:tab w:val="num" w:pos="1440"/>
        </w:tabs>
        <w:ind w:star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start"/>
      <w:pPr>
        <w:tabs>
          <w:tab w:val="num" w:pos="1440"/>
        </w:tabs>
        <w:ind w:star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start"/>
      <w:pPr>
        <w:tabs>
          <w:tab w:val="num" w:pos="1800"/>
        </w:tabs>
        <w:ind w:start="1800" w:hanging="180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character" w:styleId="WW8Num2z0">
    <w:name w:val="WW8Num2z0"/>
    <w:qFormat/>
    <w:rPr>
      <w:rFonts w:cs="Times New Roman"/>
      <w:sz w:val="40"/>
      <w:szCs w:val="40"/>
    </w:rPr>
  </w:style>
  <w:style w:type="character" w:styleId="WW8Num2z1">
    <w:name w:val="WW8Num2z1"/>
    <w:qFormat/>
    <w:rPr>
      <w:rFonts w:cs="Times New Roman"/>
    </w:rPr>
  </w:style>
  <w:style w:type="character" w:styleId="WW8Num1z0">
    <w:name w:val="WW8Num1z0"/>
    <w:qFormat/>
    <w:rPr>
      <w:rFonts w:cs="Times New Roman"/>
      <w:sz w:val="40"/>
      <w:szCs w:val="40"/>
    </w:rPr>
  </w:style>
  <w:style w:type="character" w:styleId="WW8Num1z1">
    <w:name w:val="WW8Num1z1"/>
    <w:qFormat/>
    <w:rPr>
      <w:rFonts w:cs="Times New Roman"/>
    </w:rPr>
  </w:style>
  <w:style w:type="character" w:styleId="Style14">
    <w:name w:val="Основной шрифт абзаца"/>
    <w:qFormat/>
    <w:rPr/>
  </w:style>
  <w:style w:type="character" w:styleId="Style15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Style16">
    <w:name w:val="Основной текст с отступом Знак"/>
    <w:qFormat/>
    <w:rPr>
      <w:sz w:val="24"/>
      <w:szCs w:val="24"/>
    </w:rPr>
  </w:style>
  <w:style w:type="character" w:styleId="S1">
    <w:name w:val="s1"/>
    <w:basedOn w:val="Style14"/>
    <w:qFormat/>
    <w:rPr/>
  </w:style>
  <w:style w:type="character" w:styleId="Hyperlink">
    <w:name w:val="Hyperlink"/>
    <w:rPr>
      <w:color w:val="0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Droid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9">
    <w:name w:val="Нумерованный список"/>
    <w:basedOn w:val="Normal"/>
    <w:qFormat/>
    <w:pPr>
      <w:spacing w:before="120" w:after="0"/>
      <w:jc w:val="both"/>
    </w:pPr>
    <w:rPr>
      <w:szCs w:val="20"/>
    </w:rPr>
  </w:style>
  <w:style w:type="paragraph" w:styleId="Style20">
    <w:name w:val="Раздел"/>
    <w:basedOn w:val="Normal"/>
    <w:qFormat/>
    <w:pPr>
      <w:numPr>
        <w:ilvl w:val="0"/>
        <w:numId w:val="1"/>
      </w:numPr>
      <w:spacing w:before="120" w:after="120"/>
      <w:jc w:val="center"/>
    </w:pPr>
    <w:rPr>
      <w:rFonts w:ascii="Arial Narrow" w:hAnsi="Arial Narrow" w:cs="Arial Narrow"/>
      <w:b/>
      <w:bCs/>
      <w:sz w:val="28"/>
      <w:szCs w:val="28"/>
    </w:rPr>
  </w:style>
  <w:style w:type="paragraph" w:styleId="Style21">
    <w:name w:val="Без интервала"/>
    <w:qFormat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Lucida Sans Unicode" w:cs="Mangal;Courier New"/>
      <w:color w:val="auto"/>
      <w:kern w:val="2"/>
      <w:sz w:val="24"/>
      <w:szCs w:val="24"/>
      <w:lang w:val="ru-RU" w:eastAsia="zh-CN" w:bidi="hi-IN"/>
    </w:rPr>
  </w:style>
  <w:style w:type="paragraph" w:styleId="Style22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pPr>
      <w:ind w:firstLine="708" w:start="0" w:end="0"/>
    </w:pPr>
    <w:rPr/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star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main?base=LAW;n=112770;fld=134" TargetMode="External"/><Relationship Id="rId3" Type="http://schemas.openxmlformats.org/officeDocument/2006/relationships/hyperlink" Target="consultantplus://offline/main?base=LAW;n=116659;fld=134" TargetMode="External"/><Relationship Id="rId4" Type="http://schemas.openxmlformats.org/officeDocument/2006/relationships/hyperlink" Target="mailto:mto@r63.fssp.gov.ru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64</TotalTime>
  <Application>LibreOffice/7.6.7.2$Linux_X86_64 LibreOffice_project/60$Build-2</Application>
  <AppVersion>15.0000</AppVersion>
  <Pages>10</Pages>
  <Words>1609</Words>
  <Characters>10773</Characters>
  <CharactersWithSpaces>12744</CharactersWithSpaces>
  <Paragraphs>335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2026-07-20T11:22:00Z</dcterms:created>
  <dc:creator>user035</dc:creator>
  <dc:description/>
  <dc:language>ru-RU</dc:language>
  <cp:lastModifiedBy/>
  <cp:lastPrinted>2026-07-20T10:25:00Z</cp:lastPrinted>
  <dcterms:modified xsi:type="dcterms:W3CDTF">2026-08-13T13:38:10Z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