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ind w:hang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ind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ОПИСАНИЕ ОБЪЕКТА ЗАКУПКИ</w:t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Технические требования</w:t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на выполнение работ по оценке эффективности защиты (защищенности) информации от утечки по техническим каналам и от несанкционированного доступа на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bookmarkStart w:id="0" w:name="_Hlk134632315"/>
      <w:r>
        <w:rPr>
          <w:rFonts w:cs="Times New Roman" w:ascii="Times New Roman" w:hAnsi="Times New Roman"/>
          <w:b/>
          <w:sz w:val="28"/>
          <w:szCs w:val="28"/>
        </w:rPr>
        <w:t xml:space="preserve">автоматизированных рабочих местах </w:t>
      </w:r>
      <w:bookmarkEnd w:id="0"/>
      <w:r>
        <w:rPr>
          <w:rFonts w:eastAsia="Calibri" w:cs="Times New Roman" w:ascii="Times New Roman" w:hAnsi="Times New Roman"/>
          <w:b/>
          <w:sz w:val="28"/>
          <w:szCs w:val="28"/>
        </w:rPr>
        <w:t>в защищённом исполнении для обработки сведений, составляющих государственную тайну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240" w:after="200"/>
        <w:ind w:firstLine="567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Предмет контракта: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проведение работ по оценке эффективности защиты (защищенности) информации от утечки по техническим каналам и от несанкционированного доступа на автоматизированных рабочих местах (далее — АРМ) в защищенном исполнении для обработки сведений, составляющих государственную тайну.</w:t>
      </w:r>
    </w:p>
    <w:p>
      <w:pPr>
        <w:pStyle w:val="2"/>
        <w:tabs>
          <w:tab w:val="clear" w:pos="708"/>
          <w:tab w:val="left" w:pos="0" w:leader="none"/>
        </w:tabs>
        <w:spacing w:before="0" w:after="0"/>
        <w:ind w:firstLine="567"/>
        <w:rPr>
          <w:sz w:val="28"/>
          <w:szCs w:val="28"/>
        </w:rPr>
      </w:pPr>
      <w:bookmarkStart w:id="1" w:name="_Toc46212366"/>
      <w:r>
        <w:rPr>
          <w:rFonts w:cs="Times New Roman" w:ascii="Times New Roman" w:hAnsi="Times New Roman"/>
          <w:color w:val="auto"/>
          <w:sz w:val="28"/>
          <w:szCs w:val="28"/>
        </w:rPr>
        <w:t>Место</w:t>
      </w:r>
      <w:bookmarkEnd w:id="1"/>
      <w:r>
        <w:rPr>
          <w:rFonts w:cs="Times New Roman" w:ascii="Times New Roman" w:hAnsi="Times New Roman"/>
          <w:color w:val="auto"/>
          <w:sz w:val="28"/>
          <w:szCs w:val="28"/>
        </w:rPr>
        <w:t xml:space="preserve"> проведения работ: </w:t>
      </w: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 xml:space="preserve">г. Москва, Волоколамское ш., д. 30, стр. 1, в рабочие дни с 9:00 до 17:00 часов.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Сроки выполнения работ: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 п</w:t>
      </w:r>
      <w:r>
        <w:rPr>
          <w:rFonts w:cs="Times New Roman" w:ascii="Times New Roman" w:hAnsi="Times New Roman"/>
          <w:bCs/>
          <w:iCs/>
          <w:sz w:val="28"/>
          <w:szCs w:val="28"/>
          <w:shd w:fill="auto" w:val="clear"/>
        </w:rPr>
        <w:t>о 0</w:t>
      </w:r>
      <w:r>
        <w:rPr>
          <w:rFonts w:cs="Times New Roman" w:ascii="Times New Roman" w:hAnsi="Times New Roman"/>
          <w:bCs/>
          <w:iCs/>
          <w:sz w:val="28"/>
          <w:szCs w:val="28"/>
          <w:shd w:fill="auto" w:val="clear"/>
        </w:rPr>
        <w:t>1</w:t>
      </w:r>
      <w:r>
        <w:rPr>
          <w:rFonts w:cs="Times New Roman" w:ascii="Times New Roman" w:hAnsi="Times New Roman"/>
          <w:bCs/>
          <w:iCs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Cs/>
          <w:iCs/>
          <w:sz w:val="28"/>
          <w:szCs w:val="28"/>
          <w:shd w:fill="auto" w:val="clear"/>
        </w:rPr>
        <w:t>декабря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 2026 г.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180" w:after="60"/>
        <w:ind w:left="0" w:firstLine="567"/>
        <w:jc w:val="both"/>
        <w:outlineLvl w:val="1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  <w:lang w:eastAsia="ru-RU"/>
        </w:rPr>
        <w:t>Гарантийные обязательства: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В случае предъявления контрольными органами претензий Заказчику по полноте выполненных работ и документации, Исполнитель устраняет замечания за свой счет.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Срок решения гарантийного случая должен составлять не более 1 месяца с момента получения письменного требования Заказчика..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ewNormal1"/>
        <w:tabs>
          <w:tab w:val="clear" w:pos="708"/>
          <w:tab w:val="left" w:pos="0" w:leader="none"/>
        </w:tabs>
        <w:spacing w:lineRule="auto" w:line="240" w:before="0" w:after="0"/>
        <w:rPr>
          <w:sz w:val="28"/>
          <w:szCs w:val="28"/>
        </w:rPr>
      </w:pPr>
      <w:bookmarkStart w:id="2" w:name="_Toc447896889"/>
      <w:r>
        <w:rPr>
          <w:b/>
          <w:sz w:val="28"/>
          <w:szCs w:val="28"/>
        </w:rPr>
        <w:t>Перечень терминов и сокращений</w:t>
      </w:r>
      <w:bookmarkEnd w:id="2"/>
    </w:p>
    <w:p>
      <w:pPr>
        <w:pStyle w:val="NewNormal1"/>
        <w:tabs>
          <w:tab w:val="clear" w:pos="708"/>
          <w:tab w:val="left" w:pos="0" w:leader="none"/>
        </w:tabs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0"/>
        <w:gridCol w:w="2315"/>
        <w:gridCol w:w="6806"/>
      </w:tblGrid>
      <w:tr>
        <w:trPr>
          <w:tblHeader w:val="true"/>
          <w:trHeight w:val="330" w:hRule="atLeast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36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Термины (сокращения)</w:t>
            </w:r>
          </w:p>
        </w:tc>
        <w:tc>
          <w:tcPr>
            <w:tcW w:w="6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0" w:leader="none"/>
                <w:tab w:val="left" w:pos="436" w:leader="none"/>
              </w:tabs>
              <w:spacing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ГОСТ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Государственный стандарт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0" w:leader="none"/>
                <w:tab w:val="left" w:pos="436" w:leader="none"/>
              </w:tabs>
              <w:spacing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ФСБ России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Федеральная служба безопасности Российской Федерации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0" w:leader="none"/>
                <w:tab w:val="left" w:pos="436" w:leader="none"/>
              </w:tabs>
              <w:spacing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ФСТЭК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России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Федеральная служба по техническому 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 w:eastAsia="ar-SA"/>
              </w:rPr>
              <w:t> 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экспортному контролю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0" w:leader="none"/>
                <w:tab w:val="left" w:pos="436" w:leader="none"/>
              </w:tabs>
              <w:spacing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ОИ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Объект информатизации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0" w:leader="none"/>
                <w:tab w:val="left" w:pos="436" w:leader="none"/>
              </w:tabs>
              <w:spacing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АРМ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Автоматизированное рабочее место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0" w:leader="none"/>
                <w:tab w:val="left" w:pos="436" w:leader="none"/>
              </w:tabs>
              <w:spacing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ОТСС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Основные технические средства и системы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50" w:leader="none"/>
                <w:tab w:val="left" w:pos="436" w:leader="none"/>
              </w:tabs>
              <w:spacing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ВТСС</w:t>
            </w:r>
          </w:p>
        </w:tc>
        <w:tc>
          <w:tcPr>
            <w:tcW w:w="68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ar-SA"/>
              </w:rPr>
              <w:t>Вспомогательные технические средства и системы</w:t>
            </w:r>
          </w:p>
        </w:tc>
      </w:tr>
    </w:tbl>
    <w:p>
      <w:pPr>
        <w:pStyle w:val="2"/>
        <w:tabs>
          <w:tab w:val="clear" w:pos="708"/>
          <w:tab w:val="left" w:pos="0" w:leader="none"/>
        </w:tabs>
        <w:spacing w:lineRule="auto" w:line="360"/>
        <w:ind w:firstLine="567"/>
        <w:rPr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Отчетная</w:t>
      </w:r>
      <w:bookmarkStart w:id="3" w:name="_Toc46212368"/>
      <w:r>
        <w:rPr>
          <w:rFonts w:cs="Times New Roman" w:ascii="Times New Roman" w:hAnsi="Times New Roman"/>
          <w:color w:val="auto"/>
          <w:sz w:val="28"/>
          <w:szCs w:val="28"/>
        </w:rPr>
        <w:t xml:space="preserve"> документаци</w:t>
      </w:r>
      <w:bookmarkEnd w:id="3"/>
      <w:r>
        <w:rPr>
          <w:rFonts w:cs="Times New Roman" w:ascii="Times New Roman" w:hAnsi="Times New Roman"/>
          <w:color w:val="auto"/>
          <w:sz w:val="28"/>
          <w:szCs w:val="28"/>
        </w:rPr>
        <w:t>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протоколы испытаний по оценке эффективности защиты (защищенности) информации от утечки по канал ПЭМИН;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протоколы испытаний по оценке эффективности защиты (защищенности) информации от НСД;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заключение по результатам испытаний;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комплект документов, предусмотренных требованиями по ТЗИ.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"/>
        <w:keepLines w:val="false"/>
        <w:tabs>
          <w:tab w:val="clear" w:pos="708"/>
          <w:tab w:val="left" w:pos="0" w:leader="none"/>
        </w:tabs>
        <w:spacing w:lineRule="auto" w:line="240" w:before="0" w:after="24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Применяемая нормативная правовая база: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Федеральный закон от 05.04.2013 № 44-ФЗ (ред. от 29.07.2018) </w:t>
        <w:br/>
        <w:t>«О контрактной системе в сфере закупок товаров, работ, услуг для обеспечения государственных и муниципальных нужд» (с изм. и доп., вступ. в силу с 31.07.2018);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Постановление Правительства Российской Федерации от 10.07.2019 № 878 «О 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 постановление Правительства Российской Федерации от 16 сентября 2016 года № 925 и признании утратившими силу некоторых актов Правительства Российской Федерации»;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Указ Президента Российской Федерации от 17 марта 2008 года № 351 </w:t>
        <w:br/>
        <w:t>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Федеральный закон Российской Федерации от 4 мая 2011 года № 99-ФЗ </w:t>
        <w:br/>
        <w:t>«О лицензировании отдельных видов деятельности»;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Закон Российской Федерации от 21.07.1993 № 5485-1 </w:t>
        <w:br/>
        <w:t>«О государственной тайне»;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Постановление Правительства Российской Федерации от 15 апреля 1995 года </w:t>
        <w:br/>
        <w:t>№ 333 «О лицензировании деятельности предприятий, учреждений и организаций по проведению работ, связанных с использованием сведений, составляющих государственную тайну, созданием средств защиты информации, а также с осуществлением мероприятий и (или) оказанием услуг по защите государственной тайны»;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Постановление Правительства Российской Федерации от 26 июня 1995 года </w:t>
        <w:br/>
        <w:t>№ 608 «О сертификации средств защиты информации»;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 ФСТЭК России от 03.04.2018 № 55 «Об утверждении Положения о системе сертификации средств защиты информации»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Положение о государственной системе защиты информации в Российской Федерации от иностранных технических разведок и от ее утечки по техническим каналам, утвержденное постановлением Правительства Российской Федерации от 15.09.1993 № 912-51;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тайну», утвержденные приказом ФСТЭК России от 28.09.2020 № 110;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«Требования по технической защите информации, содержащей сведения, составляющие государственную тайну», утвержденные приказом ФСТЭК России </w:t>
        <w:br/>
        <w:t>от 20.10.2016 № 025;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Инструкция по обеспечению режима секретности в РФ (утв. постановлением Правительства Российской Федерации 05.01.2004 № 3-1);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ГОСТ Р 50922-2006. «Защита информации. Основные термины </w:t>
        <w:br/>
        <w:t>и определения»;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ГОСТ 29339-92. «Информационная технология. Защита информации </w:t>
        <w:br/>
        <w:t>от утечки за счет побочных электромагнитных излучений и наводок при ее обработке средствами вычислительной техники. Общие технические требования»;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  <w:tab w:val="center" w:pos="4677" w:leader="none"/>
          <w:tab w:val="center" w:pos="8280" w:leader="none"/>
          <w:tab w:val="right" w:pos="9355" w:leader="none"/>
        </w:tabs>
        <w:spacing w:lineRule="auto" w:line="240"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ГОСТ Р 51275-06. «Защита информации. Объект информатизации. Факторы, воздействующие на информацию. Общие положения».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right" w:pos="1134" w:leader="none"/>
        </w:tabs>
        <w:spacing w:lineRule="auto" w:line="288" w:before="240" w:after="120"/>
        <w:ind w:left="0" w:firstLine="567"/>
        <w:jc w:val="center"/>
        <w:outlineLvl w:val="0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</w:rPr>
      </w:r>
    </w:p>
    <w:tbl>
      <w:tblPr>
        <w:tblW w:w="913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noVBand="1" w:val="04a0" w:noHBand="0" w:lastColumn="0" w:firstColumn="1" w:lastRow="0" w:firstRow="1"/>
      </w:tblPr>
      <w:tblGrid>
        <w:gridCol w:w="630"/>
        <w:gridCol w:w="5895"/>
        <w:gridCol w:w="2610"/>
      </w:tblGrid>
      <w:tr>
        <w:trPr>
          <w:trHeight w:val="2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6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п.п.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6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Наименование работ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7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Кол-во АРМ, шт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200"/>
              <w:ind w:left="136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6" w:hanging="0"/>
              <w:contextualSpacing/>
              <w:jc w:val="both"/>
              <w:rPr/>
            </w:pPr>
            <w:r>
              <w:rPr>
                <w:rStyle w:val="Chars-valuevalue-min-val"/>
                <w:rFonts w:cs="Times New Roman" w:ascii="Times New Roman" w:hAnsi="Times New Roman"/>
                <w:sz w:val="28"/>
                <w:szCs w:val="28"/>
              </w:rPr>
              <w:t>Проведение работ по оценке эффективности защиты (защищенности) информации от утечки по техническим каналам и от несанкционированного доступа на объекте информатизации (АРМ) в соответствии с требованиями ФСТЭК России для обработки сведений составляющих государственную тайну в помещении Заказчика.</w:t>
            </w:r>
          </w:p>
          <w:p>
            <w:pPr>
              <w:pStyle w:val="Normal"/>
              <w:widowControl w:val="false"/>
              <w:spacing w:before="0" w:after="200"/>
              <w:ind w:left="136" w:hanging="0"/>
              <w:contextualSpacing/>
              <w:jc w:val="both"/>
              <w:rPr/>
            </w:pPr>
            <w:r>
              <w:rPr>
                <w:rStyle w:val="Chars-valuevalue-min-val"/>
                <w:rFonts w:cs="Times New Roman" w:ascii="Times New Roman" w:hAnsi="Times New Roman"/>
                <w:sz w:val="28"/>
                <w:szCs w:val="28"/>
              </w:rPr>
              <w:t>(АРМ в составе: моноблок, клавиатура, манипулятор «мышь», принтер, ИБП)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7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before="240" w:after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gutter="0" w:header="0" w:top="1134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3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0" w:hanging="18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6b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fa557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223c5a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Абзац списка Знак"/>
    <w:link w:val="ListParagraph"/>
    <w:uiPriority w:val="34"/>
    <w:qFormat/>
    <w:locked/>
    <w:rsid w:val="005c3206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Символ сноски"/>
    <w:unhideWhenUsed/>
    <w:qFormat/>
    <w:rsid w:val="001224ac"/>
    <w:rPr>
      <w:sz w:val="24"/>
      <w:vertAlign w:val="superscript"/>
    </w:rPr>
  </w:style>
  <w:style w:type="character" w:styleId="Style14">
    <w:name w:val="Footnote Reference"/>
    <w:rPr>
      <w:sz w:val="24"/>
      <w:vertAlign w:val="superscript"/>
    </w:rPr>
  </w:style>
  <w:style w:type="character" w:styleId="Label" w:customStyle="1">
    <w:name w:val="label"/>
    <w:basedOn w:val="DefaultParagraphFont"/>
    <w:qFormat/>
    <w:rsid w:val="00b2449d"/>
    <w:rPr/>
  </w:style>
  <w:style w:type="character" w:styleId="Ktru-propertycaption" w:customStyle="1">
    <w:name w:val="ktru-property__caption"/>
    <w:basedOn w:val="DefaultParagraphFont"/>
    <w:qFormat/>
    <w:rsid w:val="001b3c5b"/>
    <w:rPr/>
  </w:style>
  <w:style w:type="character" w:styleId="-">
    <w:name w:val="Hyperlink"/>
    <w:basedOn w:val="DefaultParagraphFont"/>
    <w:uiPriority w:val="99"/>
    <w:semiHidden/>
    <w:unhideWhenUsed/>
    <w:rsid w:val="001b3c5b"/>
    <w:rPr>
      <w:color w:val="0000FF"/>
      <w:u w:val="single"/>
    </w:rPr>
  </w:style>
  <w:style w:type="character" w:styleId="Chars-valuevalue-min-val" w:customStyle="1">
    <w:name w:val="chars-value__value-min-val"/>
    <w:basedOn w:val="DefaultParagraphFont"/>
    <w:qFormat/>
    <w:rsid w:val="00307924"/>
    <w:rPr/>
  </w:style>
  <w:style w:type="character" w:styleId="Chars-valuevalue-text-desc" w:customStyle="1">
    <w:name w:val="chars-value__value-text-desc"/>
    <w:basedOn w:val="DefaultParagraphFont"/>
    <w:qFormat/>
    <w:rsid w:val="00722f75"/>
    <w:rPr/>
  </w:style>
  <w:style w:type="character" w:styleId="Chars-valuevalue" w:customStyle="1">
    <w:name w:val="chars-value__value"/>
    <w:basedOn w:val="DefaultParagraphFont"/>
    <w:qFormat/>
    <w:rsid w:val="007b0534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e2a8e"/>
    <w:rPr>
      <w:rFonts w:ascii="Tahoma" w:hAnsi="Tahoma" w:cs="Tahoma"/>
      <w:sz w:val="16"/>
      <w:szCs w:val="16"/>
    </w:rPr>
  </w:style>
  <w:style w:type="character" w:styleId="31" w:customStyle="1">
    <w:name w:val="Заголовок 3 Знак"/>
    <w:basedOn w:val="DefaultParagraphFont"/>
    <w:uiPriority w:val="9"/>
    <w:qFormat/>
    <w:rsid w:val="00223c5a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NewNormal" w:customStyle="1">
    <w:name w:val="_New_Normal Знак Знак"/>
    <w:link w:val="NewNormal1"/>
    <w:qFormat/>
    <w:locked/>
    <w:rsid w:val="00543ce5"/>
    <w:rPr>
      <w:rFonts w:ascii="Times New Roman" w:hAnsi="Times New Roman" w:eastAsia="Times New Roman" w:cs="Times New Roman"/>
      <w:szCs w:val="20"/>
      <w:lang w:eastAsia="ru-RU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fa557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E1ckvoeh1" w:customStyle="1">
    <w:name w:val="e1ckvoeh1"/>
    <w:basedOn w:val="DefaultParagraphFont"/>
    <w:qFormat/>
    <w:rsid w:val="00f542c4"/>
    <w:rPr/>
  </w:style>
  <w:style w:type="character" w:styleId="E1ckvoeh0" w:customStyle="1">
    <w:name w:val="e1ckvoeh0"/>
    <w:basedOn w:val="DefaultParagraphFont"/>
    <w:qFormat/>
    <w:rsid w:val="00f542c4"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542c4"/>
    <w:rPr/>
  </w:style>
  <w:style w:type="character" w:styleId="Style17" w:customStyle="1">
    <w:name w:val="Нижний колонтитул Знак"/>
    <w:basedOn w:val="DefaultParagraphFont"/>
    <w:uiPriority w:val="99"/>
    <w:qFormat/>
    <w:rsid w:val="00f542c4"/>
    <w:rPr/>
  </w:style>
  <w:style w:type="character" w:styleId="1" w:customStyle="1">
    <w:name w:val="Заголовок 1 Знак"/>
    <w:basedOn w:val="DefaultParagraphFont"/>
    <w:uiPriority w:val="99"/>
    <w:qFormat/>
    <w:rsid w:val="009a7c63"/>
    <w:rPr>
      <w:rFonts w:ascii="Times New Roman" w:hAnsi="Times New Roman" w:eastAsia="Calibri" w:cs="Times New Roman"/>
      <w:b/>
      <w:bCs/>
      <w:sz w:val="24"/>
      <w:szCs w:val="24"/>
      <w:lang w:val="zh-CN" w:eastAsia="ru-RU"/>
    </w:rPr>
  </w:style>
  <w:style w:type="character" w:styleId="Hgkelc" w:customStyle="1">
    <w:name w:val="hgkelc"/>
    <w:basedOn w:val="DefaultParagraphFont"/>
    <w:qFormat/>
    <w:rsid w:val="005b2713"/>
    <w:rPr/>
  </w:style>
  <w:style w:type="character" w:styleId="Ng-star-inserted" w:customStyle="1">
    <w:name w:val="ng-star-inserted"/>
    <w:basedOn w:val="DefaultParagraphFont"/>
    <w:qFormat/>
    <w:rsid w:val="00496e7a"/>
    <w:rPr/>
  </w:style>
  <w:style w:type="character" w:styleId="ConsPlusNormal" w:customStyle="1">
    <w:name w:val="ConsPlusNormal Знак"/>
    <w:link w:val="ConsPlusNormal1"/>
    <w:qFormat/>
    <w:locked/>
    <w:rsid w:val="009e36b2"/>
    <w:rPr>
      <w:rFonts w:ascii="Arial" w:hAnsi="Arial" w:eastAsia="Times New Roman" w:cs="Arial"/>
      <w:sz w:val="20"/>
      <w:szCs w:val="20"/>
      <w:lang w:eastAsia="ru-RU"/>
    </w:rPr>
  </w:style>
  <w:style w:type="character" w:styleId="NoSpacingChar" w:customStyle="1">
    <w:name w:val="No Spacing Char"/>
    <w:link w:val="11"/>
    <w:qFormat/>
    <w:locked/>
    <w:rsid w:val="009e36b2"/>
    <w:rPr>
      <w:rFonts w:cs="Times New Roman"/>
      <w:lang w:val="en-US"/>
    </w:rPr>
  </w:style>
  <w:style w:type="character" w:styleId="Style18" w:customStyle="1">
    <w:name w:val="Маркеры"/>
    <w:qFormat/>
    <w:rPr>
      <w:rFonts w:ascii="OpenSymbol" w:hAnsi="OpenSymbol" w:eastAsia="OpenSymbol" w:cs="OpenSymbol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link w:val="Style12"/>
    <w:uiPriority w:val="34"/>
    <w:qFormat/>
    <w:rsid w:val="005c3206"/>
    <w:pPr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4" w:customStyle="1">
    <w:name w:val="Обычный4"/>
    <w:qFormat/>
    <w:rsid w:val="004c2e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Default" w:customStyle="1">
    <w:name w:val="Default"/>
    <w:qFormat/>
    <w:rsid w:val="00b2449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e2a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ewNormal1" w:customStyle="1">
    <w:name w:val="_New_Normal"/>
    <w:link w:val="NewNormal"/>
    <w:qFormat/>
    <w:rsid w:val="00543ce5"/>
    <w:pPr>
      <w:widowControl/>
      <w:suppressAutoHyphens w:val="true"/>
      <w:bidi w:val="0"/>
      <w:spacing w:lineRule="auto" w:line="360" w:before="120" w:after="12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6"/>
    <w:uiPriority w:val="99"/>
    <w:unhideWhenUsed/>
    <w:rsid w:val="00f542c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7"/>
    <w:uiPriority w:val="99"/>
    <w:unhideWhenUsed/>
    <w:rsid w:val="00f542c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" w:customStyle="1">
    <w:name w:val="Без интервала1"/>
    <w:link w:val="NoSpacingChar"/>
    <w:qFormat/>
    <w:rsid w:val="009a7c6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nsPlusNormal1" w:customStyle="1">
    <w:name w:val="ConsPlusNormal"/>
    <w:link w:val="ConsPlusNormal"/>
    <w:qFormat/>
    <w:rsid w:val="009e36b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fd4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LibreOffice/7.5.2.1$Linux_X86_64 LibreOffice_project/50$Build-1</Application>
  <AppVersion>15.0000</AppVersion>
  <Pages>3</Pages>
  <Words>667</Words>
  <Characters>4589</Characters>
  <CharactersWithSpaces>5184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2023-05-17T12:50:00Z</dcterms:created>
  <dc:creator>Admin</dc:creator>
  <dc:description/>
  <dc:language>ru-RU</dc:language>
  <cp:lastModifiedBy/>
  <cp:lastPrinted>2023-05-11T13:18:00Z</cp:lastPrinted>
  <dcterms:modified xsi:type="dcterms:W3CDTF">2026-05-15T10:56:36Z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