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ind/>
        <w:jc w:val="center"/>
        <w:rPr>
          <w:rFonts w:ascii="Times New Roman" w:hAnsi="Times New Roman"/>
          <w:b w:val="1"/>
          <w:sz w:val="24"/>
        </w:rPr>
      </w:pPr>
      <w:r>
        <w:rPr>
          <w:rFonts w:ascii="Times New Roman" w:hAnsi="Times New Roman"/>
          <w:b w:val="1"/>
          <w:sz w:val="24"/>
        </w:rPr>
        <w:t xml:space="preserve">ГОСУДАРСТВЕННЫЙ КОНТРАКТ </w:t>
      </w:r>
      <w:r>
        <w:rPr>
          <w:rFonts w:ascii="Times New Roman" w:hAnsi="Times New Roman"/>
          <w:b w:val="1"/>
          <w:sz w:val="24"/>
        </w:rPr>
        <w:t>№</w:t>
      </w:r>
    </w:p>
    <w:p w14:paraId="02000000">
      <w:pPr>
        <w:pStyle w:val="Style_1"/>
        <w:widowControl w:val="1"/>
        <w:ind/>
        <w:jc w:val="center"/>
        <w:rPr>
          <w:rFonts w:ascii="Times New Roman" w:hAnsi="Times New Roman"/>
          <w:b w:val="1"/>
          <w:sz w:val="24"/>
        </w:rPr>
      </w:pPr>
      <w:r>
        <w:rPr>
          <w:rFonts w:ascii="Times New Roman" w:hAnsi="Times New Roman"/>
          <w:b w:val="1"/>
          <w:sz w:val="24"/>
        </w:rPr>
        <w:t xml:space="preserve">проект </w:t>
      </w:r>
    </w:p>
    <w:p w14:paraId="03000000">
      <w:pPr>
        <w:pStyle w:val="Style_1"/>
        <w:widowControl w:val="1"/>
        <w:ind/>
        <w:jc w:val="center"/>
        <w:rPr>
          <w:rFonts w:ascii="Times New Roman" w:hAnsi="Times New Roman"/>
          <w:b w:val="1"/>
          <w:sz w:val="24"/>
        </w:rPr>
      </w:pPr>
      <w:r>
        <w:rPr>
          <w:rFonts w:ascii="Times New Roman" w:hAnsi="Times New Roman"/>
          <w:b w:val="1"/>
          <w:sz w:val="24"/>
        </w:rPr>
        <w:t xml:space="preserve">На </w:t>
      </w:r>
      <w:r>
        <w:rPr>
          <w:rFonts w:ascii="Times New Roman" w:hAnsi="Times New Roman"/>
          <w:b w:val="1"/>
          <w:sz w:val="22"/>
        </w:rPr>
        <w:t>в</w:t>
      </w:r>
      <w:r>
        <w:rPr>
          <w:rFonts w:ascii="Times New Roman" w:hAnsi="Times New Roman"/>
          <w:b w:val="1"/>
          <w:sz w:val="22"/>
        </w:rPr>
        <w:t xml:space="preserve">ыполнение </w:t>
      </w:r>
      <w:r>
        <w:rPr>
          <w:rFonts w:ascii="Times New Roman" w:hAnsi="Times New Roman"/>
          <w:b w:val="1"/>
          <w:sz w:val="22"/>
        </w:rPr>
        <w:t>кадастровых работ на территории Республики Бурятия</w:t>
      </w:r>
    </w:p>
    <w:p w14:paraId="04000000">
      <w:pPr>
        <w:widowControl w:val="0"/>
        <w:ind w:right="51"/>
        <w:jc w:val="center"/>
        <w:rPr>
          <w:b w:val="1"/>
        </w:rPr>
      </w:pPr>
      <w:r>
        <w:rPr>
          <w:b w:val="1"/>
        </w:rPr>
        <w:t>(заключен в электронной форме)</w:t>
      </w:r>
    </w:p>
    <w:p w14:paraId="05000000">
      <w:pPr>
        <w:widowControl w:val="0"/>
        <w:ind w:right="51"/>
        <w:jc w:val="center"/>
        <w:rPr>
          <w:b w:val="1"/>
        </w:rPr>
      </w:pPr>
    </w:p>
    <w:p w14:paraId="06000000">
      <w:pPr>
        <w:widowControl w:val="0"/>
        <w:ind w:firstLine="720" w:left="0" w:right="51"/>
        <w:jc w:val="center"/>
        <w:rPr>
          <w:b w:val="1"/>
          <w:sz w:val="24"/>
        </w:rPr>
      </w:pPr>
      <w:r>
        <w:rPr>
          <w:b w:val="1"/>
          <w:sz w:val="24"/>
        </w:rPr>
        <w:t>ИКЗ:</w:t>
      </w:r>
      <w:r>
        <w:rPr>
          <w:sz w:val="24"/>
        </w:rPr>
        <w:t xml:space="preserve"> </w:t>
      </w:r>
      <w:r>
        <w:rPr>
          <w:rFonts w:ascii="Tahoma" w:hAnsi="Tahoma"/>
          <w:b w:val="1"/>
          <w:color w:val="383838"/>
          <w:sz w:val="22"/>
          <w:highlight w:val="white"/>
        </w:rPr>
        <w:t>261753617985075360100100100000000244</w:t>
      </w:r>
    </w:p>
    <w:tbl>
      <w:tblPr>
        <w:tblStyle w:val="Style_2"/>
        <w:tblW w:type="auto" w:w="0"/>
        <w:tblLayout w:type="fixed"/>
      </w:tblPr>
      <w:tblGrid>
        <w:gridCol w:w="4769"/>
        <w:gridCol w:w="5539"/>
      </w:tblGrid>
      <w:tr>
        <w:tc>
          <w:tcPr>
            <w:tcW w:type="dxa" w:w="4769"/>
          </w:tcPr>
          <w:p w14:paraId="07000000">
            <w:pPr>
              <w:pStyle w:val="Style_1"/>
              <w:widowControl w:val="1"/>
              <w:ind/>
              <w:jc w:val="both"/>
              <w:rPr>
                <w:rFonts w:ascii="Times New Roman" w:hAnsi="Times New Roman"/>
                <w:sz w:val="24"/>
              </w:rPr>
            </w:pPr>
            <w:r>
              <w:rPr>
                <w:rFonts w:ascii="Times New Roman" w:hAnsi="Times New Roman"/>
                <w:sz w:val="24"/>
              </w:rPr>
              <w:t xml:space="preserve">г. </w:t>
            </w:r>
            <w:r>
              <w:rPr>
                <w:rFonts w:ascii="Times New Roman" w:hAnsi="Times New Roman"/>
                <w:sz w:val="24"/>
              </w:rPr>
              <w:t>Чита</w:t>
            </w:r>
          </w:p>
        </w:tc>
        <w:tc>
          <w:tcPr>
            <w:tcW w:type="dxa" w:w="5539"/>
          </w:tcPr>
          <w:p w14:paraId="08000000">
            <w:pPr>
              <w:pStyle w:val="Style_1"/>
              <w:widowControl w:val="1"/>
              <w:ind w:firstLine="697" w:left="0"/>
              <w:jc w:val="right"/>
              <w:rPr>
                <w:rFonts w:ascii="Times New Roman" w:hAnsi="Times New Roman"/>
                <w:sz w:val="24"/>
              </w:rPr>
            </w:pPr>
            <w:r>
              <w:rPr>
                <w:rFonts w:ascii="Times New Roman" w:hAnsi="Times New Roman"/>
                <w:sz w:val="24"/>
              </w:rPr>
              <w:t>«___» _________ 20</w:t>
            </w:r>
            <w:r>
              <w:rPr>
                <w:rFonts w:ascii="Times New Roman" w:hAnsi="Times New Roman"/>
                <w:sz w:val="24"/>
              </w:rPr>
              <w:t>26</w:t>
            </w:r>
            <w:r>
              <w:rPr>
                <w:rFonts w:ascii="Times New Roman" w:hAnsi="Times New Roman"/>
                <w:sz w:val="24"/>
              </w:rPr>
              <w:t>г.</w:t>
            </w:r>
          </w:p>
        </w:tc>
      </w:tr>
    </w:tbl>
    <w:p w14:paraId="09000000">
      <w:pPr>
        <w:widowControl w:val="0"/>
        <w:ind w:firstLine="709" w:left="0"/>
        <w:jc w:val="both"/>
        <w:rPr>
          <w:sz w:val="24"/>
        </w:rPr>
      </w:pPr>
    </w:p>
    <w:p w14:paraId="0A000000">
      <w:pPr>
        <w:widowControl w:val="0"/>
        <w:ind w:firstLine="567" w:left="0"/>
        <w:jc w:val="both"/>
        <w:rPr>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w:t>
      </w:r>
      <w:r>
        <w:rPr>
          <w:rFonts w:ascii="Times New Roman" w:hAnsi="Times New Roman"/>
          <w:sz w:val="24"/>
        </w:rPr>
        <w:t xml:space="preserve">, в лице </w:t>
      </w:r>
      <w:r>
        <w:rPr>
          <w:rFonts w:ascii="Times New Roman" w:hAnsi="Times New Roman"/>
          <w:b w:val="1"/>
          <w:sz w:val="24"/>
        </w:rPr>
        <w:t>руководителя Пищулиной Надежды Викторовны</w:t>
      </w:r>
      <w:r>
        <w:rPr>
          <w:rFonts w:ascii="Times New Roman" w:hAnsi="Times New Roman"/>
          <w:sz w:val="24"/>
        </w:rPr>
        <w:t xml:space="preserve">, действующей на основании положения о Межрегиональном территориальном управлении Федерального агентства по управлению государственным имуществом в Забайкальском крае и Республике Бурятия, утвержденного приказом </w:t>
      </w:r>
      <w:r>
        <w:rPr>
          <w:rFonts w:ascii="Times New Roman" w:hAnsi="Times New Roman"/>
          <w:sz w:val="24"/>
        </w:rPr>
        <w:t>Росимущества</w:t>
      </w:r>
      <w:r>
        <w:rPr>
          <w:rFonts w:ascii="Times New Roman" w:hAnsi="Times New Roman"/>
          <w:sz w:val="24"/>
        </w:rPr>
        <w:t xml:space="preserve"> от 2</w:t>
      </w:r>
      <w:r>
        <w:rPr>
          <w:rFonts w:ascii="Times New Roman" w:hAnsi="Times New Roman"/>
          <w:sz w:val="24"/>
        </w:rPr>
        <w:t>3</w:t>
      </w:r>
      <w:r>
        <w:rPr>
          <w:rFonts w:ascii="Times New Roman" w:hAnsi="Times New Roman"/>
          <w:sz w:val="24"/>
        </w:rPr>
        <w:t>.0</w:t>
      </w:r>
      <w:r>
        <w:rPr>
          <w:rFonts w:ascii="Times New Roman" w:hAnsi="Times New Roman"/>
          <w:sz w:val="24"/>
        </w:rPr>
        <w:t>6</w:t>
      </w:r>
      <w:r>
        <w:rPr>
          <w:rFonts w:ascii="Times New Roman" w:hAnsi="Times New Roman"/>
          <w:sz w:val="24"/>
        </w:rPr>
        <w:t>.20</w:t>
      </w:r>
      <w:r>
        <w:rPr>
          <w:rFonts w:ascii="Times New Roman" w:hAnsi="Times New Roman"/>
          <w:sz w:val="24"/>
        </w:rPr>
        <w:t>23</w:t>
      </w:r>
      <w:r>
        <w:rPr>
          <w:rFonts w:ascii="Times New Roman" w:hAnsi="Times New Roman"/>
          <w:sz w:val="24"/>
        </w:rPr>
        <w:t xml:space="preserve"> № 1</w:t>
      </w:r>
      <w:r>
        <w:rPr>
          <w:rFonts w:ascii="Times New Roman" w:hAnsi="Times New Roman"/>
          <w:sz w:val="24"/>
        </w:rPr>
        <w:t>31</w:t>
      </w:r>
      <w:r>
        <w:rPr>
          <w:rFonts w:ascii="Times New Roman" w:hAnsi="Times New Roman"/>
          <w:sz w:val="24"/>
        </w:rPr>
        <w:t xml:space="preserve">, приказа Министерства финансов Российской Федерации от </w:t>
      </w:r>
      <w:r>
        <w:rPr>
          <w:rFonts w:ascii="Times New Roman" w:hAnsi="Times New Roman"/>
          <w:sz w:val="24"/>
        </w:rPr>
        <w:t>17.1</w:t>
      </w:r>
      <w:r>
        <w:rPr>
          <w:rFonts w:ascii="Times New Roman" w:hAnsi="Times New Roman"/>
          <w:sz w:val="24"/>
        </w:rPr>
        <w:t xml:space="preserve">2.2024 № </w:t>
      </w:r>
      <w:r>
        <w:rPr>
          <w:rFonts w:ascii="Times New Roman" w:hAnsi="Times New Roman"/>
          <w:sz w:val="24"/>
        </w:rPr>
        <w:t>2391</w:t>
      </w:r>
      <w:r>
        <w:rPr>
          <w:rFonts w:ascii="Times New Roman" w:hAnsi="Times New Roman"/>
          <w:sz w:val="24"/>
        </w:rPr>
        <w:t xml:space="preserve"> л/с</w:t>
      </w:r>
      <w:r>
        <w:rPr>
          <w:sz w:val="24"/>
        </w:rPr>
        <w:t xml:space="preserve"> с одной стороны, </w:t>
      </w:r>
    </w:p>
    <w:p w14:paraId="0B000000">
      <w:pPr>
        <w:widowControl w:val="0"/>
        <w:ind w:firstLine="567" w:left="0"/>
        <w:jc w:val="both"/>
        <w:rPr>
          <w:sz w:val="24"/>
        </w:rPr>
      </w:pPr>
      <w:r>
        <w:rPr>
          <w:sz w:val="24"/>
        </w:rPr>
        <w:t>и (</w:t>
      </w:r>
      <w:r>
        <w:rPr>
          <w:i w:val="1"/>
          <w:sz w:val="24"/>
        </w:rPr>
        <w:t>наименование участника закупки, с которым заключается государственный контракт</w:t>
      </w:r>
      <w:r>
        <w:rPr>
          <w:sz w:val="24"/>
        </w:rPr>
        <w:t>) ______________, именуемое в дальнейшем «</w:t>
      </w:r>
      <w:r>
        <w:rPr>
          <w:sz w:val="24"/>
        </w:rPr>
        <w:t>Подрядчик</w:t>
      </w:r>
      <w:r>
        <w:rPr>
          <w:sz w:val="24"/>
        </w:rPr>
        <w:t>», в лице (</w:t>
      </w:r>
      <w:r>
        <w:rPr>
          <w:i w:val="1"/>
          <w:sz w:val="24"/>
        </w:rPr>
        <w:t>должность, ФИО</w:t>
      </w:r>
      <w:r>
        <w:rPr>
          <w:sz w:val="24"/>
        </w:rPr>
        <w:t>) ________, действующего на основании ________, с другой стороны, вместе именуемые в дальнейшем «Стороны»,</w:t>
      </w:r>
      <w:r>
        <w:rPr>
          <w:sz w:val="24"/>
        </w:rPr>
        <w:t xml:space="preserve"> </w:t>
      </w:r>
      <w:r>
        <w:rPr>
          <w:sz w:val="24"/>
        </w:rPr>
        <w:t>с соблюдением требований законодательства Российской Федерации,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Pr>
          <w:sz w:val="24"/>
        </w:rPr>
        <w:t>:</w:t>
      </w:r>
    </w:p>
    <w:p w14:paraId="0C000000">
      <w:pPr>
        <w:widowControl w:val="0"/>
        <w:ind w:firstLine="567" w:left="0"/>
        <w:jc w:val="both"/>
        <w:rPr>
          <w:sz w:val="24"/>
        </w:rPr>
      </w:pPr>
    </w:p>
    <w:p w14:paraId="0D000000">
      <w:pPr>
        <w:pStyle w:val="Style_1"/>
        <w:widowControl w:val="1"/>
        <w:ind w:firstLine="700" w:left="0"/>
        <w:jc w:val="center"/>
        <w:rPr>
          <w:rFonts w:ascii="Times New Roman" w:hAnsi="Times New Roman"/>
          <w:b w:val="1"/>
          <w:sz w:val="24"/>
        </w:rPr>
      </w:pPr>
    </w:p>
    <w:p w14:paraId="0E000000">
      <w:pPr>
        <w:widowControl w:val="0"/>
        <w:ind/>
        <w:jc w:val="center"/>
        <w:rPr>
          <w:b w:val="1"/>
          <w:sz w:val="24"/>
        </w:rPr>
      </w:pPr>
      <w:r>
        <w:rPr>
          <w:b w:val="1"/>
          <w:sz w:val="24"/>
        </w:rPr>
        <w:t>1. Предмет Контракта</w:t>
      </w:r>
    </w:p>
    <w:p w14:paraId="0F000000">
      <w:pPr>
        <w:widowControl w:val="0"/>
        <w:ind w:firstLine="284" w:left="0"/>
        <w:jc w:val="both"/>
        <w:rPr>
          <w:sz w:val="24"/>
        </w:rPr>
      </w:pPr>
      <w:r>
        <w:rPr>
          <w:sz w:val="24"/>
        </w:rPr>
        <w:t xml:space="preserve">1.1. Подрядчик в обусловленные Контрактом сроки обязуется надлежащим образом </w:t>
      </w:r>
      <w:r>
        <w:rPr>
          <w:sz w:val="24"/>
        </w:rPr>
        <w:t>в</w:t>
      </w:r>
      <w:r>
        <w:rPr>
          <w:sz w:val="24"/>
        </w:rPr>
        <w:t>ыполн</w:t>
      </w:r>
      <w:r>
        <w:rPr>
          <w:sz w:val="24"/>
        </w:rPr>
        <w:t xml:space="preserve">ить </w:t>
      </w:r>
      <w:r>
        <w:rPr>
          <w:sz w:val="24"/>
        </w:rPr>
        <w:t>кадастровы</w:t>
      </w:r>
      <w:r>
        <w:rPr>
          <w:sz w:val="24"/>
        </w:rPr>
        <w:t>е</w:t>
      </w:r>
      <w:r>
        <w:rPr>
          <w:sz w:val="24"/>
        </w:rPr>
        <w:t xml:space="preserve"> работ</w:t>
      </w:r>
      <w:r>
        <w:rPr>
          <w:sz w:val="24"/>
        </w:rPr>
        <w:t>ы</w:t>
      </w:r>
      <w:r>
        <w:rPr>
          <w:sz w:val="24"/>
        </w:rPr>
        <w:t xml:space="preserve"> </w:t>
      </w:r>
      <w:r>
        <w:rPr>
          <w:sz w:val="24"/>
        </w:rPr>
        <w:t xml:space="preserve">на территории </w:t>
      </w:r>
      <w:r>
        <w:rPr>
          <w:sz w:val="24"/>
        </w:rPr>
        <w:t>Республики Бурятия</w:t>
      </w:r>
      <w:r>
        <w:rPr>
          <w:sz w:val="24"/>
        </w:rPr>
        <w:t xml:space="preserve"> (далее – </w:t>
      </w:r>
      <w:r>
        <w:rPr>
          <w:sz w:val="24"/>
        </w:rPr>
        <w:t>Работы</w:t>
      </w:r>
      <w:r>
        <w:rPr>
          <w:sz w:val="24"/>
        </w:rPr>
        <w:t>),</w:t>
      </w:r>
      <w:r>
        <w:rPr>
          <w:sz w:val="24"/>
        </w:rPr>
        <w:t xml:space="preserve"> в порядке и на условиях, предусмотренных настоящим Контрактом.</w:t>
      </w:r>
    </w:p>
    <w:p w14:paraId="10000000">
      <w:pPr>
        <w:widowControl w:val="0"/>
        <w:ind w:firstLine="284" w:left="0"/>
        <w:jc w:val="both"/>
        <w:rPr>
          <w:sz w:val="24"/>
        </w:rPr>
      </w:pPr>
      <w:r>
        <w:rPr>
          <w:sz w:val="24"/>
        </w:rPr>
        <w:t>1.2. Объем Работ и требования, предъявляемые к выполнению Работ, содержатся в приложении № 1 «Техническое задание» к настоящему Контракту.</w:t>
      </w:r>
    </w:p>
    <w:p w14:paraId="11000000">
      <w:pPr>
        <w:widowControl w:val="0"/>
        <w:ind w:firstLine="284" w:left="0"/>
        <w:jc w:val="both"/>
        <w:rPr>
          <w:b w:val="1"/>
          <w:sz w:val="24"/>
        </w:rPr>
      </w:pPr>
    </w:p>
    <w:p w14:paraId="12000000">
      <w:pPr>
        <w:widowControl w:val="0"/>
        <w:ind w:firstLine="284" w:left="0"/>
        <w:jc w:val="center"/>
        <w:rPr>
          <w:b w:val="1"/>
          <w:sz w:val="24"/>
        </w:rPr>
      </w:pPr>
      <w:r>
        <w:rPr>
          <w:b w:val="1"/>
          <w:sz w:val="24"/>
        </w:rPr>
        <w:t>2. Права и обязанности Сторон</w:t>
      </w:r>
    </w:p>
    <w:p w14:paraId="13000000">
      <w:pPr>
        <w:widowControl w:val="0"/>
        <w:ind w:firstLine="284" w:left="0"/>
        <w:jc w:val="both"/>
        <w:rPr>
          <w:b w:val="1"/>
          <w:sz w:val="24"/>
        </w:rPr>
      </w:pPr>
      <w:r>
        <w:rPr>
          <w:b w:val="1"/>
          <w:sz w:val="24"/>
        </w:rPr>
        <w:t xml:space="preserve">2.1. Права Заказчика: </w:t>
      </w:r>
    </w:p>
    <w:p w14:paraId="14000000">
      <w:pPr>
        <w:widowControl w:val="0"/>
        <w:ind w:firstLine="284" w:left="0"/>
        <w:jc w:val="both"/>
        <w:rPr>
          <w:sz w:val="24"/>
        </w:rPr>
      </w:pPr>
      <w:r>
        <w:rPr>
          <w:sz w:val="24"/>
        </w:rPr>
        <w:t>2.1.1. требовать от Подрядчика представления информации о ходе исполнения условий Контракта, указаний и поручений Заказчика;</w:t>
      </w:r>
    </w:p>
    <w:p w14:paraId="15000000">
      <w:pPr>
        <w:widowControl w:val="0"/>
        <w:ind w:firstLine="284" w:left="0"/>
        <w:jc w:val="both"/>
        <w:rPr>
          <w:sz w:val="24"/>
        </w:rPr>
      </w:pPr>
      <w:r>
        <w:rPr>
          <w:sz w:val="24"/>
        </w:rPr>
        <w:t>2.1.2. проверять ход и качество выполняемых Подрядчиком Работ, не вмешиваясь в его деятельность.</w:t>
      </w:r>
    </w:p>
    <w:p w14:paraId="16000000">
      <w:pPr>
        <w:widowControl w:val="0"/>
        <w:ind w:firstLine="284" w:left="0"/>
        <w:jc w:val="both"/>
        <w:rPr>
          <w:b w:val="1"/>
          <w:sz w:val="24"/>
        </w:rPr>
      </w:pPr>
      <w:r>
        <w:rPr>
          <w:b w:val="1"/>
          <w:sz w:val="24"/>
        </w:rPr>
        <w:t>2.2. Обязанности Заказчика:</w:t>
      </w:r>
    </w:p>
    <w:p w14:paraId="17000000">
      <w:pPr>
        <w:widowControl w:val="0"/>
        <w:ind w:firstLine="284" w:left="0"/>
        <w:jc w:val="both"/>
        <w:rPr>
          <w:sz w:val="24"/>
        </w:rPr>
      </w:pPr>
      <w:r>
        <w:rPr>
          <w:sz w:val="24"/>
        </w:rPr>
        <w:t>2.2.1. принять Работы в соответствии с разделом 3 настоящего Контракта, в случае отсутствия претензий относительно их объема, качества и соблюдения сроков их выполнения, подписать Акт выполненных работ и передать один экземпляр Подрядчику;</w:t>
      </w:r>
    </w:p>
    <w:p w14:paraId="18000000">
      <w:pPr>
        <w:widowControl w:val="0"/>
        <w:ind w:firstLine="284" w:left="0"/>
        <w:jc w:val="both"/>
        <w:rPr>
          <w:sz w:val="24"/>
        </w:rPr>
      </w:pPr>
      <w:r>
        <w:rPr>
          <w:sz w:val="24"/>
        </w:rPr>
        <w:t>2.2.2.  осуществить оплату надлежащим образом выполненных и принятых Заказчиком Работ в порядке, предусмотренном разделом 4 настоящего Контракта.</w:t>
      </w:r>
    </w:p>
    <w:p w14:paraId="19000000">
      <w:pPr>
        <w:widowControl w:val="0"/>
        <w:ind w:firstLine="284" w:left="0"/>
        <w:jc w:val="both"/>
        <w:rPr>
          <w:b w:val="1"/>
          <w:sz w:val="24"/>
        </w:rPr>
      </w:pPr>
      <w:r>
        <w:rPr>
          <w:b w:val="1"/>
          <w:sz w:val="24"/>
        </w:rPr>
        <w:t>2.3. Права Подрядчика:</w:t>
      </w:r>
    </w:p>
    <w:p w14:paraId="1A000000">
      <w:pPr>
        <w:widowControl w:val="0"/>
        <w:ind w:firstLine="284" w:left="0"/>
        <w:jc w:val="both"/>
        <w:rPr>
          <w:sz w:val="24"/>
        </w:rPr>
      </w:pPr>
      <w:r>
        <w:rPr>
          <w:sz w:val="24"/>
        </w:rPr>
        <w:t>2.3.1. требовать оплаты выполненных Работ в соответствии с разделом 4 настоящего Контракта;</w:t>
      </w:r>
    </w:p>
    <w:p w14:paraId="1B000000">
      <w:pPr>
        <w:widowControl w:val="0"/>
        <w:ind w:firstLine="284" w:left="0"/>
        <w:jc w:val="both"/>
        <w:rPr>
          <w:sz w:val="24"/>
        </w:rPr>
      </w:pPr>
      <w:r>
        <w:rPr>
          <w:sz w:val="24"/>
        </w:rPr>
        <w:t>2.3.2. самостоятельно, если иное не указано в Техническом задании (Приложение № 1 к Контракту) получать у третьих лиц и из открытых источников информацию, необходимую для исполнения Контракта;</w:t>
      </w:r>
    </w:p>
    <w:p w14:paraId="1C000000">
      <w:pPr>
        <w:widowControl w:val="0"/>
        <w:spacing w:after="120"/>
        <w:ind w:firstLine="284" w:left="0"/>
        <w:jc w:val="both"/>
        <w:rPr>
          <w:sz w:val="24"/>
        </w:rPr>
      </w:pPr>
      <w:r>
        <w:rPr>
          <w:sz w:val="24"/>
        </w:rPr>
        <w:t>2.3.3. Подрядчик вправе заменить кадастровых инженеров, указанных в пункте 5.1. настоящего Контракта, если подобная замена соответствует требованиям законодательства о кадастровой деятельности и не оказывает существенного воздействия на качество выполнения Работ.</w:t>
      </w:r>
    </w:p>
    <w:p w14:paraId="1D000000">
      <w:pPr>
        <w:widowControl w:val="0"/>
        <w:ind w:firstLine="284" w:left="0"/>
        <w:jc w:val="both"/>
        <w:rPr>
          <w:b w:val="1"/>
          <w:sz w:val="24"/>
        </w:rPr>
      </w:pPr>
      <w:r>
        <w:rPr>
          <w:b w:val="1"/>
          <w:sz w:val="24"/>
        </w:rPr>
        <w:t>2.4. Обязанности Подрядчика:</w:t>
      </w:r>
    </w:p>
    <w:p w14:paraId="1E000000">
      <w:pPr>
        <w:widowControl w:val="0"/>
        <w:ind w:firstLine="284" w:left="0"/>
        <w:jc w:val="both"/>
        <w:rPr>
          <w:sz w:val="24"/>
        </w:rPr>
      </w:pPr>
      <w:r>
        <w:rPr>
          <w:sz w:val="24"/>
        </w:rPr>
        <w:t>2.4.1. в течение 1 (одного) рабочего дня после подписания Контракта получить у Заказчика исходные данные для проведения Работ;</w:t>
      </w:r>
    </w:p>
    <w:p w14:paraId="1F000000">
      <w:pPr>
        <w:widowControl w:val="0"/>
        <w:ind w:firstLine="284" w:left="0"/>
        <w:jc w:val="both"/>
        <w:rPr>
          <w:sz w:val="24"/>
        </w:rPr>
      </w:pPr>
      <w:r>
        <w:rPr>
          <w:sz w:val="24"/>
        </w:rPr>
        <w:t>2.4.2. выполнить  предусмотренные Контрактом Работы, обеспечив их надлежащее качество в соответствии с требованиями действующего законодательства  и Техническим заданием (Приложение № 1 к Контракту);</w:t>
      </w:r>
    </w:p>
    <w:p w14:paraId="20000000">
      <w:pPr>
        <w:widowControl w:val="0"/>
        <w:ind w:firstLine="284" w:left="0"/>
        <w:jc w:val="both"/>
        <w:rPr>
          <w:sz w:val="24"/>
        </w:rPr>
      </w:pPr>
      <w:r>
        <w:rPr>
          <w:sz w:val="24"/>
        </w:rPr>
        <w:t>2.4.3. приступить к исполнению Контракта и завершить работу в установленные сроки;</w:t>
      </w:r>
    </w:p>
    <w:p w14:paraId="21000000">
      <w:pPr>
        <w:widowControl w:val="0"/>
        <w:ind w:firstLine="284" w:left="0"/>
        <w:jc w:val="both"/>
        <w:rPr>
          <w:sz w:val="24"/>
        </w:rPr>
      </w:pPr>
      <w:r>
        <w:rPr>
          <w:sz w:val="24"/>
        </w:rPr>
        <w:t>2.4.4. немедленно письменно предупредить Заказчика при обнаружении не зависящих от Подрядчика обстоятельств, которые грозят годности результатов Работ, либо создают невозможность их завершения в срок;</w:t>
      </w:r>
    </w:p>
    <w:p w14:paraId="22000000">
      <w:pPr>
        <w:widowControl w:val="0"/>
        <w:ind w:firstLine="284" w:left="0"/>
        <w:jc w:val="both"/>
        <w:rPr>
          <w:sz w:val="24"/>
        </w:rPr>
      </w:pPr>
      <w:r>
        <w:rPr>
          <w:sz w:val="24"/>
        </w:rPr>
        <w:t>2.4.5. обеспечивать Заказчику возможность контроля за ходом выполнения Работ, в том числе представлять по его требованию отчеты о ходе выполнения Работ в сроки, установленные Заказчиком;</w:t>
      </w:r>
    </w:p>
    <w:p w14:paraId="23000000">
      <w:pPr>
        <w:widowControl w:val="0"/>
        <w:ind w:firstLine="284" w:left="0"/>
        <w:jc w:val="both"/>
        <w:rPr>
          <w:sz w:val="24"/>
        </w:rPr>
      </w:pPr>
      <w:r>
        <w:rPr>
          <w:sz w:val="24"/>
        </w:rPr>
        <w:t>2.4.6. исполнять полученные в ходе выполнения Работ указания Заказчика, в том числе в срок, установленный Заказчиком, устранять обнаруженные им недостатки или отступления от условий Контракта;</w:t>
      </w:r>
    </w:p>
    <w:p w14:paraId="24000000">
      <w:pPr>
        <w:widowControl w:val="0"/>
        <w:ind w:firstLine="284" w:left="0"/>
        <w:jc w:val="both"/>
        <w:rPr>
          <w:sz w:val="24"/>
        </w:rPr>
      </w:pPr>
      <w:r>
        <w:rPr>
          <w:sz w:val="24"/>
        </w:rPr>
        <w:t>2.4.7. передать Заказчику результаты Работ, выполненных по Контракту, в порядке, предусмотренном настоящим Контрактом. Вся документация, подготовленная Подрядчиком для Заказчика в рамках настоящего Контракта, становится собственностью Российской Федерации и передается Заказчику;</w:t>
      </w:r>
    </w:p>
    <w:p w14:paraId="25000000">
      <w:pPr>
        <w:widowControl w:val="0"/>
        <w:ind w:firstLine="284" w:left="0"/>
        <w:jc w:val="both"/>
        <w:rPr>
          <w:sz w:val="24"/>
        </w:rPr>
      </w:pPr>
      <w:r>
        <w:rPr>
          <w:sz w:val="24"/>
        </w:rPr>
        <w:t>2.4.8. по запросам экспертов, экспертных организаций, проводящих экспертизу выполненных Работ по настоящему Контракту, предоставлять запрашиваемые дополнительные материалы, относящиеся к условиям исполнения настоящего Контракта и отдельным этапам исполнения настоящего Контракта.</w:t>
      </w:r>
    </w:p>
    <w:p w14:paraId="26000000">
      <w:pPr>
        <w:widowControl w:val="0"/>
        <w:ind w:firstLine="284" w:left="0"/>
        <w:jc w:val="both"/>
        <w:rPr>
          <w:sz w:val="24"/>
        </w:rPr>
      </w:pPr>
      <w:r>
        <w:rPr>
          <w:sz w:val="24"/>
        </w:rPr>
        <w:t>2.4.</w:t>
      </w:r>
      <w:r>
        <w:rPr>
          <w:sz w:val="24"/>
        </w:rPr>
        <w:t>9</w:t>
      </w:r>
      <w:r>
        <w:rPr>
          <w:sz w:val="24"/>
        </w:rPr>
        <w:t xml:space="preserve">. </w:t>
      </w:r>
      <w:r>
        <w:rPr>
          <w:sz w:val="24"/>
        </w:rPr>
        <w:t>н</w:t>
      </w:r>
      <w:r>
        <w:rPr>
          <w:sz w:val="24"/>
        </w:rPr>
        <w:t>е разглашать конфиденциальную и иную информацию, полученную в ходе проведения Работ, третьим лицам.</w:t>
      </w:r>
    </w:p>
    <w:p w14:paraId="27000000">
      <w:pPr>
        <w:widowControl w:val="0"/>
        <w:ind w:firstLine="567" w:left="0"/>
        <w:jc w:val="both"/>
        <w:rPr>
          <w:sz w:val="24"/>
        </w:rPr>
      </w:pPr>
    </w:p>
    <w:p w14:paraId="28000000">
      <w:pPr>
        <w:widowControl w:val="0"/>
        <w:numPr>
          <w:ilvl w:val="0"/>
          <w:numId w:val="1"/>
        </w:numPr>
        <w:ind w:firstLine="709" w:left="0"/>
        <w:jc w:val="center"/>
        <w:rPr>
          <w:b w:val="1"/>
          <w:sz w:val="24"/>
        </w:rPr>
      </w:pPr>
      <w:r>
        <w:rPr>
          <w:b w:val="1"/>
          <w:sz w:val="24"/>
        </w:rPr>
        <w:t>Работы</w:t>
      </w:r>
    </w:p>
    <w:p w14:paraId="29000000">
      <w:pPr>
        <w:widowControl w:val="0"/>
        <w:ind w:firstLine="284" w:left="0"/>
        <w:rPr>
          <w:b w:val="1"/>
          <w:sz w:val="24"/>
        </w:rPr>
      </w:pPr>
      <w:r>
        <w:rPr>
          <w:b w:val="1"/>
          <w:sz w:val="24"/>
        </w:rPr>
        <w:t>3.1.</w:t>
      </w:r>
      <w:r>
        <w:rPr>
          <w:b w:val="1"/>
          <w:sz w:val="24"/>
        </w:rPr>
        <w:t xml:space="preserve"> Порядок и срок выполнения Работ</w:t>
      </w:r>
    </w:p>
    <w:p w14:paraId="2A000000">
      <w:pPr>
        <w:pStyle w:val="Style_3"/>
        <w:widowControl w:val="0"/>
        <w:ind w:firstLine="0" w:left="284"/>
        <w:jc w:val="both"/>
        <w:rPr>
          <w:sz w:val="24"/>
        </w:rPr>
      </w:pPr>
      <w:r>
        <w:rPr>
          <w:sz w:val="24"/>
        </w:rPr>
        <w:t>3.1.1.</w:t>
      </w:r>
      <w:r>
        <w:rPr>
          <w:sz w:val="24"/>
        </w:rPr>
        <w:t xml:space="preserve">Срок выполнения Работ: с даты заключения Контракта </w:t>
      </w:r>
      <w:r>
        <w:rPr>
          <w:sz w:val="24"/>
        </w:rPr>
        <w:t>в течение 10 календарных дней.</w:t>
      </w:r>
    </w:p>
    <w:p w14:paraId="2B000000">
      <w:pPr>
        <w:pStyle w:val="Style_4"/>
        <w:widowControl w:val="0"/>
        <w:ind w:firstLine="284" w:left="0"/>
      </w:pPr>
      <w:r>
        <w:t>3.1.2.</w:t>
      </w:r>
      <w:r>
        <w:t>Место выполнения работ:</w:t>
      </w:r>
      <w:r>
        <w:rPr>
          <w:sz w:val="24"/>
        </w:rPr>
        <w:t xml:space="preserve"> </w:t>
      </w:r>
      <w:r>
        <w:rPr>
          <w:sz w:val="24"/>
        </w:rPr>
        <w:t>Республика Бурятия, Селенгинский район, улус Цайдам</w:t>
      </w:r>
      <w:r>
        <w:rPr>
          <w:color w:val="000000"/>
          <w:spacing w:val="0"/>
          <w:sz w:val="24"/>
        </w:rPr>
        <w:t xml:space="preserve"> </w:t>
      </w:r>
      <w:r>
        <w:rPr>
          <w:sz w:val="24"/>
        </w:rPr>
        <w:t>с обязательным выездом по месту нахождения объекта незавершенного строительства (ОНС) и последующим представлением результата исполнения контракта по адресу: 670024, Республика Бурятия, г. Улан-Удэ, ул. Коммунистическая, д.50</w:t>
      </w:r>
      <w:r>
        <w:rPr>
          <w:sz w:val="24"/>
        </w:rPr>
        <w:t>.</w:t>
      </w:r>
      <w:r>
        <w:t xml:space="preserve"> </w:t>
      </w:r>
    </w:p>
    <w:p w14:paraId="2C000000">
      <w:pPr>
        <w:widowControl w:val="0"/>
        <w:ind w:firstLine="284" w:left="0"/>
        <w:jc w:val="both"/>
        <w:rPr>
          <w:sz w:val="24"/>
        </w:rPr>
      </w:pPr>
      <w:r>
        <w:rPr>
          <w:sz w:val="24"/>
        </w:rPr>
        <w:t>3.1.</w:t>
      </w:r>
      <w:r>
        <w:rPr>
          <w:sz w:val="24"/>
        </w:rPr>
        <w:t>3</w:t>
      </w:r>
      <w:r>
        <w:rPr>
          <w:sz w:val="24"/>
        </w:rPr>
        <w:t>. Работы должны выполняться в соответствии с Приложением № 1 «Техническое задание» к настоящему Контракту.</w:t>
      </w:r>
    </w:p>
    <w:p w14:paraId="2D000000">
      <w:pPr>
        <w:widowControl w:val="0"/>
        <w:ind w:firstLine="284" w:left="0"/>
        <w:rPr>
          <w:b w:val="1"/>
          <w:sz w:val="24"/>
        </w:rPr>
      </w:pPr>
      <w:r>
        <w:rPr>
          <w:b w:val="1"/>
          <w:sz w:val="24"/>
        </w:rPr>
        <w:t>3.2. Порядок приемки Работ.</w:t>
      </w:r>
    </w:p>
    <w:p w14:paraId="2E000000">
      <w:pPr>
        <w:widowControl w:val="0"/>
        <w:ind w:firstLine="284" w:left="0"/>
        <w:contextualSpacing w:val="1"/>
        <w:jc w:val="both"/>
        <w:rPr>
          <w:sz w:val="24"/>
        </w:rPr>
      </w:pPr>
      <w:r>
        <w:rPr>
          <w:sz w:val="24"/>
        </w:rPr>
        <w:t>3.2.1.</w:t>
      </w:r>
      <w:r>
        <w:rPr>
          <w:color w:val="000000"/>
          <w:sz w:val="24"/>
        </w:rPr>
        <w:t xml:space="preserve"> </w:t>
      </w:r>
      <w:r>
        <w:rPr>
          <w:sz w:val="24"/>
        </w:rPr>
        <w:t xml:space="preserve">Приемка </w:t>
      </w:r>
      <w:r>
        <w:rPr>
          <w:sz w:val="24"/>
        </w:rPr>
        <w:t>выполненных работ</w:t>
      </w:r>
      <w:r>
        <w:rPr>
          <w:sz w:val="24"/>
        </w:rPr>
        <w:t xml:space="preserve">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2F000000">
      <w:pPr>
        <w:widowControl w:val="0"/>
        <w:ind w:firstLine="567" w:left="0"/>
        <w:contextualSpacing w:val="1"/>
        <w:jc w:val="both"/>
        <w:rPr>
          <w:sz w:val="24"/>
        </w:rPr>
      </w:pPr>
      <w:r>
        <w:rPr>
          <w:sz w:val="24"/>
        </w:rPr>
        <w:t xml:space="preserve">Для осуществления приемки результатов </w:t>
      </w:r>
      <w:r>
        <w:rPr>
          <w:sz w:val="24"/>
        </w:rPr>
        <w:t>выполненных работ</w:t>
      </w:r>
      <w:r>
        <w:rPr>
          <w:sz w:val="24"/>
        </w:rPr>
        <w:t xml:space="preserve"> Заказчик вправе создать приемочную комиссию.</w:t>
      </w:r>
    </w:p>
    <w:p w14:paraId="30000000">
      <w:pPr>
        <w:widowControl w:val="0"/>
        <w:ind w:firstLine="284" w:left="0"/>
        <w:contextualSpacing w:val="1"/>
        <w:jc w:val="both"/>
        <w:rPr>
          <w:sz w:val="24"/>
        </w:rPr>
      </w:pPr>
      <w:r>
        <w:rPr>
          <w:sz w:val="24"/>
        </w:rPr>
        <w:t>3</w:t>
      </w:r>
      <w:r>
        <w:rPr>
          <w:sz w:val="24"/>
        </w:rPr>
        <w:t>.2</w:t>
      </w:r>
      <w:r>
        <w:rPr>
          <w:sz w:val="24"/>
        </w:rPr>
        <w:t>.</w:t>
      </w:r>
      <w:r>
        <w:rPr>
          <w:sz w:val="24"/>
        </w:rPr>
        <w:t>2.</w:t>
      </w:r>
      <w:r>
        <w:rPr>
          <w:sz w:val="24"/>
        </w:rPr>
        <w:t xml:space="preserve"> </w:t>
      </w:r>
      <w:r>
        <w:rPr>
          <w:sz w:val="24"/>
        </w:rPr>
        <w:t xml:space="preserve"> По завершению выполнения работ (</w:t>
      </w:r>
      <w:r>
        <w:rPr>
          <w:sz w:val="24"/>
        </w:rPr>
        <w:t>оказания услуг)</w:t>
      </w:r>
      <w:r>
        <w:rPr>
          <w:sz w:val="24"/>
        </w:rPr>
        <w:t xml:space="preserve"> </w:t>
      </w:r>
      <w:r>
        <w:rPr>
          <w:sz w:val="24"/>
        </w:rPr>
        <w:t>Исполнитель</w:t>
      </w:r>
      <w:r>
        <w:rPr>
          <w:sz w:val="24"/>
        </w:rPr>
        <w:t xml:space="preserve"> не позднее 3 рабочих дней представляет в канцелярию Заказчика:</w:t>
      </w:r>
    </w:p>
    <w:p w14:paraId="31000000">
      <w:pPr>
        <w:widowControl w:val="0"/>
        <w:tabs>
          <w:tab w:leader="none" w:pos="900" w:val="left"/>
        </w:tabs>
        <w:ind w:firstLine="284" w:left="0"/>
        <w:jc w:val="both"/>
        <w:rPr>
          <w:sz w:val="24"/>
        </w:rPr>
      </w:pPr>
      <w:r>
        <w:rPr>
          <w:sz w:val="24"/>
        </w:rPr>
        <w:t xml:space="preserve">- сопроводительное письмо </w:t>
      </w:r>
      <w:r>
        <w:rPr>
          <w:sz w:val="24"/>
        </w:rPr>
        <w:t>Исполнителя</w:t>
      </w:r>
      <w:r>
        <w:rPr>
          <w:sz w:val="24"/>
        </w:rPr>
        <w:t xml:space="preserve"> в адрес Заказчика на бумажном носителе, подписанное </w:t>
      </w:r>
      <w:r>
        <w:rPr>
          <w:sz w:val="24"/>
        </w:rPr>
        <w:t>Исполнителем</w:t>
      </w:r>
      <w:r>
        <w:rPr>
          <w:sz w:val="24"/>
        </w:rPr>
        <w:t xml:space="preserve"> и заверенное печатью </w:t>
      </w:r>
      <w:r>
        <w:rPr>
          <w:sz w:val="24"/>
        </w:rPr>
        <w:t>Исполнителя</w:t>
      </w:r>
      <w:r>
        <w:rPr>
          <w:sz w:val="24"/>
        </w:rPr>
        <w:t xml:space="preserve">, с исходящей датой и номером;  </w:t>
      </w:r>
    </w:p>
    <w:p w14:paraId="32000000">
      <w:pPr>
        <w:widowControl w:val="0"/>
        <w:tabs>
          <w:tab w:leader="none" w:pos="900" w:val="left"/>
        </w:tabs>
        <w:ind w:firstLine="284" w:left="0"/>
        <w:jc w:val="both"/>
        <w:rPr>
          <w:sz w:val="24"/>
        </w:rPr>
      </w:pPr>
      <w:r>
        <w:rPr>
          <w:sz w:val="24"/>
        </w:rPr>
        <w:t>- документы результата выполнения работ (</w:t>
      </w:r>
      <w:r>
        <w:rPr>
          <w:sz w:val="24"/>
        </w:rPr>
        <w:t>оказания услуг)</w:t>
      </w:r>
      <w:r>
        <w:rPr>
          <w:sz w:val="24"/>
        </w:rPr>
        <w:t xml:space="preserve"> (заключение кадастрового инженера,</w:t>
      </w:r>
      <w:r>
        <w:rPr>
          <w:sz w:val="24"/>
        </w:rPr>
        <w:t xml:space="preserve"> иные документы</w:t>
      </w:r>
      <w:r>
        <w:rPr>
          <w:sz w:val="24"/>
        </w:rPr>
        <w:t xml:space="preserve">) </w:t>
      </w:r>
      <w:r>
        <w:rPr>
          <w:sz w:val="24"/>
        </w:rPr>
        <w:t>на бумажном носителе и в электронно</w:t>
      </w:r>
      <w:r>
        <w:rPr>
          <w:sz w:val="24"/>
        </w:rPr>
        <w:t>й форме в 2 экз. на объект</w:t>
      </w:r>
      <w:r>
        <w:rPr>
          <w:sz w:val="24"/>
        </w:rPr>
        <w:t>;</w:t>
      </w:r>
    </w:p>
    <w:p w14:paraId="33000000">
      <w:pPr>
        <w:widowControl w:val="0"/>
        <w:tabs>
          <w:tab w:leader="none" w:pos="900" w:val="left"/>
        </w:tabs>
        <w:ind w:firstLine="284" w:left="0"/>
        <w:jc w:val="both"/>
        <w:rPr>
          <w:sz w:val="24"/>
        </w:rPr>
      </w:pPr>
      <w:r>
        <w:rPr>
          <w:sz w:val="24"/>
        </w:rPr>
        <w:t xml:space="preserve">-  Акт </w:t>
      </w:r>
      <w:r>
        <w:rPr>
          <w:sz w:val="24"/>
        </w:rPr>
        <w:t>приема-сдачи выполненных работ (оказанных услуг)</w:t>
      </w:r>
      <w:r>
        <w:rPr>
          <w:sz w:val="24"/>
        </w:rPr>
        <w:t xml:space="preserve">, подписанный </w:t>
      </w:r>
      <w:r>
        <w:rPr>
          <w:sz w:val="24"/>
        </w:rPr>
        <w:t>Исполнителем</w:t>
      </w:r>
      <w:r>
        <w:rPr>
          <w:sz w:val="24"/>
        </w:rPr>
        <w:t>, в 2-х экземплярах, по форме согласно Приложению № 2 к настоящему Контракту;</w:t>
      </w:r>
    </w:p>
    <w:p w14:paraId="34000000">
      <w:pPr>
        <w:widowControl w:val="0"/>
        <w:tabs>
          <w:tab w:leader="none" w:pos="900" w:val="left"/>
        </w:tabs>
        <w:ind w:firstLine="284" w:left="0"/>
        <w:jc w:val="both"/>
        <w:rPr>
          <w:sz w:val="24"/>
        </w:rPr>
      </w:pPr>
      <w:r>
        <w:rPr>
          <w:sz w:val="24"/>
        </w:rPr>
        <w:t xml:space="preserve">-  счет-фактуру, подписанную </w:t>
      </w:r>
      <w:r>
        <w:rPr>
          <w:sz w:val="24"/>
        </w:rPr>
        <w:t>Исполнителем</w:t>
      </w:r>
      <w:r>
        <w:rPr>
          <w:sz w:val="24"/>
        </w:rPr>
        <w:t xml:space="preserve"> (если </w:t>
      </w:r>
      <w:r>
        <w:rPr>
          <w:sz w:val="24"/>
        </w:rPr>
        <w:t>Исполнитель</w:t>
      </w:r>
      <w:r>
        <w:rPr>
          <w:sz w:val="24"/>
        </w:rPr>
        <w:t xml:space="preserve"> является плательщиком НДС).</w:t>
      </w:r>
    </w:p>
    <w:p w14:paraId="35000000">
      <w:pPr>
        <w:widowControl w:val="0"/>
        <w:tabs>
          <w:tab w:leader="none" w:pos="900" w:val="left"/>
        </w:tabs>
        <w:ind w:firstLine="284" w:left="0"/>
        <w:jc w:val="both"/>
        <w:rPr>
          <w:b w:val="1"/>
          <w:sz w:val="24"/>
        </w:rPr>
      </w:pPr>
      <w:r>
        <w:rPr>
          <w:b w:val="1"/>
          <w:sz w:val="24"/>
        </w:rPr>
        <w:t xml:space="preserve">Датой представления результатов исполнения Контракта </w:t>
      </w:r>
      <w:r>
        <w:rPr>
          <w:b w:val="1"/>
          <w:sz w:val="24"/>
        </w:rPr>
        <w:t>Исполнителем</w:t>
      </w:r>
      <w:r>
        <w:rPr>
          <w:b w:val="1"/>
          <w:sz w:val="24"/>
        </w:rPr>
        <w:t xml:space="preserve"> является входящая у Заказчика дата сопроводительного письма </w:t>
      </w:r>
      <w:r>
        <w:rPr>
          <w:b w:val="1"/>
          <w:sz w:val="24"/>
        </w:rPr>
        <w:t>Исполнителя</w:t>
      </w:r>
      <w:r>
        <w:rPr>
          <w:b w:val="1"/>
          <w:sz w:val="24"/>
        </w:rPr>
        <w:t xml:space="preserve"> в адрес Заказчика.</w:t>
      </w:r>
    </w:p>
    <w:p w14:paraId="36000000">
      <w:pPr>
        <w:widowControl w:val="0"/>
        <w:tabs>
          <w:tab w:leader="none" w:pos="900" w:val="left"/>
        </w:tabs>
        <w:ind w:firstLine="284" w:left="0"/>
        <w:jc w:val="both"/>
        <w:rPr>
          <w:sz w:val="24"/>
        </w:rPr>
      </w:pPr>
      <w:r>
        <w:rPr>
          <w:sz w:val="24"/>
        </w:rPr>
        <w:t xml:space="preserve">3.2.3. Заказчик в течение 3-х рабочих дней со дня получения результатов </w:t>
      </w:r>
      <w:r>
        <w:rPr>
          <w:sz w:val="24"/>
        </w:rPr>
        <w:t>Услуг</w:t>
      </w:r>
      <w:r>
        <w:rPr>
          <w:sz w:val="24"/>
        </w:rPr>
        <w:t xml:space="preserve"> проверяет представленные </w:t>
      </w:r>
      <w:r>
        <w:rPr>
          <w:sz w:val="24"/>
        </w:rPr>
        <w:t>Исполнителем</w:t>
      </w:r>
      <w:r>
        <w:rPr>
          <w:sz w:val="24"/>
        </w:rPr>
        <w:t xml:space="preserve"> результаты </w:t>
      </w:r>
      <w:r>
        <w:rPr>
          <w:sz w:val="24"/>
        </w:rPr>
        <w:t>Услуг</w:t>
      </w:r>
      <w:r>
        <w:rPr>
          <w:sz w:val="24"/>
        </w:rPr>
        <w:t xml:space="preserve"> согласно Техническому заданию (Приложение № 1 к Контракту) и  иным исходным данным.</w:t>
      </w:r>
    </w:p>
    <w:p w14:paraId="37000000">
      <w:pPr>
        <w:widowControl w:val="0"/>
        <w:tabs>
          <w:tab w:leader="none" w:pos="900" w:val="left"/>
        </w:tabs>
        <w:ind w:firstLine="284" w:left="0"/>
        <w:jc w:val="both"/>
        <w:rPr>
          <w:sz w:val="24"/>
        </w:rPr>
      </w:pPr>
      <w:r>
        <w:rPr>
          <w:sz w:val="24"/>
        </w:rPr>
        <w:t xml:space="preserve">3.2.4. В случае отсутствия замечаний Заказчик  подписывает Акт </w:t>
      </w:r>
      <w:r>
        <w:rPr>
          <w:sz w:val="24"/>
        </w:rPr>
        <w:t>приема-сдачи оказанных услуг</w:t>
      </w:r>
      <w:r>
        <w:rPr>
          <w:sz w:val="24"/>
        </w:rPr>
        <w:t xml:space="preserve"> в срок не позднее 2-х рабочих дней со дня окончания проверки результатов </w:t>
      </w:r>
      <w:r>
        <w:rPr>
          <w:sz w:val="24"/>
        </w:rPr>
        <w:t>Услуг</w:t>
      </w:r>
      <w:r>
        <w:rPr>
          <w:sz w:val="24"/>
        </w:rPr>
        <w:t xml:space="preserve">. </w:t>
      </w:r>
    </w:p>
    <w:p w14:paraId="38000000">
      <w:pPr>
        <w:widowControl w:val="0"/>
        <w:tabs>
          <w:tab w:leader="none" w:pos="900" w:val="left"/>
        </w:tabs>
        <w:ind w:firstLine="284" w:left="0"/>
        <w:jc w:val="both"/>
        <w:rPr>
          <w:sz w:val="24"/>
        </w:rPr>
      </w:pPr>
      <w:r>
        <w:rPr>
          <w:sz w:val="24"/>
        </w:rPr>
        <w:t>3.2.5. При наличии замечаний Заказчик в течение 2-х</w:t>
      </w:r>
      <w:r>
        <w:rPr>
          <w:sz w:val="24"/>
        </w:rPr>
        <w:t xml:space="preserve"> (двух</w:t>
      </w:r>
      <w:r>
        <w:rPr>
          <w:sz w:val="24"/>
        </w:rPr>
        <w:t xml:space="preserve">) рабочих дней со дня окончания проверки результатов </w:t>
      </w:r>
      <w:r>
        <w:rPr>
          <w:sz w:val="24"/>
        </w:rPr>
        <w:t>Услуг</w:t>
      </w:r>
      <w:r>
        <w:rPr>
          <w:sz w:val="24"/>
        </w:rPr>
        <w:t xml:space="preserve"> обязан направить </w:t>
      </w:r>
      <w:r>
        <w:rPr>
          <w:sz w:val="24"/>
        </w:rPr>
        <w:t>Исполнителю</w:t>
      </w:r>
      <w:r>
        <w:rPr>
          <w:sz w:val="24"/>
        </w:rPr>
        <w:t xml:space="preserve"> рекламационный акт с требованием об устранении нарушений, с указанием перечня необходимых доработок  и сроков их выполнения.</w:t>
      </w:r>
    </w:p>
    <w:p w14:paraId="39000000">
      <w:pPr>
        <w:widowControl w:val="0"/>
        <w:tabs>
          <w:tab w:leader="none" w:pos="900" w:val="left"/>
        </w:tabs>
        <w:ind w:firstLine="284" w:left="0"/>
        <w:jc w:val="both"/>
        <w:rPr>
          <w:sz w:val="24"/>
        </w:rPr>
      </w:pPr>
      <w:r>
        <w:rPr>
          <w:sz w:val="24"/>
        </w:rPr>
        <w:t xml:space="preserve">3.2.6. Рекламационный акт с требованием об устранении нарушений направляется Заказчиком в адрес </w:t>
      </w:r>
      <w:r>
        <w:rPr>
          <w:sz w:val="24"/>
        </w:rPr>
        <w:t>Исполнителя</w:t>
      </w:r>
      <w:r>
        <w:rPr>
          <w:sz w:val="24"/>
        </w:rPr>
        <w:t xml:space="preserve"> нарочным или любым средством связи, в том числе по адресу электронной почты </w:t>
      </w:r>
      <w:r>
        <w:rPr>
          <w:sz w:val="24"/>
        </w:rPr>
        <w:t>Исполнителя</w:t>
      </w:r>
      <w:r>
        <w:rPr>
          <w:sz w:val="24"/>
        </w:rPr>
        <w:t>, указанному в настоящем Контракте.</w:t>
      </w:r>
    </w:p>
    <w:p w14:paraId="3A000000">
      <w:pPr>
        <w:widowControl w:val="0"/>
        <w:ind w:firstLine="284" w:left="0"/>
        <w:jc w:val="both"/>
        <w:rPr>
          <w:sz w:val="24"/>
        </w:rPr>
      </w:pPr>
      <w:r>
        <w:rPr>
          <w:sz w:val="24"/>
        </w:rPr>
        <w:t xml:space="preserve">3.2.7. </w:t>
      </w:r>
      <w:r>
        <w:rPr>
          <w:sz w:val="24"/>
        </w:rPr>
        <w:t>Исполнитель</w:t>
      </w:r>
      <w:r>
        <w:rPr>
          <w:sz w:val="24"/>
        </w:rPr>
        <w:t xml:space="preserve"> несет полную ответственность за самостоятельное своевременное получение от Заказчика рекламационного акта, направленного Заказчиком любым средством связи, в том числе посредством электронной почты.</w:t>
      </w:r>
    </w:p>
    <w:p w14:paraId="3B000000">
      <w:pPr>
        <w:widowControl w:val="0"/>
        <w:ind w:firstLine="284" w:left="0"/>
        <w:jc w:val="both"/>
        <w:rPr>
          <w:sz w:val="24"/>
        </w:rPr>
      </w:pPr>
      <w:r>
        <w:rPr>
          <w:sz w:val="24"/>
        </w:rPr>
        <w:t xml:space="preserve">3.2.8. Датой получения </w:t>
      </w:r>
      <w:r>
        <w:rPr>
          <w:sz w:val="24"/>
        </w:rPr>
        <w:t>Исполнителем</w:t>
      </w:r>
      <w:r>
        <w:rPr>
          <w:sz w:val="24"/>
        </w:rPr>
        <w:t xml:space="preserve"> рекламационного акта с требованиями об устранении нарушений, а также любых других документов, писем и т.д., направленных Заказчиком посредством электронной почты,  считается дата отправки Заказчиком электронной почтой такого акта, документа, письма и т.д. </w:t>
      </w:r>
    </w:p>
    <w:p w14:paraId="3C000000">
      <w:pPr>
        <w:widowControl w:val="0"/>
        <w:ind w:firstLine="284" w:left="0"/>
        <w:jc w:val="both"/>
        <w:rPr>
          <w:sz w:val="24"/>
        </w:rPr>
      </w:pPr>
      <w:r>
        <w:rPr>
          <w:sz w:val="24"/>
        </w:rPr>
        <w:t xml:space="preserve">3.2.9. </w:t>
      </w:r>
      <w:r>
        <w:rPr>
          <w:sz w:val="24"/>
        </w:rPr>
        <w:t>Исполнитель</w:t>
      </w:r>
      <w:r>
        <w:rPr>
          <w:sz w:val="24"/>
        </w:rPr>
        <w:t xml:space="preserve"> обязан устранить нарушения, изложенные в рекламационном акте Заказчика в сроки, установленные Заказчиком в таком акте</w:t>
      </w:r>
      <w:r>
        <w:rPr>
          <w:sz w:val="24"/>
        </w:rPr>
        <w:t xml:space="preserve"> ( но не более 2-х (двух рабочих дней</w:t>
      </w:r>
      <w:r>
        <w:rPr>
          <w:sz w:val="24"/>
        </w:rPr>
        <w:t xml:space="preserve">, и представить в канцелярию Заказчика исправленные результаты </w:t>
      </w:r>
      <w:r>
        <w:rPr>
          <w:sz w:val="24"/>
        </w:rPr>
        <w:t>оказанных Услуг</w:t>
      </w:r>
      <w:r>
        <w:rPr>
          <w:sz w:val="24"/>
        </w:rPr>
        <w:t xml:space="preserve"> с сопроводительным письмом, подписанным и скрепленным печатью со своей Стороны.</w:t>
      </w:r>
    </w:p>
    <w:p w14:paraId="3D000000">
      <w:pPr>
        <w:widowControl w:val="0"/>
        <w:ind w:firstLine="284" w:left="0"/>
        <w:jc w:val="both"/>
        <w:rPr>
          <w:sz w:val="24"/>
        </w:rPr>
      </w:pPr>
      <w:r>
        <w:rPr>
          <w:sz w:val="24"/>
        </w:rPr>
        <w:t xml:space="preserve">3.2.10. </w:t>
      </w:r>
      <w:r>
        <w:rPr>
          <w:sz w:val="24"/>
        </w:rPr>
        <w:t>Исполнитель</w:t>
      </w:r>
      <w:r>
        <w:rPr>
          <w:sz w:val="24"/>
        </w:rPr>
        <w:t xml:space="preserve"> обязан устранить нарушения и произвести необходимые доработки без дополнительной оплаты в пределах стоимости </w:t>
      </w:r>
      <w:r>
        <w:rPr>
          <w:sz w:val="24"/>
        </w:rPr>
        <w:t>Услуг</w:t>
      </w:r>
      <w:r>
        <w:rPr>
          <w:sz w:val="24"/>
        </w:rPr>
        <w:t xml:space="preserve"> по настоящему Контракту.</w:t>
      </w:r>
    </w:p>
    <w:p w14:paraId="3E000000">
      <w:pPr>
        <w:widowControl w:val="0"/>
        <w:ind w:firstLine="284" w:left="0"/>
        <w:jc w:val="both"/>
        <w:rPr>
          <w:sz w:val="24"/>
        </w:rPr>
      </w:pPr>
      <w:r>
        <w:rPr>
          <w:sz w:val="24"/>
        </w:rPr>
        <w:t xml:space="preserve">3.2.11. В случае если при рассмотрении вновь представленного результата </w:t>
      </w:r>
      <w:r>
        <w:rPr>
          <w:sz w:val="24"/>
        </w:rPr>
        <w:t>Услуг</w:t>
      </w:r>
      <w:r>
        <w:rPr>
          <w:sz w:val="24"/>
        </w:rPr>
        <w:t xml:space="preserve"> Заказчиком не будут сняты ранее предъявленные претензии, результат </w:t>
      </w:r>
      <w:r>
        <w:rPr>
          <w:sz w:val="24"/>
        </w:rPr>
        <w:t>Услуг</w:t>
      </w:r>
      <w:r>
        <w:rPr>
          <w:sz w:val="24"/>
        </w:rPr>
        <w:t xml:space="preserve">  считается не принятым Заказчиком, о чем </w:t>
      </w:r>
      <w:r>
        <w:rPr>
          <w:sz w:val="24"/>
        </w:rPr>
        <w:t>Исполнитель</w:t>
      </w:r>
      <w:r>
        <w:rPr>
          <w:sz w:val="24"/>
        </w:rPr>
        <w:t xml:space="preserve"> уведомляется письмом, переданным любым средством связи, в том числе электронной почтой.</w:t>
      </w:r>
    </w:p>
    <w:p w14:paraId="3F000000">
      <w:pPr>
        <w:widowControl w:val="0"/>
        <w:ind w:firstLine="284" w:left="0"/>
        <w:jc w:val="both"/>
        <w:rPr>
          <w:sz w:val="24"/>
        </w:rPr>
      </w:pPr>
      <w:r>
        <w:rPr>
          <w:sz w:val="24"/>
        </w:rPr>
        <w:t xml:space="preserve">3.2.12. </w:t>
      </w:r>
      <w:r>
        <w:rPr>
          <w:sz w:val="24"/>
        </w:rPr>
        <w:t>Услуги</w:t>
      </w:r>
      <w:r>
        <w:rPr>
          <w:sz w:val="24"/>
        </w:rPr>
        <w:t xml:space="preserve"> считаются принятыми с момента подписания Заказчиком Акта </w:t>
      </w:r>
      <w:r>
        <w:rPr>
          <w:sz w:val="24"/>
        </w:rPr>
        <w:t>приема-сдачи оказанных услуг.</w:t>
      </w:r>
    </w:p>
    <w:p w14:paraId="40000000">
      <w:pPr>
        <w:widowControl w:val="0"/>
        <w:ind w:firstLine="284" w:left="0"/>
        <w:jc w:val="both"/>
        <w:rPr>
          <w:sz w:val="24"/>
        </w:rPr>
      </w:pPr>
      <w:r>
        <w:rPr>
          <w:sz w:val="24"/>
        </w:rPr>
        <w:t>3.2.13. В случае непринятия Заказчиком результат</w:t>
      </w:r>
      <w:r>
        <w:rPr>
          <w:sz w:val="24"/>
        </w:rPr>
        <w:t>а</w:t>
      </w:r>
      <w:r>
        <w:rPr>
          <w:sz w:val="24"/>
        </w:rPr>
        <w:t xml:space="preserve"> </w:t>
      </w:r>
      <w:r>
        <w:rPr>
          <w:sz w:val="24"/>
        </w:rPr>
        <w:t>Услуг</w:t>
      </w:r>
      <w:r>
        <w:rPr>
          <w:sz w:val="24"/>
        </w:rPr>
        <w:t xml:space="preserve"> в порядке, установленном настоящим Контрактом, Заказчик имеет право отказаться от исполнения  Контракта в одностороннем порядке или обратиться в суд с требованием о расторжении Контракта.</w:t>
      </w:r>
    </w:p>
    <w:p w14:paraId="41000000">
      <w:pPr>
        <w:widowControl w:val="0"/>
        <w:ind w:firstLine="284" w:left="0"/>
        <w:jc w:val="both"/>
        <w:rPr>
          <w:sz w:val="24"/>
        </w:rPr>
      </w:pPr>
      <w:r>
        <w:rPr>
          <w:sz w:val="24"/>
        </w:rPr>
        <w:t xml:space="preserve">3.2.14. Заказчик для проверки предоставленных </w:t>
      </w:r>
      <w:r>
        <w:rPr>
          <w:sz w:val="24"/>
        </w:rPr>
        <w:t>Исполнителем</w:t>
      </w:r>
      <w:r>
        <w:rPr>
          <w:sz w:val="24"/>
        </w:rPr>
        <w:t xml:space="preserve"> результатов </w:t>
      </w:r>
      <w:r>
        <w:rPr>
          <w:sz w:val="24"/>
        </w:rPr>
        <w:t>Услуг</w:t>
      </w:r>
      <w:r>
        <w:rPr>
          <w:sz w:val="24"/>
        </w:rPr>
        <w:t xml:space="preserve"> проводит экспертизу выполненных </w:t>
      </w:r>
      <w:r>
        <w:rPr>
          <w:sz w:val="24"/>
        </w:rPr>
        <w:t>Услуг</w:t>
      </w:r>
      <w:r>
        <w:rPr>
          <w:sz w:val="24"/>
        </w:rPr>
        <w:t>, предусмотренных Контрактом, в части их соответствия условиям Контракта. Экспертиза проводится Заказчиком самостоятельно либо с привлечением экспертов или экспертных организаций.</w:t>
      </w:r>
      <w:r>
        <w:rPr>
          <w:sz w:val="24"/>
        </w:rPr>
        <w:tab/>
      </w:r>
    </w:p>
    <w:p w14:paraId="42000000">
      <w:pPr>
        <w:widowControl w:val="0"/>
        <w:tabs>
          <w:tab w:leader="none" w:pos="676" w:val="left"/>
          <w:tab w:leader="none" w:pos="1440" w:val="left"/>
        </w:tabs>
        <w:ind w:firstLine="284" w:left="0"/>
        <w:jc w:val="both"/>
        <w:rPr>
          <w:b w:val="1"/>
          <w:sz w:val="24"/>
        </w:rPr>
      </w:pPr>
    </w:p>
    <w:p w14:paraId="43000000">
      <w:pPr>
        <w:widowControl w:val="0"/>
        <w:tabs>
          <w:tab w:leader="none" w:pos="676" w:val="left"/>
          <w:tab w:leader="none" w:pos="1440" w:val="left"/>
        </w:tabs>
        <w:ind w:firstLine="284" w:left="0"/>
        <w:jc w:val="both"/>
        <w:rPr>
          <w:b w:val="1"/>
          <w:sz w:val="24"/>
        </w:rPr>
      </w:pPr>
      <w:r>
        <w:rPr>
          <w:b w:val="1"/>
          <w:sz w:val="24"/>
        </w:rPr>
        <w:t>3.</w:t>
      </w:r>
      <w:r>
        <w:rPr>
          <w:b w:val="1"/>
          <w:sz w:val="24"/>
        </w:rPr>
        <w:t>4</w:t>
      </w:r>
      <w:r>
        <w:rPr>
          <w:b w:val="1"/>
          <w:sz w:val="24"/>
        </w:rPr>
        <w:t>. Гарантия качества Работ. Гарантийное обязательство.</w:t>
      </w:r>
    </w:p>
    <w:p w14:paraId="44000000">
      <w:pPr>
        <w:widowControl w:val="0"/>
        <w:ind w:firstLine="284" w:left="0"/>
        <w:jc w:val="both"/>
        <w:rPr>
          <w:sz w:val="24"/>
        </w:rPr>
      </w:pPr>
      <w:r>
        <w:rPr>
          <w:sz w:val="24"/>
        </w:rPr>
        <w:t>3.</w:t>
      </w:r>
      <w:r>
        <w:rPr>
          <w:sz w:val="24"/>
        </w:rPr>
        <w:t>4</w:t>
      </w:r>
      <w:r>
        <w:rPr>
          <w:sz w:val="24"/>
        </w:rPr>
        <w:t xml:space="preserve">.1. </w:t>
      </w:r>
      <w:r>
        <w:rPr>
          <w:sz w:val="24"/>
        </w:rPr>
        <w:t>Подрядчик гарантирует выполнить Работы в соответствии с требованиями нормативных правовых актов в области кадастровой деятельности, настоящим Контрактом.</w:t>
      </w:r>
    </w:p>
    <w:p w14:paraId="45000000">
      <w:pPr>
        <w:widowControl w:val="0"/>
        <w:ind w:firstLine="284" w:left="0"/>
        <w:jc w:val="both"/>
        <w:rPr>
          <w:sz w:val="24"/>
        </w:rPr>
      </w:pPr>
      <w:r>
        <w:rPr>
          <w:sz w:val="24"/>
        </w:rPr>
        <w:t>3.</w:t>
      </w:r>
      <w:r>
        <w:rPr>
          <w:sz w:val="24"/>
        </w:rPr>
        <w:t>4</w:t>
      </w:r>
      <w:r>
        <w:rPr>
          <w:sz w:val="24"/>
        </w:rPr>
        <w:t>.2. Гарантийный срок устанавливается на весь объем выполненных Работ в течение 3 (трех) лет с даты подписания Заказчиком Акта</w:t>
      </w:r>
      <w:r>
        <w:rPr>
          <w:sz w:val="24"/>
        </w:rPr>
        <w:t xml:space="preserve"> сдачи-приемки</w:t>
      </w:r>
      <w:r>
        <w:rPr>
          <w:sz w:val="24"/>
        </w:rPr>
        <w:t xml:space="preserve"> выполненных работ.</w:t>
      </w:r>
      <w:r>
        <w:rPr>
          <w:sz w:val="24"/>
        </w:rPr>
        <w:t xml:space="preserve"> </w:t>
      </w:r>
      <w:r>
        <w:rPr>
          <w:sz w:val="24"/>
        </w:rPr>
        <w:t>В течение гарантийного срока (3 года) Подрядчик обязан устранять (исправлять) все дефекты и недостатки, допущенные при выполнении работ.</w:t>
      </w:r>
    </w:p>
    <w:p w14:paraId="46000000">
      <w:pPr>
        <w:widowControl w:val="0"/>
        <w:ind w:firstLine="284" w:left="0"/>
        <w:jc w:val="both"/>
        <w:rPr>
          <w:sz w:val="24"/>
        </w:rPr>
      </w:pPr>
      <w:r>
        <w:rPr>
          <w:sz w:val="24"/>
        </w:rPr>
        <w:t>3.4.3. Требование обеспечения гарантийного обязательства не установлено.</w:t>
      </w:r>
    </w:p>
    <w:p w14:paraId="47000000">
      <w:pPr>
        <w:widowControl w:val="0"/>
        <w:ind w:firstLine="284" w:left="0"/>
        <w:jc w:val="both"/>
        <w:rPr>
          <w:sz w:val="24"/>
        </w:rPr>
      </w:pPr>
    </w:p>
    <w:p w14:paraId="48000000">
      <w:pPr>
        <w:widowControl w:val="0"/>
        <w:numPr>
          <w:ilvl w:val="0"/>
          <w:numId w:val="1"/>
        </w:numPr>
        <w:ind/>
        <w:contextualSpacing w:val="1"/>
        <w:jc w:val="center"/>
        <w:rPr>
          <w:b w:val="1"/>
          <w:sz w:val="24"/>
        </w:rPr>
      </w:pPr>
      <w:r>
        <w:rPr>
          <w:b w:val="1"/>
          <w:sz w:val="24"/>
        </w:rPr>
        <w:t>Цена Контракта и порядок расчетов</w:t>
      </w:r>
    </w:p>
    <w:p w14:paraId="49000000">
      <w:pPr>
        <w:widowControl w:val="0"/>
        <w:tabs>
          <w:tab w:leader="none" w:pos="0" w:val="left"/>
        </w:tabs>
        <w:ind w:firstLine="284" w:left="0"/>
        <w:jc w:val="both"/>
        <w:rPr>
          <w:i w:val="1"/>
          <w:sz w:val="24"/>
        </w:rPr>
      </w:pPr>
      <w:r>
        <w:rPr>
          <w:sz w:val="24"/>
        </w:rPr>
        <w:t>4.1. Цена Контракта составляет ________ (_________) рублей ___ копеек (</w:t>
      </w:r>
      <w:r>
        <w:rPr>
          <w:i w:val="1"/>
          <w:sz w:val="24"/>
        </w:rPr>
        <w:t>цена, предложенная участником, цифрами и прописью</w:t>
      </w:r>
      <w:r>
        <w:rPr>
          <w:sz w:val="24"/>
        </w:rPr>
        <w:t xml:space="preserve">),  включая НДС __% в сумме ________ рублей ___ копеек </w:t>
      </w:r>
      <w:r>
        <w:rPr>
          <w:i w:val="1"/>
          <w:sz w:val="24"/>
        </w:rPr>
        <w:t>(</w:t>
      </w:r>
      <w:r>
        <w:rPr>
          <w:i w:val="1"/>
          <w:spacing w:val="-2"/>
          <w:sz w:val="24"/>
        </w:rPr>
        <w:t>в случае, е</w:t>
      </w:r>
      <w:r>
        <w:rPr>
          <w:i w:val="1"/>
          <w:sz w:val="24"/>
        </w:rPr>
        <w:t>сли Подрядчик имеет право на освобождение от уплаты НДС, то слова «включая НДС» заменяются на слова «НДС не облагается»)</w:t>
      </w:r>
      <w:r>
        <w:rPr>
          <w:sz w:val="24"/>
        </w:rPr>
        <w:t>.</w:t>
      </w:r>
    </w:p>
    <w:p w14:paraId="4A000000">
      <w:pPr>
        <w:widowControl w:val="0"/>
        <w:numPr>
          <w:ilvl w:val="0"/>
          <w:numId w:val="0"/>
        </w:numPr>
        <w:ind w:firstLine="284" w:left="0"/>
        <w:jc w:val="both"/>
        <w:rPr>
          <w:sz w:val="24"/>
        </w:rPr>
      </w:pPr>
      <w:r>
        <w:rPr>
          <w:sz w:val="24"/>
        </w:rPr>
        <w:t>Цена Контракта включает в себя все расходы Подрядчика, связанные с исполнением Контракта, в том числе: транспортные расходы, страхование, уплату пошлин, налогов, сборов и других обязательных платежей, взимаемых на территории Российской Федерации.</w:t>
      </w:r>
    </w:p>
    <w:p w14:paraId="4B000000">
      <w:pPr>
        <w:widowControl w:val="0"/>
        <w:ind w:firstLine="284" w:left="0"/>
        <w:jc w:val="both"/>
        <w:rPr>
          <w:i w:val="1"/>
          <w:sz w:val="24"/>
        </w:rPr>
      </w:pPr>
      <w:r>
        <w:rPr>
          <w:i w:val="1"/>
          <w:sz w:val="24"/>
        </w:rPr>
        <w:t xml:space="preserve">В случае, если Контракт будет заключен с физическим лицом, </w:t>
      </w:r>
      <w:r>
        <w:rPr>
          <w:i w:val="1"/>
          <w:sz w:val="24"/>
        </w:rPr>
        <w:t>за исключением индивидуального предпринимателя или иного занимающегося частной практикой лица</w:t>
      </w:r>
      <w:r>
        <w:rPr>
          <w:i w:val="1"/>
          <w:sz w:val="24"/>
        </w:rPr>
        <w:t>, сумма, подлежащая уплате физическому лицу, уменьшается на размер налоговых платежей, связанных с оплатой Контракта.</w:t>
      </w:r>
    </w:p>
    <w:p w14:paraId="4C000000">
      <w:pPr>
        <w:widowControl w:val="0"/>
        <w:ind w:firstLine="284" w:left="0"/>
        <w:jc w:val="both"/>
        <w:rPr>
          <w:sz w:val="24"/>
        </w:rPr>
      </w:pPr>
      <w:r>
        <w:rPr>
          <w:sz w:val="24"/>
        </w:rPr>
        <w:t>4.2.</w:t>
      </w:r>
      <w:r>
        <w:rPr>
          <w:sz w:val="24"/>
        </w:rPr>
        <w:t xml:space="preserve"> Заказчик оплачивает Подрядчику выполненные по Контракту Работы в российских рублях, в форме безналичного расчета, путем перечисления денежных средств на расчетный счет Подрядчика</w:t>
      </w:r>
      <w:r>
        <w:rPr>
          <w:sz w:val="24"/>
        </w:rPr>
        <w:t>, указанный в настоящем Контракте. В случае изменения его расчетного счета Подрядчик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14:paraId="4D000000">
      <w:pPr>
        <w:widowControl w:val="0"/>
        <w:numPr>
          <w:ilvl w:val="0"/>
          <w:numId w:val="0"/>
        </w:numPr>
        <w:ind w:firstLine="284" w:left="0"/>
        <w:jc w:val="both"/>
        <w:rPr>
          <w:i w:val="1"/>
          <w:sz w:val="24"/>
        </w:rPr>
      </w:pPr>
      <w:r>
        <w:rPr>
          <w:sz w:val="24"/>
        </w:rPr>
        <w:t xml:space="preserve">4.3. Оплата Работ производится в размере 100 (ста) процентов стоимости фактически выполненных Работ (этапа Работ), в срок, не превышающий </w:t>
      </w:r>
      <w:r>
        <w:rPr>
          <w:sz w:val="24"/>
        </w:rPr>
        <w:t>7</w:t>
      </w:r>
      <w:r>
        <w:rPr>
          <w:sz w:val="24"/>
        </w:rPr>
        <w:t xml:space="preserve"> (</w:t>
      </w:r>
      <w:r>
        <w:rPr>
          <w:sz w:val="24"/>
        </w:rPr>
        <w:t>сем</w:t>
      </w:r>
      <w:r>
        <w:rPr>
          <w:sz w:val="24"/>
        </w:rPr>
        <w:t>и</w:t>
      </w:r>
      <w:r>
        <w:rPr>
          <w:sz w:val="24"/>
        </w:rPr>
        <w:t xml:space="preserve">) рабочих дней со дня подписания </w:t>
      </w:r>
      <w:r>
        <w:rPr>
          <w:sz w:val="24"/>
        </w:rPr>
        <w:t>Заказчиком</w:t>
      </w:r>
      <w:r>
        <w:rPr>
          <w:sz w:val="24"/>
        </w:rPr>
        <w:t xml:space="preserve"> Акта </w:t>
      </w:r>
      <w:r>
        <w:rPr>
          <w:sz w:val="24"/>
        </w:rPr>
        <w:t xml:space="preserve">выполненных работ по форме, приведенной в Приложении № 2 к настоящему Контракту, </w:t>
      </w:r>
      <w:r>
        <w:rPr>
          <w:i w:val="1"/>
          <w:sz w:val="24"/>
        </w:rPr>
        <w:t>и получения Заказчиком  счета-фактуры</w:t>
      </w:r>
      <w:r>
        <w:rPr>
          <w:i w:val="1"/>
          <w:sz w:val="24"/>
        </w:rPr>
        <w:t xml:space="preserve"> (УПД)</w:t>
      </w:r>
      <w:r>
        <w:rPr>
          <w:i w:val="1"/>
          <w:sz w:val="24"/>
        </w:rPr>
        <w:t xml:space="preserve"> Подрядчика.</w:t>
      </w:r>
    </w:p>
    <w:p w14:paraId="4E000000">
      <w:pPr>
        <w:widowControl w:val="0"/>
        <w:numPr>
          <w:ilvl w:val="0"/>
          <w:numId w:val="0"/>
        </w:numPr>
        <w:ind w:firstLine="284" w:left="0"/>
        <w:jc w:val="both"/>
        <w:rPr>
          <w:sz w:val="24"/>
        </w:rPr>
      </w:pPr>
      <w:r>
        <w:rPr>
          <w:sz w:val="24"/>
        </w:rPr>
        <w:t>4.4. Цена Контракта является твердой и определяется на весь срок исполнения Контракта, за исключением случаев, установленных пунктом 10.1. настоящего Контракта.</w:t>
      </w:r>
    </w:p>
    <w:p w14:paraId="4F000000">
      <w:pPr>
        <w:widowControl w:val="0"/>
        <w:ind w:firstLine="284" w:left="0"/>
        <w:jc w:val="both"/>
        <w:rPr>
          <w:sz w:val="24"/>
        </w:rPr>
      </w:pPr>
      <w:r>
        <w:rPr>
          <w:sz w:val="24"/>
        </w:rPr>
        <w:t>4.5. Оплата надлежащим образом выполненных Работ производится за счет средств федерального бюджета.</w:t>
      </w:r>
    </w:p>
    <w:p w14:paraId="50000000">
      <w:pPr>
        <w:widowControl w:val="0"/>
        <w:tabs>
          <w:tab w:leader="none" w:pos="0" w:val="left"/>
        </w:tabs>
        <w:ind w:firstLine="567" w:left="0" w:right="5"/>
        <w:jc w:val="both"/>
        <w:rPr>
          <w:sz w:val="24"/>
        </w:rPr>
      </w:pPr>
    </w:p>
    <w:p w14:paraId="51000000">
      <w:pPr>
        <w:widowControl w:val="0"/>
        <w:ind/>
        <w:jc w:val="center"/>
        <w:rPr>
          <w:b w:val="1"/>
          <w:sz w:val="24"/>
        </w:rPr>
      </w:pPr>
      <w:r>
        <w:rPr>
          <w:b w:val="1"/>
          <w:sz w:val="24"/>
        </w:rPr>
        <w:t xml:space="preserve">5. </w:t>
      </w:r>
      <w:r>
        <w:rPr>
          <w:b w:val="1"/>
          <w:sz w:val="24"/>
        </w:rPr>
        <w:t>Сведения о Подрядчике*</w:t>
      </w:r>
    </w:p>
    <w:p w14:paraId="52000000">
      <w:pPr>
        <w:widowControl w:val="0"/>
        <w:ind w:firstLine="284" w:left="0"/>
        <w:jc w:val="both"/>
        <w:rPr>
          <w:sz w:val="24"/>
        </w:rPr>
      </w:pPr>
      <w:r>
        <w:rPr>
          <w:sz w:val="24"/>
        </w:rPr>
        <w:t>5.1. Подрядчиком на основании трудового договора назначены кадастровые инженеры, которые будут проводить кадастровые работы:</w:t>
      </w:r>
    </w:p>
    <w:p w14:paraId="53000000">
      <w:pPr>
        <w:widowControl w:val="0"/>
        <w:ind w:firstLine="284" w:left="0"/>
        <w:jc w:val="both"/>
        <w:rPr>
          <w:sz w:val="24"/>
        </w:rPr>
      </w:pPr>
      <w:r>
        <w:rPr>
          <w:sz w:val="24"/>
        </w:rPr>
        <w:t>5.1.</w:t>
      </w:r>
      <w:r>
        <w:rPr>
          <w:sz w:val="24"/>
        </w:rPr>
        <w:t>1</w:t>
      </w:r>
      <w:r>
        <w:rPr>
          <w:sz w:val="24"/>
        </w:rPr>
        <w:t xml:space="preserve">. _____________________. </w:t>
      </w:r>
    </w:p>
    <w:p w14:paraId="54000000">
      <w:pPr>
        <w:widowControl w:val="0"/>
        <w:ind w:firstLine="284" w:left="0"/>
        <w:jc w:val="both"/>
        <w:rPr>
          <w:sz w:val="24"/>
        </w:rPr>
      </w:pPr>
      <w:r>
        <w:rPr>
          <w:sz w:val="24"/>
        </w:rPr>
        <w:t>5.1.</w:t>
      </w:r>
      <w:r>
        <w:rPr>
          <w:sz w:val="24"/>
        </w:rPr>
        <w:t>2</w:t>
      </w:r>
      <w:r>
        <w:rPr>
          <w:sz w:val="24"/>
        </w:rPr>
        <w:t>. _____________________.</w:t>
      </w:r>
    </w:p>
    <w:p w14:paraId="55000000">
      <w:pPr>
        <w:widowControl w:val="0"/>
        <w:ind w:firstLine="284" w:left="0"/>
        <w:jc w:val="both"/>
        <w:rPr>
          <w:i w:val="1"/>
        </w:rPr>
      </w:pPr>
      <w:r>
        <w:rPr>
          <w:i w:val="1"/>
        </w:rPr>
        <w:t>* Указываются:</w:t>
      </w:r>
    </w:p>
    <w:p w14:paraId="56000000">
      <w:pPr>
        <w:widowControl w:val="0"/>
        <w:ind w:firstLine="284" w:left="0"/>
        <w:jc w:val="both"/>
        <w:rPr>
          <w:i w:val="1"/>
        </w:rPr>
      </w:pPr>
      <w:r>
        <w:rPr>
          <w:i w:val="1"/>
        </w:rPr>
        <w:t>- фамилия, имя, отчество кадастрового инженера;</w:t>
      </w:r>
    </w:p>
    <w:p w14:paraId="57000000">
      <w:pPr>
        <w:widowControl w:val="0"/>
        <w:ind w:firstLine="284" w:left="0"/>
        <w:jc w:val="both"/>
        <w:rPr>
          <w:i w:val="1"/>
        </w:rPr>
      </w:pPr>
      <w:r>
        <w:rPr>
          <w:i w:val="1"/>
        </w:rPr>
        <w:t xml:space="preserve">- наименование </w:t>
      </w:r>
      <w:r>
        <w:rPr>
          <w:i w:val="1"/>
        </w:rPr>
        <w:t>саморегулируемой</w:t>
      </w:r>
      <w:r>
        <w:rPr>
          <w:i w:val="1"/>
        </w:rPr>
        <w:t xml:space="preserve"> организации кадастровых инженеров, членом которой является кадастровый инженер, и место нахождения этой организации;</w:t>
      </w:r>
    </w:p>
    <w:p w14:paraId="58000000">
      <w:pPr>
        <w:widowControl w:val="0"/>
        <w:ind w:firstLine="284" w:left="0"/>
        <w:jc w:val="both"/>
        <w:rPr>
          <w:i w:val="1"/>
        </w:rPr>
      </w:pPr>
      <w:r>
        <w:rPr>
          <w:i w:val="1"/>
        </w:rPr>
        <w:t>- сведения об обязательном страховании гражданской ответственности кадастрового инженера при осуществлении кадастровой деятельности и т.д.</w:t>
      </w:r>
    </w:p>
    <w:p w14:paraId="59000000">
      <w:pPr>
        <w:widowControl w:val="0"/>
        <w:ind/>
        <w:jc w:val="both"/>
        <w:rPr>
          <w:i w:val="1"/>
          <w:sz w:val="24"/>
        </w:rPr>
      </w:pPr>
    </w:p>
    <w:p w14:paraId="5A000000">
      <w:pPr>
        <w:widowControl w:val="0"/>
        <w:ind/>
        <w:jc w:val="center"/>
        <w:rPr>
          <w:b w:val="1"/>
          <w:sz w:val="24"/>
        </w:rPr>
      </w:pPr>
      <w:r>
        <w:rPr>
          <w:b w:val="1"/>
          <w:sz w:val="24"/>
        </w:rPr>
        <w:t>6. Ответственность Сторон</w:t>
      </w:r>
    </w:p>
    <w:p w14:paraId="5B000000">
      <w:pPr>
        <w:pStyle w:val="Style_5"/>
        <w:widowControl w:val="0"/>
        <w:numPr>
          <w:ilvl w:val="1"/>
          <w:numId w:val="2"/>
        </w:numPr>
        <w:spacing w:line="220" w:lineRule="atLeast"/>
        <w:ind w:firstLine="709" w:left="0" w:right="-1"/>
        <w:jc w:val="both"/>
        <w:outlineLvl w:val="1"/>
        <w:rPr>
          <w:rFonts w:ascii="XO Thames" w:hAnsi="XO Thames"/>
          <w:sz w:val="24"/>
        </w:rPr>
      </w:pPr>
      <w:r>
        <w:rPr>
          <w:rFonts w:ascii="Times New Roman" w:hAnsi="Times New Roman"/>
          <w:sz w:val="24"/>
        </w:rPr>
        <w:t>Стороны несут ответственность за неисполнение или ненадлежащее исполнение обязательств,</w:t>
      </w:r>
      <w:r>
        <w:rPr>
          <w:rFonts w:ascii="Times New Roman" w:hAnsi="Times New Roman"/>
        </w:rPr>
        <w:t xml:space="preserve"> </w:t>
      </w:r>
      <w:r>
        <w:rPr>
          <w:rFonts w:ascii="Times New Roman" w:hAnsi="Times New Roman"/>
          <w:sz w:val="24"/>
        </w:rPr>
        <w:t xml:space="preserve">предусмотренных настоящим Контрактом, в соответствии с законодательством Российской Федерации. Размер и порядок начисления штрафов, пени определен постановлением Правительства Российской Федерации от 30.08.2017 № 1042 и статьей 34 Федерального закона </w:t>
      </w:r>
      <w:r>
        <w:rPr>
          <w:rFonts w:ascii="XO Thames" w:hAnsi="XO Thames"/>
          <w:sz w:val="24"/>
        </w:rPr>
        <w:t>от 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4"/>
        </w:rPr>
        <w:t xml:space="preserve"> . </w:t>
      </w:r>
    </w:p>
    <w:p w14:paraId="5C000000">
      <w:pPr>
        <w:pStyle w:val="Style_3"/>
        <w:keepNext w:val="1"/>
        <w:widowControl w:val="0"/>
        <w:numPr>
          <w:ilvl w:val="1"/>
          <w:numId w:val="2"/>
        </w:numPr>
        <w:spacing w:line="220" w:lineRule="atLeast"/>
        <w:ind w:firstLine="709" w:left="0" w:right="-1"/>
        <w:jc w:val="both"/>
        <w:outlineLvl w:val="2"/>
        <w:rPr>
          <w:sz w:val="24"/>
        </w:rPr>
      </w:pPr>
      <w:r>
        <w:rPr>
          <w:sz w:val="24"/>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5D000000">
      <w:pPr>
        <w:pStyle w:val="Style_3"/>
        <w:keepNext w:val="1"/>
        <w:widowControl w:val="0"/>
        <w:numPr>
          <w:ilvl w:val="1"/>
          <w:numId w:val="2"/>
        </w:numPr>
        <w:spacing w:line="220" w:lineRule="atLeast"/>
        <w:ind w:firstLine="709" w:left="0"/>
        <w:jc w:val="both"/>
        <w:outlineLvl w:val="2"/>
        <w:rPr>
          <w:sz w:val="24"/>
        </w:rPr>
      </w:pPr>
      <w:r>
        <w:rPr>
          <w:i w:val="1"/>
          <w:sz w:val="24"/>
        </w:rPr>
        <w:t>В случае просрочки исполнения Заказчиком</w:t>
      </w:r>
      <w:r>
        <w:rPr>
          <w:sz w:val="24"/>
        </w:rPr>
        <w:t xml:space="preserve"> обязательств, предусмотренных контрактом, а также в иных случаях неисполнения или ненадлежащего исполнения </w:t>
      </w:r>
      <w:r>
        <w:rPr>
          <w:i w:val="1"/>
          <w:sz w:val="24"/>
        </w:rPr>
        <w:t>заказчиком</w:t>
      </w:r>
      <w:r>
        <w:rPr>
          <w:sz w:val="24"/>
        </w:rPr>
        <w:t xml:space="preserve"> обязательств, предусмотренных контрактом, Подрядчик вправе потребовать уплаты неустоек (штрафов, пеней). </w:t>
      </w:r>
    </w:p>
    <w:p w14:paraId="5E000000">
      <w:pPr>
        <w:pStyle w:val="Style_3"/>
        <w:keepNext w:val="1"/>
        <w:widowControl w:val="0"/>
        <w:numPr>
          <w:ilvl w:val="1"/>
          <w:numId w:val="2"/>
        </w:numPr>
        <w:spacing w:line="220" w:lineRule="atLeast"/>
        <w:ind w:firstLine="709" w:left="0" w:right="-1"/>
        <w:jc w:val="both"/>
        <w:outlineLvl w:val="2"/>
        <w:rPr>
          <w:sz w:val="24"/>
        </w:rPr>
      </w:pPr>
      <w:r>
        <w:rPr>
          <w:i w:val="1"/>
          <w:sz w:val="24"/>
        </w:rPr>
        <w:t>Пеня</w:t>
      </w:r>
      <w:r>
        <w:rPr>
          <w:sz w:val="24"/>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Pr>
          <w:i w:val="1"/>
          <w:sz w:val="24"/>
        </w:rPr>
        <w:t>в размере одной трехсотой действующей на дату уплаты пеней ключевой ставки</w:t>
      </w:r>
      <w:r>
        <w:rPr>
          <w:sz w:val="24"/>
        </w:rPr>
        <w:t xml:space="preserve"> Центрального банка Российской Федерации от не уплаченной в срок суммы.</w:t>
      </w:r>
    </w:p>
    <w:p w14:paraId="5F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в следующем порядке:</w:t>
      </w:r>
    </w:p>
    <w:p w14:paraId="60000000">
      <w:pPr>
        <w:pStyle w:val="Style_5"/>
        <w:widowControl w:val="0"/>
        <w:spacing w:line="220" w:lineRule="atLeast"/>
        <w:ind/>
        <w:jc w:val="both"/>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"consultantplus://offline/ref=25D825BD0CDD7BE713D5E2D7E3C2A4997BDFEBA85B5646E6F6835D72CF14B3022D5CD5F32BD371C26FC302760D2E722660EB584963T7G"</w:instrText>
      </w:r>
      <w:r>
        <w:rPr>
          <w:rFonts w:ascii="Times New Roman" w:hAnsi="Times New Roman"/>
          <w:color w:val="0000FF"/>
          <w:sz w:val="24"/>
        </w:rPr>
        <w:fldChar w:fldCharType="separate"/>
      </w:r>
      <w:r>
        <w:rPr>
          <w:rFonts w:ascii="Times New Roman" w:hAnsi="Times New Roman"/>
          <w:color w:val="0000FF"/>
          <w:sz w:val="24"/>
        </w:rPr>
        <w:t>Пункт 9</w:t>
      </w:r>
      <w:r>
        <w:rPr>
          <w:rFonts w:ascii="Times New Roman" w:hAnsi="Times New Roman"/>
          <w:color w:val="0000FF"/>
          <w:sz w:val="24"/>
        </w:rPr>
        <w:fldChar w:fldCharType="end"/>
      </w:r>
      <w:r>
        <w:rPr>
          <w:rFonts w:ascii="Times New Roman" w:hAnsi="Times New Roman"/>
          <w:sz w:val="24"/>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p>
    <w:p w14:paraId="61000000">
      <w:pPr>
        <w:pStyle w:val="Style_5"/>
        <w:widowControl w:val="0"/>
        <w:spacing w:line="220" w:lineRule="atLeast"/>
        <w:ind w:firstLine="540" w:left="0"/>
        <w:jc w:val="both"/>
        <w:rPr>
          <w:rFonts w:ascii="Times New Roman" w:hAnsi="Times New Roman"/>
          <w:sz w:val="24"/>
        </w:rPr>
      </w:pPr>
      <w:r>
        <w:rPr>
          <w:rFonts w:ascii="Times New Roman" w:hAnsi="Times New Roman"/>
          <w:sz w:val="24"/>
        </w:rPr>
        <w:t xml:space="preserve">а) 1000 рублей, если цена контракта не превышает 3 </w:t>
      </w:r>
      <w:r>
        <w:rPr>
          <w:rFonts w:ascii="Times New Roman" w:hAnsi="Times New Roman"/>
          <w:sz w:val="24"/>
        </w:rPr>
        <w:t>млн</w:t>
      </w:r>
      <w:r>
        <w:rPr>
          <w:rFonts w:ascii="Times New Roman" w:hAnsi="Times New Roman"/>
          <w:sz w:val="24"/>
        </w:rPr>
        <w:t xml:space="preserve"> рублей (включительно);</w:t>
      </w:r>
    </w:p>
    <w:p w14:paraId="62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Подрядчика.</w:t>
      </w:r>
    </w:p>
    <w:p w14:paraId="64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 xml:space="preserve">За каждый факт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w:t>
      </w:r>
    </w:p>
    <w:p w14:paraId="65000000">
      <w:pPr>
        <w:pStyle w:val="Style_5"/>
        <w:widowControl w:val="0"/>
        <w:spacing w:line="220" w:lineRule="atLeast"/>
        <w:ind w:firstLine="0" w:left="360"/>
        <w:jc w:val="both"/>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"consultantplus://offline/ref=25D825BD0CDD7BE713D5E2D7E3C2A4997BDFEBA85B5646E6F6835D72CF14B3022D5CD5F4298C74D77E9B0D741330773D7CE95A64TAG"</w:instrText>
      </w:r>
      <w:r>
        <w:rPr>
          <w:rFonts w:ascii="Times New Roman" w:hAnsi="Times New Roman"/>
          <w:color w:val="0000FF"/>
          <w:sz w:val="24"/>
        </w:rPr>
        <w:fldChar w:fldCharType="separate"/>
      </w:r>
      <w:r>
        <w:rPr>
          <w:rFonts w:ascii="Times New Roman" w:hAnsi="Times New Roman"/>
          <w:color w:val="0000FF"/>
          <w:sz w:val="24"/>
        </w:rPr>
        <w:t>Пункт 3</w:t>
      </w:r>
      <w:r>
        <w:rPr>
          <w:rFonts w:ascii="Times New Roman" w:hAnsi="Times New Roman"/>
          <w:color w:val="0000FF"/>
          <w:sz w:val="24"/>
        </w:rPr>
        <w:fldChar w:fldCharType="end"/>
      </w:r>
      <w:r>
        <w:rPr>
          <w:rFonts w:ascii="Times New Roman" w:hAnsi="Times New Roman"/>
          <w:sz w:val="24"/>
        </w:rPr>
        <w:t xml:space="preserve"> Правил.</w:t>
      </w:r>
    </w:p>
    <w:p w14:paraId="66000000">
      <w:pPr>
        <w:pStyle w:val="Style_5"/>
        <w:widowControl w:val="0"/>
        <w:spacing w:line="220" w:lineRule="atLeast"/>
        <w:ind/>
        <w:jc w:val="both"/>
        <w:rPr>
          <w:rFonts w:ascii="Times New Roman" w:hAnsi="Times New Roman"/>
          <w:sz w:val="24"/>
        </w:rPr>
      </w:pPr>
      <w:r>
        <w:rPr>
          <w:rFonts w:ascii="Times New Roman" w:hAnsi="Times New Roman"/>
          <w:sz w:val="24"/>
        </w:rPr>
        <w:t xml:space="preserve">а) 10 процентов цены контракта (этапа) в случае, если цена контракта (этапа) не превышает 3 </w:t>
      </w:r>
      <w:r>
        <w:rPr>
          <w:rFonts w:ascii="Times New Roman" w:hAnsi="Times New Roman"/>
          <w:sz w:val="24"/>
        </w:rPr>
        <w:t>млн</w:t>
      </w:r>
      <w:r>
        <w:rPr>
          <w:rFonts w:ascii="Times New Roman" w:hAnsi="Times New Roman"/>
          <w:sz w:val="24"/>
        </w:rPr>
        <w:t xml:space="preserve"> рублей;</w:t>
      </w:r>
    </w:p>
    <w:p w14:paraId="67000000">
      <w:pPr>
        <w:pStyle w:val="Style_3"/>
        <w:widowControl w:val="0"/>
        <w:numPr>
          <w:ilvl w:val="1"/>
          <w:numId w:val="2"/>
        </w:numPr>
        <w:spacing w:after="200" w:line="220" w:lineRule="atLeast"/>
        <w:ind w:firstLine="709" w:left="0"/>
        <w:jc w:val="both"/>
        <w:rPr>
          <w:sz w:val="24"/>
        </w:rPr>
      </w:pPr>
      <w:r>
        <w:rPr>
          <w:sz w:val="24"/>
        </w:rPr>
        <w:t xml:space="preserve">исключен. </w:t>
      </w:r>
    </w:p>
    <w:p w14:paraId="68000000">
      <w:pPr>
        <w:pStyle w:val="Style_3"/>
        <w:widowControl w:val="0"/>
        <w:numPr>
          <w:ilvl w:val="1"/>
          <w:numId w:val="2"/>
        </w:numPr>
        <w:spacing w:after="200" w:line="220" w:lineRule="atLeast"/>
        <w:ind w:firstLine="709" w:left="0"/>
        <w:jc w:val="both"/>
        <w:rPr>
          <w:sz w:val="24"/>
        </w:rPr>
      </w:pPr>
      <w:r>
        <w:rPr>
          <w:rFonts w:ascii="Times New Roman" w:hAnsi="Times New Roman"/>
          <w:sz w:val="24"/>
        </w:rPr>
        <w:t xml:space="preserve">За каждый факт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9000000">
      <w:pPr>
        <w:pStyle w:val="Style_5"/>
        <w:widowControl w:val="0"/>
        <w:spacing w:line="220" w:lineRule="atLeast"/>
        <w:ind w:firstLine="0" w:left="360"/>
        <w:jc w:val="both"/>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"consultantplus://offline/ref=25D825BD0CDD7BE713D5E2D7E3C2A4997BDFEBA85B5646E6F6835D72CF14B3022D5CD5F32AD371C26FC302760D2E722660EB584963T7G"</w:instrText>
      </w:r>
      <w:r>
        <w:rPr>
          <w:rFonts w:ascii="Times New Roman" w:hAnsi="Times New Roman"/>
          <w:color w:val="0000FF"/>
          <w:sz w:val="24"/>
        </w:rPr>
        <w:fldChar w:fldCharType="separate"/>
      </w:r>
      <w:r>
        <w:rPr>
          <w:rFonts w:ascii="Times New Roman" w:hAnsi="Times New Roman"/>
          <w:color w:val="0000FF"/>
          <w:sz w:val="24"/>
        </w:rPr>
        <w:t>Пункт 6</w:t>
      </w:r>
      <w:r>
        <w:rPr>
          <w:rFonts w:ascii="Times New Roman" w:hAnsi="Times New Roman"/>
          <w:color w:val="0000FF"/>
          <w:sz w:val="24"/>
        </w:rPr>
        <w:fldChar w:fldCharType="end"/>
      </w:r>
      <w:r>
        <w:rPr>
          <w:rFonts w:ascii="Times New Roman" w:hAnsi="Times New Roman"/>
          <w:sz w:val="24"/>
        </w:rPr>
        <w:t xml:space="preserve"> Правил.</w:t>
      </w:r>
    </w:p>
    <w:p w14:paraId="6A000000">
      <w:pPr>
        <w:pStyle w:val="Style_5"/>
        <w:widowControl w:val="0"/>
        <w:spacing w:line="220" w:lineRule="atLeast"/>
        <w:ind w:firstLine="0" w:left="360"/>
        <w:jc w:val="both"/>
        <w:rPr>
          <w:rFonts w:ascii="Times New Roman" w:hAnsi="Times New Roman"/>
          <w:sz w:val="24"/>
        </w:rPr>
      </w:pPr>
      <w:r>
        <w:rPr>
          <w:rFonts w:ascii="Times New Roman" w:hAnsi="Times New Roman"/>
          <w:sz w:val="24"/>
        </w:rPr>
        <w:t xml:space="preserve">а) 1000 рублей, если цена контракта не превышает 3 </w:t>
      </w:r>
      <w:r>
        <w:rPr>
          <w:rFonts w:ascii="Times New Roman" w:hAnsi="Times New Roman"/>
          <w:sz w:val="24"/>
        </w:rPr>
        <w:t>млн</w:t>
      </w:r>
      <w:r>
        <w:rPr>
          <w:rFonts w:ascii="Times New Roman" w:hAnsi="Times New Roman"/>
          <w:sz w:val="24"/>
        </w:rPr>
        <w:t xml:space="preserve"> рублей;</w:t>
      </w:r>
    </w:p>
    <w:p w14:paraId="6B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 xml:space="preserve">В случае просрочки исполнения </w:t>
      </w:r>
      <w:r>
        <w:rPr>
          <w:rFonts w:ascii="Times New Roman" w:hAnsi="Times New Roman"/>
          <w:sz w:val="24"/>
        </w:rPr>
        <w:t>Подрядчиком</w:t>
      </w:r>
      <w:r>
        <w:rPr>
          <w:rFonts w:ascii="Times New Roman" w:hAnsi="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w:t>
      </w:r>
      <w:r>
        <w:rPr>
          <w:rFonts w:ascii="Times New Roman" w:hAnsi="Times New Roman"/>
          <w:sz w:val="24"/>
        </w:rPr>
        <w:t>Подрядчику</w:t>
      </w:r>
      <w:r>
        <w:rPr>
          <w:rFonts w:ascii="Times New Roman" w:hAnsi="Times New Roman"/>
          <w:sz w:val="24"/>
        </w:rPr>
        <w:t xml:space="preserve"> требование об уплате неустоек (штрафов, пеней).</w:t>
      </w:r>
    </w:p>
    <w:p w14:paraId="6C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 xml:space="preserve"> Пеня начисляется за каждый день просрочки исполнения </w:t>
      </w:r>
      <w:r>
        <w:rPr>
          <w:rFonts w:ascii="Times New Roman" w:hAnsi="Times New Roman"/>
          <w:sz w:val="24"/>
        </w:rPr>
        <w:t>Подрядчиком</w:t>
      </w:r>
      <w:r>
        <w:rPr>
          <w:rFonts w:ascii="Times New Roman" w:hAnsi="Times New Roman"/>
          <w:sz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D000000">
      <w:pPr>
        <w:pStyle w:val="Style_5"/>
        <w:widowControl w:val="0"/>
        <w:spacing w:line="220" w:lineRule="atLeast"/>
        <w:ind w:firstLine="709" w:left="0"/>
        <w:jc w:val="both"/>
        <w:rPr>
          <w:rFonts w:ascii="Times New Roman" w:hAnsi="Times New Roman"/>
          <w:sz w:val="24"/>
        </w:rPr>
      </w:pPr>
      <w:r>
        <w:rPr>
          <w:rFonts w:ascii="Times New Roman" w:hAnsi="Times New Roman"/>
          <w:sz w:val="24"/>
        </w:rPr>
        <w:t xml:space="preserve">6.13. Общая сумма начисленных штрафов за неисполнение или ненадлежащее исполнение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не может превышать цену контракта.</w:t>
      </w:r>
    </w:p>
    <w:p w14:paraId="6E000000">
      <w:pPr>
        <w:pStyle w:val="Style_5"/>
        <w:widowControl w:val="0"/>
        <w:spacing w:line="220" w:lineRule="atLeast"/>
        <w:ind w:firstLine="709" w:left="0"/>
        <w:jc w:val="both"/>
        <w:rPr>
          <w:rFonts w:ascii="Times New Roman" w:hAnsi="Times New Roman"/>
          <w:sz w:val="24"/>
        </w:rPr>
      </w:pPr>
      <w:r>
        <w:rPr>
          <w:rFonts w:ascii="Times New Roman" w:hAnsi="Times New Roman"/>
          <w:sz w:val="24"/>
        </w:rPr>
        <w:t xml:space="preserve">6.14. </w:t>
      </w:r>
      <w:r>
        <w:rPr>
          <w:rFonts w:ascii="Times New Roman" w:hAnsi="Times New Roman"/>
          <w:sz w:val="24"/>
        </w:rPr>
        <w:t>Подрядчик</w:t>
      </w:r>
      <w:r>
        <w:rPr>
          <w:rFonts w:ascii="Times New Roman" w:hAnsi="Times New Roman"/>
          <w:sz w:val="24"/>
        </w:rPr>
        <w:t xml:space="preserve">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6F000000">
      <w:pPr>
        <w:widowControl w:val="0"/>
        <w:ind w:firstLine="709" w:left="0"/>
        <w:jc w:val="both"/>
        <w:rPr>
          <w:spacing w:val="-4"/>
          <w:sz w:val="24"/>
        </w:rPr>
      </w:pPr>
      <w:r>
        <w:rPr>
          <w:spacing w:val="-4"/>
          <w:sz w:val="24"/>
        </w:rPr>
        <w:t>6.15. Меры ответственности Сторон, не предусмотренные Контрактом, принимаются в соответствии с нормами действующего законодательства Российской Федерации.</w:t>
      </w:r>
    </w:p>
    <w:p w14:paraId="70000000">
      <w:pPr>
        <w:widowControl w:val="0"/>
        <w:ind w:firstLine="709" w:left="0"/>
        <w:jc w:val="both"/>
        <w:rPr>
          <w:spacing w:val="-4"/>
          <w:sz w:val="24"/>
        </w:rPr>
      </w:pPr>
      <w:r>
        <w:rPr>
          <w:spacing w:val="-4"/>
          <w:sz w:val="24"/>
        </w:rPr>
        <w:t xml:space="preserve">6.16. В случае неуплаты </w:t>
      </w:r>
      <w:r>
        <w:rPr>
          <w:sz w:val="24"/>
        </w:rPr>
        <w:t>Подрядчиком</w:t>
      </w:r>
      <w:r>
        <w:rPr>
          <w:sz w:val="24"/>
        </w:rPr>
        <w:t xml:space="preserve"> </w:t>
      </w:r>
      <w:r>
        <w:rPr>
          <w:spacing w:val="-4"/>
          <w:sz w:val="24"/>
        </w:rPr>
        <w:t xml:space="preserve">контракта неустойки в течение срока, указанного в требовании Заказчика, последний вправе удержать сумму неустойки исчисленной в соответствии с настоящим разделом, из любых платежей, причитающихся </w:t>
      </w:r>
      <w:r>
        <w:rPr>
          <w:sz w:val="24"/>
        </w:rPr>
        <w:t>Подрядчику</w:t>
      </w:r>
      <w:r>
        <w:rPr>
          <w:sz w:val="24"/>
        </w:rPr>
        <w:t xml:space="preserve"> </w:t>
      </w:r>
      <w:r>
        <w:rPr>
          <w:spacing w:val="-4"/>
          <w:sz w:val="24"/>
        </w:rPr>
        <w:t xml:space="preserve">в соответствии с условиями контракта. Сумму начисленного штрафа, Заказчик списывает в бесспорном порядке с обеспечения контракта, после официального уведомления </w:t>
      </w:r>
      <w:r>
        <w:rPr>
          <w:sz w:val="24"/>
        </w:rPr>
        <w:t>Подрядчика</w:t>
      </w:r>
      <w:r>
        <w:rPr>
          <w:spacing w:val="-4"/>
          <w:sz w:val="24"/>
        </w:rPr>
        <w:t xml:space="preserve"> о фактах нарушения условий контракта со стороны </w:t>
      </w:r>
      <w:r>
        <w:rPr>
          <w:sz w:val="24"/>
        </w:rPr>
        <w:t>Подрядчика</w:t>
      </w:r>
      <w:r>
        <w:rPr>
          <w:spacing w:val="-4"/>
          <w:sz w:val="24"/>
        </w:rPr>
        <w:t>. В случае недостаточности средств из средств обеспечения контракта, остаток суммы подлежит взысканию любым доступным способом на основании действующего законодательства РФ.</w:t>
      </w:r>
    </w:p>
    <w:p w14:paraId="71000000">
      <w:pPr>
        <w:widowControl w:val="0"/>
        <w:ind w:firstLine="284" w:left="0"/>
        <w:jc w:val="both"/>
        <w:rPr>
          <w:sz w:val="24"/>
        </w:rPr>
      </w:pPr>
      <w:r>
        <w:rPr>
          <w:spacing w:val="-4"/>
          <w:sz w:val="24"/>
        </w:rPr>
        <w:t xml:space="preserve">6.17. </w:t>
      </w:r>
      <w:r>
        <w:rPr>
          <w:sz w:val="24"/>
        </w:rPr>
        <w:t xml:space="preserve">В случае расторжения контракта, одностороннего расторжения Контракта либо по решению суда в связи с неисполнением или ненадлежащим исполнением </w:t>
      </w:r>
      <w:r>
        <w:rPr>
          <w:sz w:val="24"/>
        </w:rPr>
        <w:t>Подрядчиком</w:t>
      </w:r>
      <w:r>
        <w:rPr>
          <w:sz w:val="24"/>
        </w:rPr>
        <w:t xml:space="preserve"> своих обязательств Заказчик вправе потребовать уплаты </w:t>
      </w:r>
      <w:r>
        <w:rPr>
          <w:sz w:val="24"/>
        </w:rPr>
        <w:t>Подрядчиком</w:t>
      </w:r>
      <w:r>
        <w:rPr>
          <w:sz w:val="24"/>
        </w:rPr>
        <w:t xml:space="preserve"> штрафных санкций в размере предусмотренном п.6.8. Контракта, в том числе из обеспечения исполнения контракта.</w:t>
      </w:r>
    </w:p>
    <w:p w14:paraId="72000000">
      <w:pPr>
        <w:widowControl w:val="0"/>
        <w:tabs>
          <w:tab w:leader="none" w:pos="768" w:val="left"/>
        </w:tabs>
        <w:ind w:firstLine="284" w:left="0"/>
        <w:jc w:val="both"/>
        <w:rPr>
          <w:spacing w:val="-4"/>
          <w:sz w:val="24"/>
        </w:rPr>
      </w:pPr>
      <w:r>
        <w:rPr>
          <w:spacing w:val="-4"/>
          <w:sz w:val="24"/>
        </w:rPr>
        <w:t>6</w:t>
      </w:r>
      <w:r>
        <w:rPr>
          <w:spacing w:val="-4"/>
          <w:sz w:val="24"/>
        </w:rPr>
        <w:t>.1</w:t>
      </w:r>
      <w:r>
        <w:rPr>
          <w:spacing w:val="-4"/>
          <w:sz w:val="24"/>
        </w:rPr>
        <w:t>8</w:t>
      </w:r>
      <w:r>
        <w:rPr>
          <w:spacing w:val="-4"/>
          <w:sz w:val="24"/>
        </w:rPr>
        <w:t>. Уплата неустойки не освобождает стороны от исполнения обязательств или устранения нарушений.</w:t>
      </w:r>
    </w:p>
    <w:p w14:paraId="73000000">
      <w:pPr>
        <w:widowControl w:val="0"/>
        <w:tabs>
          <w:tab w:leader="none" w:pos="1248" w:val="left"/>
        </w:tabs>
        <w:ind w:firstLine="284" w:left="0"/>
        <w:jc w:val="both"/>
        <w:rPr>
          <w:sz w:val="24"/>
        </w:rPr>
      </w:pPr>
      <w:r>
        <w:rPr>
          <w:sz w:val="24"/>
        </w:rPr>
        <w:t>6</w:t>
      </w:r>
      <w:r>
        <w:rPr>
          <w:sz w:val="24"/>
        </w:rPr>
        <w:t>.1</w:t>
      </w:r>
      <w:r>
        <w:rPr>
          <w:sz w:val="24"/>
        </w:rPr>
        <w:t>9</w:t>
      </w:r>
      <w:r>
        <w:rPr>
          <w:sz w:val="24"/>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4000000">
      <w:pPr>
        <w:widowControl w:val="0"/>
        <w:tabs>
          <w:tab w:leader="none" w:pos="1134" w:val="center"/>
        </w:tabs>
        <w:ind w:firstLine="567" w:left="0"/>
        <w:jc w:val="both"/>
        <w:rPr>
          <w:b w:val="1"/>
          <w:sz w:val="24"/>
        </w:rPr>
      </w:pPr>
    </w:p>
    <w:p w14:paraId="75000000">
      <w:pPr>
        <w:widowControl w:val="0"/>
        <w:ind/>
        <w:jc w:val="center"/>
        <w:rPr>
          <w:b w:val="1"/>
          <w:color w:val="000000"/>
          <w:sz w:val="24"/>
        </w:rPr>
      </w:pPr>
    </w:p>
    <w:p w14:paraId="76000000">
      <w:pPr>
        <w:widowControl w:val="0"/>
        <w:ind/>
        <w:jc w:val="center"/>
        <w:rPr>
          <w:b w:val="1"/>
          <w:color w:val="000000"/>
          <w:sz w:val="24"/>
        </w:rPr>
      </w:pPr>
      <w:r>
        <w:rPr>
          <w:b w:val="1"/>
          <w:color w:val="000000"/>
          <w:sz w:val="24"/>
        </w:rPr>
        <w:t>7. Действие обстоятельств непреодолимой силы</w:t>
      </w:r>
    </w:p>
    <w:p w14:paraId="77000000">
      <w:pPr>
        <w:widowControl w:val="0"/>
        <w:ind w:firstLine="284" w:left="0"/>
        <w:jc w:val="both"/>
        <w:rPr>
          <w:sz w:val="24"/>
        </w:rPr>
      </w:pPr>
      <w:r>
        <w:rPr>
          <w:color w:val="000000"/>
          <w:sz w:val="24"/>
        </w:rPr>
        <w:t xml:space="preserve">7.1. </w:t>
      </w:r>
      <w:r>
        <w:rPr>
          <w:sz w:val="24"/>
        </w:rPr>
        <w:t>Сторона не несет ответственности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14:paraId="78000000">
      <w:pPr>
        <w:widowControl w:val="0"/>
        <w:ind w:firstLine="284" w:left="0"/>
        <w:jc w:val="both"/>
        <w:rPr>
          <w:sz w:val="24"/>
        </w:rPr>
      </w:pPr>
      <w:r>
        <w:rPr>
          <w:sz w:val="24"/>
        </w:rPr>
        <w:t>7.2.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Сторон Контракта, не связанное с его просчетом или небрежностью, предусмотренное пунктом 3 статьи 401 Гражданского кодекса Российской Федерации.</w:t>
      </w:r>
    </w:p>
    <w:p w14:paraId="79000000">
      <w:pPr>
        <w:widowControl w:val="0"/>
        <w:ind w:firstLine="284" w:left="0"/>
        <w:jc w:val="both"/>
        <w:rPr>
          <w:sz w:val="24"/>
        </w:rPr>
      </w:pPr>
      <w:r>
        <w:rPr>
          <w:sz w:val="24"/>
        </w:rPr>
        <w:t>7.3. 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w:t>
      </w:r>
    </w:p>
    <w:p w14:paraId="7A000000">
      <w:pPr>
        <w:widowControl w:val="0"/>
        <w:ind w:firstLine="284" w:left="0"/>
        <w:jc w:val="both"/>
        <w:rPr>
          <w:color w:val="000000"/>
          <w:sz w:val="24"/>
        </w:rPr>
      </w:pPr>
      <w:r>
        <w:rPr>
          <w:color w:val="000000"/>
          <w:sz w:val="24"/>
        </w:rPr>
        <w:t>7.4. Если обстоятельства непреодолимой силы действуют на протяжении 1 (одного) месяца, Контракт, может быть, расторгнут в соответствии с законодательством Российской Федерации.</w:t>
      </w:r>
    </w:p>
    <w:p w14:paraId="7B000000">
      <w:pPr>
        <w:widowControl w:val="0"/>
        <w:ind/>
        <w:jc w:val="center"/>
        <w:rPr>
          <w:b w:val="1"/>
          <w:color w:val="000000"/>
          <w:sz w:val="24"/>
        </w:rPr>
      </w:pPr>
    </w:p>
    <w:p w14:paraId="7C000000">
      <w:pPr>
        <w:widowControl w:val="0"/>
        <w:spacing w:before="120"/>
        <w:ind/>
        <w:jc w:val="center"/>
        <w:rPr>
          <w:b w:val="1"/>
          <w:sz w:val="24"/>
        </w:rPr>
      </w:pPr>
      <w:r>
        <w:rPr>
          <w:b w:val="1"/>
          <w:sz w:val="24"/>
        </w:rPr>
        <w:t>8. Порядок урегулирования споров</w:t>
      </w:r>
    </w:p>
    <w:p w14:paraId="7D000000">
      <w:pPr>
        <w:widowControl w:val="0"/>
        <w:ind w:firstLine="274" w:left="10"/>
        <w:jc w:val="both"/>
        <w:rPr>
          <w:color w:val="000000"/>
          <w:spacing w:val="-3"/>
          <w:sz w:val="24"/>
        </w:rPr>
      </w:pPr>
      <w:r>
        <w:rPr>
          <w:color w:val="000000"/>
          <w:sz w:val="24"/>
        </w:rPr>
        <w:t>8.1.</w:t>
      </w:r>
      <w:r>
        <w:rPr>
          <w:sz w:val="24"/>
        </w:rPr>
        <w:t xml:space="preserve">В случае возникновения </w:t>
      </w:r>
      <w:r>
        <w:rPr>
          <w:color w:val="000000"/>
          <w:spacing w:val="1"/>
          <w:sz w:val="24"/>
        </w:rPr>
        <w:t xml:space="preserve">споров и </w:t>
      </w:r>
      <w:r>
        <w:rPr>
          <w:color w:val="000000"/>
          <w:spacing w:val="7"/>
          <w:sz w:val="24"/>
        </w:rPr>
        <w:t xml:space="preserve">разногласий, так или иначе возникающих при исполнении настоящего </w:t>
      </w:r>
      <w:r>
        <w:rPr>
          <w:sz w:val="24"/>
        </w:rPr>
        <w:t xml:space="preserve">Контракта, Стороны обязуются разрешать их путем переговоров, посредством организации встреч между полномочными представителями Сторон (с фиксацией на бумажном носителе достигнутого общего решения, либо отсутствия достижения определенного решения) и/или обмена письменной информацией (средствами: телеграфной, почтовой связи, либо любым иным способом, подтверждающим отправку и получение такой информации). </w:t>
      </w:r>
    </w:p>
    <w:p w14:paraId="7E000000">
      <w:pPr>
        <w:widowControl w:val="0"/>
        <w:ind w:firstLine="274" w:left="0"/>
        <w:jc w:val="both"/>
        <w:rPr>
          <w:color w:val="000000"/>
          <w:sz w:val="24"/>
        </w:rPr>
      </w:pPr>
      <w:r>
        <w:rPr>
          <w:color w:val="000000"/>
          <w:spacing w:val="1"/>
          <w:sz w:val="24"/>
        </w:rPr>
        <w:t xml:space="preserve">8.2. В случае не достижения согласия между Сторонами в досудебном порядке, такой спор </w:t>
      </w:r>
      <w:r>
        <w:rPr>
          <w:color w:val="000000"/>
          <w:spacing w:val="7"/>
          <w:sz w:val="24"/>
        </w:rPr>
        <w:t xml:space="preserve">подлежит рассмотрению в </w:t>
      </w:r>
      <w:r>
        <w:rPr>
          <w:color w:val="000000"/>
          <w:sz w:val="24"/>
        </w:rPr>
        <w:t xml:space="preserve">Арбитражном суде </w:t>
      </w:r>
      <w:r>
        <w:rPr>
          <w:color w:val="000000"/>
          <w:sz w:val="24"/>
        </w:rPr>
        <w:t>Забайкальского края</w:t>
      </w:r>
      <w:r>
        <w:rPr>
          <w:color w:val="000000"/>
          <w:sz w:val="24"/>
        </w:rPr>
        <w:t xml:space="preserve"> в соответствии с законодательством Российской Федерации.</w:t>
      </w:r>
    </w:p>
    <w:p w14:paraId="7F000000">
      <w:pPr>
        <w:widowControl w:val="0"/>
        <w:ind/>
        <w:jc w:val="center"/>
        <w:rPr>
          <w:b w:val="1"/>
          <w:color w:val="000000"/>
          <w:sz w:val="24"/>
        </w:rPr>
      </w:pPr>
    </w:p>
    <w:p w14:paraId="80000000">
      <w:pPr>
        <w:widowControl w:val="0"/>
        <w:ind/>
        <w:jc w:val="center"/>
        <w:rPr>
          <w:b w:val="1"/>
          <w:sz w:val="24"/>
        </w:rPr>
      </w:pPr>
      <w:r>
        <w:rPr>
          <w:b w:val="1"/>
          <w:sz w:val="24"/>
        </w:rPr>
        <w:t>9</w:t>
      </w:r>
      <w:r>
        <w:rPr>
          <w:b w:val="1"/>
          <w:sz w:val="24"/>
        </w:rPr>
        <w:t>. Обеспечение исполнения Контракта</w:t>
      </w:r>
    </w:p>
    <w:p w14:paraId="81000000">
      <w:pPr>
        <w:widowControl w:val="0"/>
        <w:ind w:firstLine="720" w:left="0"/>
        <w:contextualSpacing w:val="1"/>
        <w:jc w:val="both"/>
        <w:rPr>
          <w:sz w:val="24"/>
        </w:rPr>
      </w:pPr>
      <w:r>
        <w:rPr>
          <w:sz w:val="24"/>
        </w:rPr>
        <w:t>9</w:t>
      </w:r>
      <w:r>
        <w:rPr>
          <w:sz w:val="24"/>
        </w:rPr>
        <w:t>.1. Требование обеспечения исполнения контракта не установлено.</w:t>
      </w:r>
    </w:p>
    <w:p w14:paraId="82000000">
      <w:pPr>
        <w:widowControl w:val="0"/>
        <w:ind w:firstLine="708" w:left="0"/>
        <w:jc w:val="both"/>
        <w:rPr>
          <w:sz w:val="24"/>
          <w:highlight w:val="yellow"/>
        </w:rPr>
      </w:pPr>
    </w:p>
    <w:p w14:paraId="83000000">
      <w:pPr>
        <w:widowControl w:val="0"/>
        <w:ind/>
        <w:jc w:val="center"/>
        <w:rPr>
          <w:b w:val="1"/>
          <w:sz w:val="24"/>
        </w:rPr>
      </w:pPr>
      <w:r>
        <w:rPr>
          <w:b w:val="1"/>
          <w:sz w:val="24"/>
        </w:rPr>
        <w:t>10. Порядок изменения и расторжения Контракта</w:t>
      </w:r>
    </w:p>
    <w:p w14:paraId="84000000">
      <w:pPr>
        <w:widowControl w:val="0"/>
        <w:ind w:firstLine="567" w:left="0"/>
        <w:jc w:val="both"/>
        <w:rPr>
          <w:sz w:val="24"/>
        </w:rPr>
      </w:pPr>
      <w:r>
        <w:rPr>
          <w:sz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85000000">
      <w:pPr>
        <w:widowControl w:val="0"/>
        <w:ind w:firstLine="567" w:left="0"/>
        <w:jc w:val="both"/>
        <w:rPr>
          <w:sz w:val="24"/>
        </w:rPr>
      </w:pPr>
      <w:r>
        <w:rPr>
          <w:sz w:val="24"/>
        </w:rPr>
        <w:t xml:space="preserve">10.1.1. При снижении цены Контракта без изменения предусмотренных Контрактом объема </w:t>
      </w:r>
      <w:r>
        <w:rPr>
          <w:sz w:val="24"/>
        </w:rPr>
        <w:t>Услуг</w:t>
      </w:r>
      <w:r>
        <w:rPr>
          <w:sz w:val="24"/>
        </w:rPr>
        <w:t xml:space="preserve">, качества </w:t>
      </w:r>
      <w:r>
        <w:rPr>
          <w:sz w:val="24"/>
        </w:rPr>
        <w:t>оказываемых услуг</w:t>
      </w:r>
      <w:r>
        <w:rPr>
          <w:sz w:val="24"/>
        </w:rPr>
        <w:t xml:space="preserve"> и иных условий Контракта;</w:t>
      </w:r>
    </w:p>
    <w:p w14:paraId="86000000">
      <w:pPr>
        <w:widowControl w:val="0"/>
        <w:ind w:firstLine="567" w:left="0"/>
        <w:jc w:val="both"/>
        <w:rPr>
          <w:sz w:val="24"/>
        </w:rPr>
      </w:pPr>
      <w:r>
        <w:rPr>
          <w:sz w:val="24"/>
        </w:rPr>
        <w:t xml:space="preserve">10.1.2. Если по предложению Заказчика увеличивается предусмотренный Контрактом объем </w:t>
      </w:r>
      <w:r>
        <w:rPr>
          <w:sz w:val="24"/>
        </w:rPr>
        <w:t>Услуг</w:t>
      </w:r>
      <w:r>
        <w:rPr>
          <w:sz w:val="24"/>
        </w:rPr>
        <w:t xml:space="preserve"> не более чем на десять процентов или уменьшается предусмотренный Контрактом объем </w:t>
      </w:r>
      <w:r>
        <w:rPr>
          <w:sz w:val="24"/>
        </w:rPr>
        <w:t>оказываемых услуг</w:t>
      </w:r>
      <w:r>
        <w:rPr>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sz w:val="24"/>
        </w:rPr>
        <w:t>услуг</w:t>
      </w:r>
      <w:r>
        <w:rPr>
          <w:sz w:val="24"/>
        </w:rPr>
        <w:t xml:space="preserve"> исходя из установленной в Контракте цены единицы </w:t>
      </w:r>
      <w:r>
        <w:rPr>
          <w:sz w:val="24"/>
        </w:rPr>
        <w:t>услуги</w:t>
      </w:r>
      <w:r>
        <w:rPr>
          <w:sz w:val="24"/>
        </w:rPr>
        <w:t xml:space="preserve">, но не более чем на десять процентов цены Контракта. При уменьшении предусмотренного Контрактом объема </w:t>
      </w:r>
      <w:r>
        <w:rPr>
          <w:sz w:val="24"/>
        </w:rPr>
        <w:t>услуг</w:t>
      </w:r>
      <w:r>
        <w:rPr>
          <w:sz w:val="24"/>
        </w:rPr>
        <w:t xml:space="preserve"> Стороны Контракта обязаны уменьшить цену Контракта исходя из цены единицы </w:t>
      </w:r>
      <w:r>
        <w:rPr>
          <w:sz w:val="24"/>
        </w:rPr>
        <w:t>услуг</w:t>
      </w:r>
      <w:r>
        <w:rPr>
          <w:sz w:val="24"/>
        </w:rPr>
        <w:t xml:space="preserve">. </w:t>
      </w:r>
    </w:p>
    <w:p w14:paraId="87000000">
      <w:pPr>
        <w:widowControl w:val="0"/>
        <w:ind w:firstLine="567" w:left="0"/>
        <w:jc w:val="both"/>
        <w:rPr>
          <w:sz w:val="24"/>
        </w:rPr>
      </w:pPr>
      <w:r>
        <w:rPr>
          <w:sz w:val="24"/>
        </w:rPr>
        <w:t>10.1.3.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Работ, предусмотренных настоящим Контрактом.</w:t>
      </w:r>
    </w:p>
    <w:p w14:paraId="88000000">
      <w:pPr>
        <w:widowControl w:val="0"/>
        <w:ind w:firstLine="567" w:left="0"/>
        <w:jc w:val="both"/>
        <w:rPr>
          <w:color w:val="000000"/>
          <w:sz w:val="24"/>
        </w:rPr>
      </w:pPr>
      <w:r>
        <w:rPr>
          <w:color w:val="000000"/>
          <w:sz w:val="24"/>
        </w:rPr>
        <w:t xml:space="preserve">10.2. Настоящий </w:t>
      </w:r>
      <w:r>
        <w:rPr>
          <w:sz w:val="24"/>
        </w:rPr>
        <w:t>Контракт</w:t>
      </w:r>
      <w:r>
        <w:rPr>
          <w:color w:val="000000"/>
          <w:sz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w:t>
      </w:r>
      <w:r>
        <w:rPr>
          <w:sz w:val="24"/>
        </w:rPr>
        <w:t>в соответствии с гражданским законодательством</w:t>
      </w:r>
      <w:r>
        <w:rPr>
          <w:color w:val="000000"/>
          <w:sz w:val="24"/>
        </w:rPr>
        <w:t>.</w:t>
      </w:r>
    </w:p>
    <w:p w14:paraId="89000000">
      <w:pPr>
        <w:widowControl w:val="0"/>
        <w:tabs>
          <w:tab w:leader="none" w:pos="720" w:val="left"/>
        </w:tabs>
        <w:ind w:firstLine="567" w:left="0" w:right="28"/>
        <w:jc w:val="both"/>
        <w:rPr>
          <w:sz w:val="24"/>
        </w:rPr>
      </w:pPr>
      <w:r>
        <w:rPr>
          <w:sz w:val="24"/>
        </w:rPr>
        <w:t xml:space="preserve">10.3. При расторжении настоящего Контракта приемке Заказчиком и оплате </w:t>
      </w:r>
      <w:r>
        <w:rPr>
          <w:sz w:val="24"/>
        </w:rPr>
        <w:t>Подрядчику</w:t>
      </w:r>
      <w:r>
        <w:rPr>
          <w:sz w:val="24"/>
        </w:rPr>
        <w:t xml:space="preserve"> на условиях и по цене Контракта, подлежат те </w:t>
      </w:r>
      <w:r>
        <w:rPr>
          <w:sz w:val="24"/>
        </w:rPr>
        <w:t>работы</w:t>
      </w:r>
      <w:r>
        <w:rPr>
          <w:sz w:val="24"/>
        </w:rPr>
        <w:t xml:space="preserve">, которые надлежащим образом выполнены </w:t>
      </w:r>
      <w:r>
        <w:rPr>
          <w:sz w:val="24"/>
        </w:rPr>
        <w:t>Подрядчиком</w:t>
      </w:r>
      <w:r>
        <w:rPr>
          <w:sz w:val="24"/>
        </w:rPr>
        <w:t xml:space="preserve">, но не оплачены Заказчиком на дату уведомления Заказчиком </w:t>
      </w:r>
      <w:r>
        <w:rPr>
          <w:sz w:val="24"/>
        </w:rPr>
        <w:t>Подрядчика</w:t>
      </w:r>
      <w:r>
        <w:rPr>
          <w:sz w:val="24"/>
        </w:rPr>
        <w:t xml:space="preserve"> о расторжении настоящего Контракта.</w:t>
      </w:r>
    </w:p>
    <w:p w14:paraId="8A000000">
      <w:pPr>
        <w:widowControl w:val="0"/>
        <w:tabs>
          <w:tab w:leader="none" w:pos="720" w:val="left"/>
        </w:tabs>
        <w:ind w:firstLine="567" w:left="0" w:right="28"/>
        <w:jc w:val="both"/>
        <w:rPr>
          <w:sz w:val="24"/>
        </w:rPr>
      </w:pPr>
      <w:r>
        <w:rPr>
          <w:sz w:val="24"/>
        </w:rPr>
        <w:t xml:space="preserve">10.4. Нарушение условий Контракта </w:t>
      </w:r>
      <w:r>
        <w:rPr>
          <w:sz w:val="24"/>
        </w:rPr>
        <w:t>Подрядчиком</w:t>
      </w:r>
      <w:r>
        <w:rPr>
          <w:sz w:val="24"/>
        </w:rPr>
        <w:t xml:space="preserve"> предполагается существенным в том числе в случае неоднократного нарушения сроков </w:t>
      </w:r>
      <w:r>
        <w:rPr>
          <w:sz w:val="24"/>
        </w:rPr>
        <w:t>выполнения работ</w:t>
      </w:r>
      <w:r>
        <w:rPr>
          <w:sz w:val="24"/>
        </w:rPr>
        <w:t>.</w:t>
      </w:r>
    </w:p>
    <w:p w14:paraId="8B000000">
      <w:pPr>
        <w:widowControl w:val="0"/>
        <w:ind w:firstLine="567" w:left="0"/>
        <w:jc w:val="both"/>
        <w:rPr>
          <w:color w:val="000000"/>
          <w:sz w:val="24"/>
        </w:rPr>
      </w:pPr>
      <w:r>
        <w:rPr>
          <w:color w:val="000000"/>
          <w:sz w:val="24"/>
        </w:rPr>
        <w:t xml:space="preserve">10.5. </w:t>
      </w:r>
      <w:r>
        <w:rPr>
          <w:color w:val="000000"/>
          <w:sz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8C000000">
      <w:pPr>
        <w:widowControl w:val="0"/>
        <w:ind w:firstLine="567" w:left="0"/>
        <w:jc w:val="both"/>
        <w:rPr>
          <w:color w:val="000000"/>
          <w:sz w:val="24"/>
        </w:rPr>
      </w:pPr>
      <w:r>
        <w:rPr>
          <w:color w:val="000000"/>
          <w:sz w:val="24"/>
        </w:rPr>
        <w:t xml:space="preserve"> </w:t>
      </w:r>
      <w:r>
        <w:rPr>
          <w:color w:val="000000"/>
          <w:sz w:val="24"/>
        </w:rPr>
        <w:t xml:space="preserve">10.6. </w:t>
      </w:r>
      <w:r>
        <w:rPr>
          <w:color w:val="000000"/>
          <w:sz w:val="24"/>
        </w:rPr>
        <w:t xml:space="preserve">Заказчик вправе провести экспертизу </w:t>
      </w:r>
      <w:r>
        <w:rPr>
          <w:color w:val="000000"/>
          <w:sz w:val="24"/>
        </w:rPr>
        <w:t>оказанных услуг</w:t>
      </w:r>
      <w:r>
        <w:rPr>
          <w:color w:val="000000"/>
          <w:sz w:val="24"/>
        </w:rPr>
        <w:t xml:space="preserve"> с привлечением экспертов, экспертных организаций до принятия решения об одностороннем отказе от исполнения Контракта.</w:t>
      </w:r>
    </w:p>
    <w:p w14:paraId="8D000000">
      <w:pPr>
        <w:widowControl w:val="0"/>
        <w:ind w:firstLine="567" w:left="0"/>
        <w:jc w:val="both"/>
        <w:rPr>
          <w:color w:val="000000"/>
          <w:sz w:val="24"/>
        </w:rPr>
      </w:pPr>
      <w:r>
        <w:rPr>
          <w:color w:val="000000"/>
          <w:sz w:val="24"/>
        </w:rPr>
        <w:t>10.7.</w:t>
      </w:r>
      <w:r>
        <w:rPr>
          <w:color w:val="000000"/>
          <w:sz w:val="24"/>
        </w:rPr>
        <w:t xml:space="preserve"> Если Заказчиком проведена экспертиза </w:t>
      </w:r>
      <w:r>
        <w:rPr>
          <w:color w:val="000000"/>
          <w:sz w:val="24"/>
        </w:rPr>
        <w:t>оказанных услуг</w:t>
      </w:r>
      <w:r>
        <w:rPr>
          <w:color w:val="000000"/>
          <w:sz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8E000000">
      <w:pPr>
        <w:widowControl w:val="0"/>
        <w:ind w:firstLine="540" w:left="0"/>
        <w:jc w:val="both"/>
        <w:rPr>
          <w:sz w:val="24"/>
        </w:rPr>
      </w:pPr>
      <w:r>
        <w:rPr>
          <w:sz w:val="24"/>
        </w:rPr>
        <w:t xml:space="preserve">10.8. </w:t>
      </w:r>
      <w:r>
        <w:rPr>
          <w:sz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4"/>
        </w:rPr>
        <w:t>.</w:t>
      </w:r>
    </w:p>
    <w:p w14:paraId="8F000000">
      <w:pPr>
        <w:widowControl w:val="0"/>
        <w:ind/>
        <w:jc w:val="center"/>
        <w:rPr>
          <w:b w:val="1"/>
          <w:sz w:val="24"/>
        </w:rPr>
      </w:pPr>
      <w:r>
        <w:rPr>
          <w:b w:val="1"/>
          <w:sz w:val="24"/>
        </w:rPr>
        <w:t xml:space="preserve">11. Срок действия </w:t>
      </w:r>
      <w:r>
        <w:rPr>
          <w:b w:val="1"/>
          <w:sz w:val="24"/>
        </w:rPr>
        <w:t>Контракта и прочие условия</w:t>
      </w:r>
    </w:p>
    <w:p w14:paraId="90000000">
      <w:pPr>
        <w:widowControl w:val="0"/>
        <w:ind w:firstLine="284" w:left="0"/>
        <w:jc w:val="both"/>
        <w:rPr>
          <w:sz w:val="24"/>
        </w:rPr>
      </w:pPr>
      <w:r>
        <w:rPr>
          <w:sz w:val="24"/>
        </w:rPr>
        <w:t xml:space="preserve">11.1. </w:t>
      </w:r>
      <w:r>
        <w:rPr>
          <w:sz w:val="24"/>
        </w:rPr>
        <w:t xml:space="preserve">Контракт вступает в силу с момента подписания и действует </w:t>
      </w:r>
      <w:r>
        <w:rPr>
          <w:b w:val="1"/>
          <w:sz w:val="24"/>
        </w:rPr>
        <w:t>до 30</w:t>
      </w:r>
      <w:r>
        <w:rPr>
          <w:b w:val="1"/>
          <w:sz w:val="24"/>
        </w:rPr>
        <w:t xml:space="preserve"> октя</w:t>
      </w:r>
      <w:r>
        <w:rPr>
          <w:b w:val="1"/>
          <w:sz w:val="24"/>
        </w:rPr>
        <w:t>бря 2026</w:t>
      </w:r>
      <w:r>
        <w:rPr>
          <w:b w:val="1"/>
          <w:sz w:val="24"/>
        </w:rPr>
        <w:t xml:space="preserve"> года</w:t>
      </w:r>
      <w:r>
        <w:rPr>
          <w:sz w:val="24"/>
        </w:rPr>
        <w:t>, но в любом случае до полного исполнения Сторонами своих обязательств.</w:t>
      </w:r>
    </w:p>
    <w:p w14:paraId="91000000">
      <w:pPr>
        <w:widowControl w:val="0"/>
        <w:tabs>
          <w:tab w:leader="none" w:pos="676" w:val="left"/>
          <w:tab w:leader="none" w:pos="1440" w:val="left"/>
        </w:tabs>
        <w:ind w:firstLine="284" w:left="0"/>
        <w:jc w:val="both"/>
        <w:rPr>
          <w:sz w:val="24"/>
        </w:rPr>
      </w:pPr>
      <w:r>
        <w:rPr>
          <w:sz w:val="24"/>
        </w:rPr>
        <w:t>11.2. Следующие приложения являются неотъемлемой частью настоящего Контракта:</w:t>
      </w:r>
    </w:p>
    <w:p w14:paraId="92000000">
      <w:pPr>
        <w:widowControl w:val="0"/>
        <w:tabs>
          <w:tab w:leader="none" w:pos="1020" w:val="left"/>
        </w:tabs>
        <w:ind w:firstLine="284" w:left="0"/>
        <w:jc w:val="both"/>
        <w:rPr>
          <w:sz w:val="24"/>
        </w:rPr>
      </w:pPr>
      <w:r>
        <w:rPr>
          <w:sz w:val="24"/>
        </w:rPr>
        <w:t>Приложение № 1 «Техническое задание».</w:t>
      </w:r>
    </w:p>
    <w:p w14:paraId="93000000">
      <w:pPr>
        <w:widowControl w:val="0"/>
        <w:tabs>
          <w:tab w:leader="none" w:pos="1020" w:val="left"/>
        </w:tabs>
        <w:ind w:firstLine="284" w:left="0"/>
        <w:jc w:val="both"/>
        <w:rPr>
          <w:sz w:val="24"/>
        </w:rPr>
      </w:pPr>
      <w:r>
        <w:rPr>
          <w:sz w:val="24"/>
        </w:rPr>
        <w:t>Приложение № 2 «Акт выполненных работ».</w:t>
      </w:r>
    </w:p>
    <w:p w14:paraId="94000000">
      <w:pPr>
        <w:widowControl w:val="0"/>
        <w:tabs>
          <w:tab w:leader="none" w:pos="1571" w:val="left"/>
        </w:tabs>
        <w:ind w:firstLine="284" w:left="0"/>
        <w:jc w:val="both"/>
        <w:rPr>
          <w:sz w:val="24"/>
        </w:rPr>
      </w:pPr>
      <w:r>
        <w:rPr>
          <w:sz w:val="24"/>
        </w:rPr>
        <w:t>11.3. Вопросы, не урегулированные настоящим Контрактом, разрешаются в соответствии с законодательством Российской Федерации.</w:t>
      </w:r>
    </w:p>
    <w:p w14:paraId="95000000">
      <w:pPr>
        <w:widowControl w:val="0"/>
        <w:tabs>
          <w:tab w:leader="none" w:pos="1571" w:val="left"/>
        </w:tabs>
        <w:ind w:firstLine="284" w:left="0"/>
        <w:jc w:val="both"/>
        <w:rPr>
          <w:sz w:val="24"/>
        </w:rPr>
      </w:pPr>
      <w:r>
        <w:rPr>
          <w:sz w:val="24"/>
        </w:rPr>
        <w:t>11.4. Не предоставление Актов выполненных работ и иных документов, предусмотренных настоящим Контрактом, нарушение сроков выполнения Работ, установленных настоящим Контрактом, а также некачественное выполнение Работ является ненадлежащим исполнением Подрядчиком обязательств  по настоящему Контракту.</w:t>
      </w:r>
    </w:p>
    <w:p w14:paraId="96000000">
      <w:pPr>
        <w:widowControl w:val="0"/>
        <w:tabs>
          <w:tab w:leader="none" w:pos="1571" w:val="left"/>
        </w:tabs>
        <w:ind w:firstLine="284" w:left="0"/>
        <w:jc w:val="both"/>
        <w:rPr>
          <w:sz w:val="24"/>
        </w:rPr>
      </w:pPr>
      <w:r>
        <w:rPr>
          <w:sz w:val="24"/>
        </w:rPr>
        <w:t>11.5. В случае изменения у какой-либо из Сторон реквизитов, она обязана в течение 3 (трех) рабочих дней письменно известить об этом другую Сторону по настоящему Контракту с приложением действующих реквизитов, подписанных и заверенных печатью Стороны по настоящему Контракту, в извещении необходимо указать, что оно является неотъемлемой частью Контракта. Датой извещения считается дата его доставки.</w:t>
      </w:r>
    </w:p>
    <w:p w14:paraId="97000000">
      <w:pPr>
        <w:widowControl w:val="0"/>
        <w:tabs>
          <w:tab w:leader="none" w:pos="1571" w:val="left"/>
        </w:tabs>
        <w:ind w:firstLine="284" w:left="0"/>
        <w:jc w:val="both"/>
        <w:rPr>
          <w:sz w:val="24"/>
        </w:rPr>
      </w:pPr>
      <w:r>
        <w:rPr>
          <w:sz w:val="24"/>
        </w:rPr>
        <w:t xml:space="preserve">11.6. Все изменения и дополнения к настоящему Контракту действительны, если они составлены в письменной форме и подписаны обеими Сторонами, за исключением случая </w:t>
      </w:r>
      <w:r>
        <w:rPr>
          <w:sz w:val="24"/>
        </w:rPr>
        <w:t>одностороннего отказа Стороны от исполнения Контракта</w:t>
      </w:r>
      <w:r>
        <w:rPr>
          <w:sz w:val="24"/>
        </w:rPr>
        <w:t>.</w:t>
      </w:r>
    </w:p>
    <w:p w14:paraId="98000000">
      <w:pPr>
        <w:widowControl w:val="0"/>
        <w:tabs>
          <w:tab w:leader="none" w:pos="1571" w:val="left"/>
        </w:tabs>
        <w:ind w:firstLine="284" w:left="0"/>
        <w:jc w:val="both"/>
        <w:rPr>
          <w:sz w:val="24"/>
        </w:rPr>
      </w:pPr>
      <w:r>
        <w:rPr>
          <w:sz w:val="24"/>
        </w:rPr>
        <w:t xml:space="preserve">11.7. Все уведомления в рамках данного Контракта должны посылаться Сторонами в письменном виде, за исключением случая </w:t>
      </w:r>
      <w:r>
        <w:rPr>
          <w:sz w:val="24"/>
        </w:rPr>
        <w:t>одностороннего отказа Стороны от исполнения Контракта</w:t>
      </w:r>
      <w:r>
        <w:rPr>
          <w:sz w:val="24"/>
        </w:rPr>
        <w:t>.</w:t>
      </w:r>
    </w:p>
    <w:p w14:paraId="99000000">
      <w:pPr>
        <w:widowControl w:val="0"/>
        <w:spacing w:after="120"/>
        <w:ind w:firstLine="0" w:left="2978"/>
        <w:rPr>
          <w:b w:val="1"/>
          <w:sz w:val="24"/>
        </w:rPr>
      </w:pPr>
      <w:r>
        <w:rPr>
          <w:b w:val="1"/>
          <w:sz w:val="24"/>
        </w:rPr>
        <w:t>12.    Реквизиты Сторон</w:t>
      </w:r>
    </w:p>
    <w:tbl>
      <w:tblPr>
        <w:tblStyle w:val="Style_2"/>
        <w:tblW w:type="auto" w:w="0"/>
        <w:tblInd w:type="dxa" w:w="-429"/>
        <w:tblLayout w:type="fixed"/>
      </w:tblPr>
      <w:tblGrid>
        <w:gridCol w:w="10632"/>
        <w:gridCol w:w="253"/>
      </w:tblGrid>
      <w:tr>
        <w:tc>
          <w:tcPr>
            <w:tcW w:type="dxa" w:w="10632"/>
          </w:tcPr>
          <w:tbl>
            <w:tblPr>
              <w:tblStyle w:val="Style_2"/>
              <w:tblW w:type="auto" w:w="0"/>
              <w:tblLayout w:type="fixed"/>
            </w:tblPr>
            <w:tblGrid>
              <w:gridCol w:w="5245"/>
              <w:gridCol w:w="5592"/>
            </w:tblGrid>
            <w:tr>
              <w:trPr>
                <w:trHeight w:hRule="atLeast" w:val="159"/>
              </w:trPr>
              <w:tc>
                <w:tcPr>
                  <w:tcW w:type="dxa" w:w="5245"/>
                </w:tcPr>
                <w:p w14:paraId="9A000000">
                  <w:pPr>
                    <w:rPr>
                      <w:b w:val="1"/>
                      <w:sz w:val="24"/>
                    </w:rPr>
                  </w:pPr>
                  <w:r>
                    <w:rPr>
                      <w:b w:val="1"/>
                      <w:sz w:val="24"/>
                    </w:rPr>
                    <w:t>Заказчик</w:t>
                  </w:r>
                </w:p>
              </w:tc>
              <w:tc>
                <w:tcPr>
                  <w:tcW w:type="dxa" w:w="5592"/>
                </w:tcPr>
                <w:p w14:paraId="9B000000">
                  <w:pPr>
                    <w:widowControl w:val="0"/>
                    <w:ind w:hanging="72" w:left="72"/>
                    <w:rPr>
                      <w:b w:val="1"/>
                      <w:sz w:val="24"/>
                    </w:rPr>
                  </w:pPr>
                  <w:r>
                    <w:rPr>
                      <w:b w:val="1"/>
                      <w:sz w:val="24"/>
                    </w:rPr>
                    <w:t>Подрядчик</w:t>
                  </w:r>
                </w:p>
              </w:tc>
            </w:tr>
            <w:tr>
              <w:trPr>
                <w:trHeight w:hRule="atLeast" w:val="623"/>
              </w:trPr>
              <w:tc>
                <w:tcPr>
                  <w:tcW w:type="dxa" w:w="5245"/>
                </w:tcPr>
                <w:p w14:paraId="9C000000">
                  <w:pPr>
                    <w:rPr>
                      <w:sz w:val="24"/>
                    </w:rPr>
                  </w:pPr>
                  <w:r>
                    <w:rPr>
                      <w:sz w:val="24"/>
                    </w:rPr>
                    <w:t xml:space="preserve">Полное наименование: </w:t>
                  </w:r>
                  <w:r>
                    <w:rPr>
                      <w:sz w:val="24"/>
                    </w:rPr>
                    <w:t>Межрегиональное т</w:t>
                  </w:r>
                  <w:r>
                    <w:rPr>
                      <w:sz w:val="24"/>
                    </w:rPr>
                    <w:t xml:space="preserve">ерриториальное управление Федерального агентства по управлению государственным имуществом в </w:t>
                  </w:r>
                  <w:r>
                    <w:rPr>
                      <w:sz w:val="24"/>
                    </w:rPr>
                    <w:t>Забайкальском крае и Республике Бурятия</w:t>
                  </w:r>
                </w:p>
              </w:tc>
              <w:tc>
                <w:tcPr>
                  <w:tcW w:type="dxa" w:w="5592"/>
                </w:tcPr>
                <w:p w14:paraId="9D000000">
                  <w:pPr>
                    <w:rPr>
                      <w:sz w:val="24"/>
                    </w:rPr>
                  </w:pPr>
                  <w:r>
                    <w:rPr>
                      <w:sz w:val="24"/>
                    </w:rPr>
                    <w:t xml:space="preserve">Полное наименование: </w:t>
                  </w:r>
                </w:p>
              </w:tc>
            </w:tr>
            <w:tr>
              <w:trPr>
                <w:trHeight w:hRule="atLeast" w:val="317"/>
              </w:trPr>
              <w:tc>
                <w:tcPr>
                  <w:tcW w:type="dxa" w:w="5245"/>
                </w:tcPr>
                <w:p w14:paraId="9E000000">
                  <w:pPr>
                    <w:rPr>
                      <w:sz w:val="24"/>
                    </w:rPr>
                  </w:pPr>
                  <w:r>
                    <w:rPr>
                      <w:sz w:val="24"/>
                    </w:rPr>
                    <w:t xml:space="preserve">Сокращенное наименование: </w:t>
                  </w:r>
                  <w:r>
                    <w:rPr>
                      <w:sz w:val="24"/>
                    </w:rPr>
                    <w:t>М</w:t>
                  </w:r>
                  <w:r>
                    <w:rPr>
                      <w:sz w:val="24"/>
                    </w:rPr>
                    <w:t xml:space="preserve">ТУ </w:t>
                  </w:r>
                  <w:r>
                    <w:rPr>
                      <w:sz w:val="24"/>
                    </w:rPr>
                    <w:t>Росимущества</w:t>
                  </w:r>
                  <w:r>
                    <w:rPr>
                      <w:sz w:val="24"/>
                    </w:rPr>
                    <w:t xml:space="preserve"> в </w:t>
                  </w:r>
                  <w:r>
                    <w:rPr>
                      <w:sz w:val="24"/>
                    </w:rPr>
                    <w:t>Забайкальском крае и Республике Бурятия</w:t>
                  </w:r>
                </w:p>
              </w:tc>
              <w:tc>
                <w:tcPr>
                  <w:tcW w:type="dxa" w:w="5592"/>
                </w:tcPr>
                <w:p w14:paraId="9F000000">
                  <w:pPr>
                    <w:rPr>
                      <w:sz w:val="24"/>
                    </w:rPr>
                  </w:pPr>
                  <w:r>
                    <w:rPr>
                      <w:sz w:val="24"/>
                    </w:rPr>
                    <w:t xml:space="preserve">Сокращенное наименование: </w:t>
                  </w:r>
                </w:p>
              </w:tc>
            </w:tr>
            <w:tr>
              <w:trPr>
                <w:trHeight w:hRule="atLeast" w:val="2817"/>
              </w:trPr>
              <w:tc>
                <w:tcPr>
                  <w:tcW w:type="dxa" w:w="5245"/>
                </w:tcPr>
                <w:p w14:paraId="A0000000">
                  <w:pPr>
                    <w:rPr>
                      <w:sz w:val="24"/>
                    </w:rPr>
                  </w:pPr>
                  <w:r>
                    <w:rPr>
                      <w:sz w:val="24"/>
                    </w:rPr>
                    <w:t xml:space="preserve">Адрес места нахождения: </w:t>
                  </w:r>
                  <w:r>
                    <w:rPr>
                      <w:sz w:val="24"/>
                    </w:rPr>
                    <w:t>672002</w:t>
                  </w:r>
                  <w:r>
                    <w:rPr>
                      <w:sz w:val="24"/>
                    </w:rPr>
                    <w:t xml:space="preserve">, </w:t>
                  </w:r>
                  <w:r>
                    <w:rPr>
                      <w:sz w:val="24"/>
                    </w:rPr>
                    <w:t>Забайкальский край, г. Чита, ул. Амурская</w:t>
                  </w:r>
                  <w:r>
                    <w:rPr>
                      <w:sz w:val="24"/>
                    </w:rPr>
                    <w:t xml:space="preserve">, </w:t>
                  </w:r>
                  <w:r>
                    <w:rPr>
                      <w:sz w:val="24"/>
                    </w:rPr>
                    <w:t>68</w:t>
                  </w:r>
                </w:p>
                <w:p w14:paraId="A1000000">
                  <w:pPr>
                    <w:rPr>
                      <w:sz w:val="24"/>
                    </w:rPr>
                  </w:pPr>
                  <w:r>
                    <w:rPr>
                      <w:sz w:val="24"/>
                    </w:rPr>
                    <w:t>Почтовый адрес: 672002, Забайкальский край, г. Чита, ул. Амурская, 68</w:t>
                  </w:r>
                </w:p>
                <w:p w14:paraId="A2000000">
                  <w:pPr>
                    <w:rPr>
                      <w:sz w:val="24"/>
                    </w:rPr>
                  </w:pPr>
                  <w:r>
                    <w:rPr>
                      <w:sz w:val="24"/>
                    </w:rPr>
                    <w:t>Телефон: 8(3022) 35-66-62</w:t>
                  </w:r>
                </w:p>
                <w:p w14:paraId="A3000000">
                  <w:pPr>
                    <w:rPr>
                      <w:sz w:val="24"/>
                    </w:rPr>
                  </w:pPr>
                  <w:r>
                    <w:rPr>
                      <w:sz w:val="24"/>
                    </w:rPr>
                    <w:t>ИНН 7536179850 КПП 753601001</w:t>
                  </w:r>
                </w:p>
                <w:p w14:paraId="A4000000">
                  <w:pPr>
                    <w:rPr>
                      <w:sz w:val="24"/>
                    </w:rPr>
                  </w:pPr>
                  <w:r>
                    <w:rPr>
                      <w:sz w:val="24"/>
                    </w:rPr>
                    <w:t>ОКТМО 76701000001</w:t>
                  </w:r>
                </w:p>
                <w:p w14:paraId="A5000000">
                  <w:pPr>
                    <w:rPr>
                      <w:sz w:val="24"/>
                    </w:rPr>
                  </w:pPr>
                  <w:r>
                    <w:rPr>
                      <w:sz w:val="24"/>
                    </w:rPr>
                    <w:t>ОКПО 10909088</w:t>
                  </w:r>
                </w:p>
                <w:p w14:paraId="A6000000">
                  <w:pPr>
                    <w:rPr>
                      <w:sz w:val="24"/>
                    </w:rPr>
                  </w:pPr>
                  <w:r>
                    <w:rPr>
                      <w:sz w:val="24"/>
                    </w:rPr>
                    <w:t>ОКАТО 76401373000</w:t>
                  </w:r>
                </w:p>
                <w:p w14:paraId="A7000000">
                  <w:pPr>
                    <w:rPr>
                      <w:sz w:val="24"/>
                    </w:rPr>
                  </w:pPr>
                  <w:r>
                    <w:rPr>
                      <w:sz w:val="24"/>
                    </w:rPr>
                    <w:t xml:space="preserve">(МТУ РОСИМУЩЕСТВА </w:t>
                  </w:r>
                  <w:r>
                    <w:rPr>
                      <w:color w:val="0D0D0D"/>
                      <w:sz w:val="24"/>
                    </w:rPr>
                    <w:t>в Забайкальском крае и Республике Бурятия</w:t>
                  </w:r>
                  <w:r>
                    <w:rPr>
                      <w:sz w:val="24"/>
                    </w:rPr>
                    <w:t>)</w:t>
                  </w:r>
                </w:p>
                <w:p w14:paraId="A8000000">
                  <w:pPr>
                    <w:rPr>
                      <w:sz w:val="24"/>
                    </w:rPr>
                  </w:pPr>
                  <w:r>
                    <w:rPr>
                      <w:sz w:val="24"/>
                    </w:rPr>
                    <w:t>Дальневосточное ГУ БАНКА РОССИИ//УФК по Приморскому краю г. Владивосток</w:t>
                  </w:r>
                </w:p>
                <w:p w14:paraId="A9000000">
                  <w:pPr>
                    <w:rPr>
                      <w:sz w:val="24"/>
                    </w:rPr>
                  </w:pPr>
                  <w:r>
                    <w:rPr>
                      <w:sz w:val="24"/>
                    </w:rPr>
                    <w:t>БИК 010507002</w:t>
                  </w:r>
                </w:p>
                <w:p w14:paraId="AA000000">
                  <w:pPr>
                    <w:rPr>
                      <w:sz w:val="24"/>
                    </w:rPr>
                  </w:pPr>
                  <w:r>
                    <w:rPr>
                      <w:sz w:val="24"/>
                    </w:rPr>
                    <w:t>ЕКС 40102810545370000012</w:t>
                  </w:r>
                </w:p>
                <w:p w14:paraId="AB000000">
                  <w:pPr>
                    <w:rPr>
                      <w:sz w:val="24"/>
                    </w:rPr>
                  </w:pPr>
                  <w:r>
                    <w:rPr>
                      <w:sz w:val="24"/>
                    </w:rPr>
                    <w:t>Казначейский счет 03211643000000012009</w:t>
                  </w:r>
                </w:p>
                <w:p w14:paraId="AC000000">
                  <w:pPr>
                    <w:rPr>
                      <w:color w:val="FF0000"/>
                      <w:sz w:val="24"/>
                    </w:rPr>
                  </w:pPr>
                  <w:r>
                    <w:rPr>
                      <w:sz w:val="24"/>
                    </w:rPr>
                    <w:t>л/</w:t>
                  </w:r>
                  <w:r>
                    <w:rPr>
                      <w:sz w:val="24"/>
                    </w:rPr>
                    <w:t>сч</w:t>
                  </w:r>
                  <w:r>
                    <w:rPr>
                      <w:sz w:val="24"/>
                    </w:rPr>
                    <w:t xml:space="preserve"> 03911</w:t>
                  </w:r>
                  <w:r>
                    <w:rPr>
                      <w:sz w:val="24"/>
                    </w:rPr>
                    <w:t>F</w:t>
                  </w:r>
                  <w:r>
                    <w:rPr>
                      <w:sz w:val="24"/>
                    </w:rPr>
                    <w:t>93830</w:t>
                  </w:r>
                </w:p>
                <w:p w14:paraId="AD000000">
                  <w:pPr>
                    <w:rPr>
                      <w:sz w:val="24"/>
                    </w:rPr>
                  </w:pPr>
                  <w:r>
                    <w:rPr>
                      <w:sz w:val="24"/>
                    </w:rPr>
                    <w:t>E-mail: tu75@rosim.gov.ru</w:t>
                  </w:r>
                </w:p>
                <w:p w14:paraId="AE000000">
                  <w:pPr>
                    <w:rPr>
                      <w:sz w:val="24"/>
                    </w:rPr>
                  </w:pPr>
                </w:p>
              </w:tc>
              <w:tc>
                <w:tcPr>
                  <w:tcW w:type="dxa" w:w="5592"/>
                </w:tcPr>
                <w:p w14:paraId="AF000000">
                  <w:pPr>
                    <w:rPr>
                      <w:sz w:val="24"/>
                    </w:rPr>
                  </w:pPr>
                  <w:r>
                    <w:rPr>
                      <w:sz w:val="24"/>
                    </w:rPr>
                    <w:t xml:space="preserve">Адрес места нахождения: </w:t>
                  </w:r>
                </w:p>
                <w:p w14:paraId="B0000000">
                  <w:pPr>
                    <w:rPr>
                      <w:sz w:val="24"/>
                    </w:rPr>
                  </w:pPr>
                  <w:r>
                    <w:rPr>
                      <w:sz w:val="24"/>
                    </w:rPr>
                    <w:t xml:space="preserve">Почтовый адрес: </w:t>
                  </w:r>
                </w:p>
                <w:p w14:paraId="B1000000">
                  <w:pPr>
                    <w:rPr>
                      <w:sz w:val="24"/>
                    </w:rPr>
                  </w:pPr>
                  <w:r>
                    <w:rPr>
                      <w:sz w:val="24"/>
                    </w:rPr>
                    <w:t xml:space="preserve">Телефон/факс: </w:t>
                  </w:r>
                </w:p>
                <w:p w14:paraId="B2000000">
                  <w:pPr>
                    <w:rPr>
                      <w:sz w:val="24"/>
                    </w:rPr>
                  </w:pPr>
                  <w:r>
                    <w:rPr>
                      <w:sz w:val="24"/>
                    </w:rPr>
                    <w:t>E</w:t>
                  </w:r>
                  <w:r>
                    <w:rPr>
                      <w:sz w:val="24"/>
                    </w:rPr>
                    <w:t>-</w:t>
                  </w:r>
                  <w:r>
                    <w:rPr>
                      <w:sz w:val="24"/>
                    </w:rPr>
                    <w:t>mail</w:t>
                  </w:r>
                  <w:r>
                    <w:rPr>
                      <w:sz w:val="24"/>
                    </w:rPr>
                    <w:t xml:space="preserve">: </w:t>
                  </w:r>
                </w:p>
                <w:p w14:paraId="B3000000">
                  <w:pPr>
                    <w:rPr>
                      <w:sz w:val="24"/>
                    </w:rPr>
                  </w:pPr>
                  <w:r>
                    <w:rPr>
                      <w:sz w:val="24"/>
                    </w:rPr>
                    <w:t xml:space="preserve">ИНН </w:t>
                  </w:r>
                </w:p>
                <w:p w14:paraId="B4000000">
                  <w:pPr>
                    <w:rPr>
                      <w:sz w:val="24"/>
                    </w:rPr>
                  </w:pPr>
                  <w:r>
                    <w:rPr>
                      <w:sz w:val="24"/>
                    </w:rPr>
                    <w:t xml:space="preserve">КПП </w:t>
                  </w:r>
                </w:p>
                <w:p w14:paraId="B5000000">
                  <w:pPr>
                    <w:rPr>
                      <w:sz w:val="24"/>
                    </w:rPr>
                  </w:pPr>
                  <w:r>
                    <w:rPr>
                      <w:sz w:val="24"/>
                    </w:rPr>
                    <w:t xml:space="preserve">Дата постановки на учет в налоговом органе: </w:t>
                  </w:r>
                </w:p>
                <w:p w14:paraId="B6000000">
                  <w:pPr>
                    <w:rPr>
                      <w:sz w:val="24"/>
                    </w:rPr>
                  </w:pPr>
                  <w:r>
                    <w:rPr>
                      <w:sz w:val="24"/>
                    </w:rPr>
                    <w:t xml:space="preserve">ОКПО </w:t>
                  </w:r>
                  <w:r>
                    <w:rPr>
                      <w:sz w:val="24"/>
                    </w:rPr>
                    <w:t xml:space="preserve">    ОКТМО</w:t>
                  </w:r>
                </w:p>
                <w:p w14:paraId="B7000000">
                  <w:pPr>
                    <w:rPr>
                      <w:sz w:val="24"/>
                    </w:rPr>
                  </w:pPr>
                  <w:r>
                    <w:rPr>
                      <w:sz w:val="24"/>
                    </w:rPr>
                    <w:t>Банковские реквизиты:</w:t>
                  </w:r>
                </w:p>
                <w:p w14:paraId="B8000000">
                  <w:pPr>
                    <w:rPr>
                      <w:sz w:val="24"/>
                    </w:rPr>
                  </w:pPr>
                  <w:r>
                    <w:rPr>
                      <w:sz w:val="24"/>
                    </w:rPr>
                    <w:t>р</w:t>
                  </w:r>
                  <w:r>
                    <w:rPr>
                      <w:sz w:val="24"/>
                    </w:rPr>
                    <w:t xml:space="preserve">/с </w:t>
                  </w:r>
                </w:p>
                <w:p w14:paraId="B9000000">
                  <w:pPr>
                    <w:rPr>
                      <w:sz w:val="24"/>
                    </w:rPr>
                  </w:pPr>
                  <w:r>
                    <w:rPr>
                      <w:sz w:val="24"/>
                    </w:rPr>
                    <w:t>в                  г.</w:t>
                  </w:r>
                </w:p>
                <w:p w14:paraId="BA000000">
                  <w:pPr>
                    <w:rPr>
                      <w:sz w:val="24"/>
                    </w:rPr>
                  </w:pPr>
                  <w:r>
                    <w:rPr>
                      <w:sz w:val="24"/>
                    </w:rPr>
                    <w:t xml:space="preserve">к/с </w:t>
                  </w:r>
                </w:p>
                <w:p w14:paraId="BB000000">
                  <w:pPr>
                    <w:rPr>
                      <w:sz w:val="24"/>
                    </w:rPr>
                  </w:pPr>
                  <w:r>
                    <w:rPr>
                      <w:sz w:val="24"/>
                    </w:rPr>
                    <w:t>БИК</w:t>
                  </w:r>
                </w:p>
                <w:p w14:paraId="BC000000">
                  <w:pPr>
                    <w:rPr>
                      <w:sz w:val="24"/>
                    </w:rPr>
                  </w:pPr>
                </w:p>
                <w:p w14:paraId="BD000000">
                  <w:pPr>
                    <w:rPr>
                      <w:sz w:val="24"/>
                    </w:rPr>
                  </w:pPr>
                </w:p>
              </w:tc>
            </w:tr>
          </w:tbl>
          <w:p w14:paraId="BE000000">
            <w:pPr>
              <w:widowControl w:val="0"/>
              <w:spacing w:after="120" w:before="240"/>
              <w:ind/>
              <w:jc w:val="center"/>
              <w:rPr>
                <w:b w:val="1"/>
                <w:sz w:val="24"/>
              </w:rPr>
            </w:pPr>
            <w:r>
              <w:rPr>
                <w:b w:val="1"/>
                <w:sz w:val="24"/>
              </w:rPr>
              <w:t>13. Подписи Сторон</w:t>
            </w:r>
          </w:p>
          <w:tbl>
            <w:tblPr>
              <w:tblStyle w:val="Style_2"/>
              <w:tblW w:type="auto" w:w="0"/>
              <w:tblLayout w:type="fixed"/>
            </w:tblPr>
            <w:tblGrid>
              <w:gridCol w:w="5068"/>
              <w:gridCol w:w="5069"/>
            </w:tblGrid>
            <w:tr>
              <w:tc>
                <w:tcPr>
                  <w:tcW w:type="dxa" w:w="5068"/>
                  <w:shd w:fill="auto" w:val="clear"/>
                </w:tcPr>
                <w:p w14:paraId="BF000000">
                  <w:pPr>
                    <w:widowControl w:val="0"/>
                    <w:ind/>
                    <w:rPr>
                      <w:sz w:val="24"/>
                    </w:rPr>
                  </w:pPr>
                  <w:r>
                    <w:rPr>
                      <w:b w:val="1"/>
                      <w:sz w:val="24"/>
                    </w:rPr>
                    <w:t>Заказчик</w:t>
                  </w:r>
                  <w:r>
                    <w:rPr>
                      <w:sz w:val="24"/>
                    </w:rPr>
                    <w:t>_____________________</w:t>
                  </w:r>
                </w:p>
                <w:p w14:paraId="C0000000">
                  <w:pPr>
                    <w:widowControl w:val="0"/>
                    <w:tabs>
                      <w:tab w:leader="none" w:pos="5400" w:val="left"/>
                    </w:tabs>
                    <w:ind/>
                    <w:rPr>
                      <w:b w:val="1"/>
                      <w:sz w:val="24"/>
                    </w:rPr>
                  </w:pPr>
                </w:p>
              </w:tc>
              <w:tc>
                <w:tcPr>
                  <w:tcW w:type="dxa" w:w="5069"/>
                  <w:shd w:fill="auto" w:val="clear"/>
                </w:tcPr>
                <w:p w14:paraId="C1000000">
                  <w:pPr>
                    <w:widowControl w:val="0"/>
                    <w:tabs>
                      <w:tab w:leader="none" w:pos="5400" w:val="left"/>
                    </w:tabs>
                    <w:ind/>
                    <w:rPr>
                      <w:sz w:val="24"/>
                    </w:rPr>
                  </w:pPr>
                  <w:r>
                    <w:rPr>
                      <w:b w:val="1"/>
                      <w:sz w:val="24"/>
                    </w:rPr>
                    <w:t>Подрядчик</w:t>
                  </w:r>
                  <w:r>
                    <w:rPr>
                      <w:sz w:val="24"/>
                    </w:rPr>
                    <w:t>____________________</w:t>
                  </w:r>
                </w:p>
                <w:p w14:paraId="C2000000">
                  <w:pPr>
                    <w:widowControl w:val="0"/>
                    <w:tabs>
                      <w:tab w:leader="none" w:pos="5400" w:val="left"/>
                    </w:tabs>
                    <w:ind/>
                    <w:rPr>
                      <w:b w:val="1"/>
                      <w:sz w:val="24"/>
                    </w:rPr>
                  </w:pPr>
                </w:p>
              </w:tc>
            </w:tr>
          </w:tbl>
          <w:p w14:paraId="C3000000">
            <w:pPr>
              <w:widowControl w:val="0"/>
              <w:spacing w:after="120" w:before="120"/>
              <w:ind w:firstLine="709" w:left="0"/>
              <w:jc w:val="center"/>
              <w:rPr>
                <w:b w:val="1"/>
                <w:sz w:val="24"/>
              </w:rPr>
            </w:pPr>
          </w:p>
        </w:tc>
        <w:tc>
          <w:tcPr>
            <w:tcW w:type="dxa" w:w="253"/>
          </w:tcPr>
          <w:p w14:paraId="C4000000">
            <w:pPr>
              <w:widowControl w:val="0"/>
              <w:spacing w:before="120"/>
              <w:ind w:firstLine="709" w:left="0"/>
              <w:jc w:val="center"/>
              <w:rPr>
                <w:b w:val="1"/>
                <w:sz w:val="24"/>
              </w:rPr>
            </w:pPr>
          </w:p>
        </w:tc>
      </w:tr>
    </w:tbl>
    <w:p w14:paraId="C5000000">
      <w:pPr>
        <w:widowControl w:val="0"/>
        <w:ind w:right="51"/>
        <w:jc w:val="center"/>
        <w:rPr>
          <w:b w:val="1"/>
        </w:rPr>
      </w:pPr>
      <w:r>
        <w:rPr>
          <w:b w:val="1"/>
          <w:i w:val="1"/>
          <w:sz w:val="24"/>
        </w:rPr>
        <w:br w:type="page"/>
      </w:r>
    </w:p>
    <w:p w14:paraId="C6000000">
      <w:pPr>
        <w:widowControl w:val="0"/>
        <w:ind/>
        <w:jc w:val="right"/>
        <w:rPr>
          <w:sz w:val="24"/>
        </w:rPr>
      </w:pPr>
    </w:p>
    <w:p w14:paraId="C7000000">
      <w:pPr>
        <w:widowControl w:val="0"/>
        <w:ind/>
        <w:jc w:val="right"/>
        <w:rPr>
          <w:sz w:val="24"/>
        </w:rPr>
      </w:pPr>
      <w:r>
        <w:rPr>
          <w:sz w:val="24"/>
        </w:rPr>
        <w:t>Приложение № 1</w:t>
      </w:r>
    </w:p>
    <w:p w14:paraId="C8000000">
      <w:pPr>
        <w:widowControl w:val="0"/>
        <w:ind/>
        <w:jc w:val="center"/>
        <w:rPr>
          <w:sz w:val="24"/>
        </w:rPr>
      </w:pPr>
      <w:r>
        <w:rPr>
          <w:sz w:val="24"/>
        </w:rPr>
        <w:t xml:space="preserve">        </w:t>
      </w:r>
      <w:r>
        <w:rPr>
          <w:sz w:val="24"/>
        </w:rPr>
        <w:t xml:space="preserve">                                                                                        </w:t>
      </w:r>
      <w:r>
        <w:rPr>
          <w:sz w:val="24"/>
        </w:rPr>
        <w:t xml:space="preserve"> к Контракту </w:t>
      </w:r>
      <w:r>
        <w:rPr>
          <w:sz w:val="24"/>
        </w:rPr>
        <w:t>от «_» ______20</w:t>
      </w:r>
      <w:r>
        <w:rPr>
          <w:sz w:val="24"/>
        </w:rPr>
        <w:t>2</w:t>
      </w:r>
      <w:r>
        <w:rPr>
          <w:sz w:val="24"/>
        </w:rPr>
        <w:t>_</w:t>
      </w:r>
      <w:r>
        <w:rPr>
          <w:sz w:val="24"/>
        </w:rPr>
        <w:t xml:space="preserve"> г.</w:t>
      </w:r>
    </w:p>
    <w:p w14:paraId="C9000000">
      <w:pPr>
        <w:widowControl w:val="0"/>
        <w:ind/>
        <w:jc w:val="center"/>
        <w:rPr>
          <w:sz w:val="24"/>
        </w:rPr>
      </w:pPr>
      <w:r>
        <w:rPr>
          <w:sz w:val="24"/>
        </w:rPr>
        <w:t xml:space="preserve">                                                </w:t>
      </w:r>
      <w:r>
        <w:rPr>
          <w:sz w:val="24"/>
        </w:rPr>
        <w:t xml:space="preserve"> </w:t>
      </w:r>
      <w:r>
        <w:rPr>
          <w:sz w:val="24"/>
        </w:rPr>
        <w:t>№___</w:t>
      </w:r>
    </w:p>
    <w:p w14:paraId="CA000000">
      <w:pPr>
        <w:widowControl w:val="0"/>
        <w:tabs>
          <w:tab w:leader="none" w:pos="4395" w:val="left"/>
        </w:tabs>
        <w:ind w:firstLine="567" w:left="0"/>
        <w:jc w:val="both"/>
        <w:rPr>
          <w:b w:val="1"/>
          <w:color w:themeColor="text1" w:val="000000"/>
          <w:sz w:val="24"/>
        </w:rPr>
      </w:pPr>
    </w:p>
    <w:p w14:paraId="CB000000">
      <w:pPr>
        <w:pStyle w:val="Style_6"/>
        <w:widowControl w:val="0"/>
        <w:spacing w:after="0" w:before="0"/>
        <w:ind/>
        <w:jc w:val="center"/>
        <w:rPr>
          <w:rFonts w:ascii="Times New Roman" w:hAnsi="Times New Roman"/>
          <w:caps w:val="1"/>
          <w:sz w:val="24"/>
        </w:rPr>
      </w:pPr>
      <w:r>
        <w:rPr>
          <w:rFonts w:ascii="Times New Roman" w:hAnsi="Times New Roman"/>
          <w:caps w:val="1"/>
          <w:sz w:val="24"/>
        </w:rPr>
        <w:t>Техническое задание</w:t>
      </w:r>
    </w:p>
    <w:p w14:paraId="CC000000">
      <w:pPr>
        <w:rPr>
          <w:sz w:val="24"/>
        </w:rPr>
      </w:pPr>
    </w:p>
    <w:p w14:paraId="CD000000">
      <w:pPr>
        <w:widowControl w:val="0"/>
        <w:ind/>
        <w:jc w:val="center"/>
        <w:rPr>
          <w:sz w:val="24"/>
        </w:rPr>
      </w:pPr>
      <w:r>
        <w:rPr>
          <w:sz w:val="24"/>
        </w:rPr>
        <w:t>на Выполнение кадастровых работ на территории Республики Бурятия</w:t>
      </w:r>
    </w:p>
    <w:p w14:paraId="CE000000">
      <w:pPr>
        <w:widowControl w:val="0"/>
        <w:numPr>
          <w:ilvl w:val="0"/>
          <w:numId w:val="3"/>
        </w:numPr>
        <w:ind w:firstLine="142" w:left="0"/>
        <w:jc w:val="left"/>
        <w:rPr>
          <w:b w:val="0"/>
          <w:sz w:val="24"/>
        </w:rPr>
      </w:pPr>
      <w:r>
        <w:rPr>
          <w:b w:val="1"/>
          <w:sz w:val="24"/>
        </w:rPr>
        <w:t xml:space="preserve">Объект закупки: </w:t>
      </w:r>
      <w:r>
        <w:rPr>
          <w:b w:val="0"/>
          <w:sz w:val="24"/>
        </w:rPr>
        <w:t xml:space="preserve">Подготовка заключения кадастрового инженера об отнесении объекта незавершенного строительства ( далее – ОНС, Сазаний питомник), расположенного по адресу: </w:t>
      </w:r>
      <w:r>
        <w:rPr>
          <w:color w:val="000000"/>
          <w:spacing w:val="0"/>
          <w:sz w:val="24"/>
        </w:rPr>
        <w:t>Республика Бурятия, Селенгинский район, улус Цайдам, к категории движимого имущества, права на которые не подлежат государственной регистрации, а также подтверждающего, что ОНС не может выступать в гражданском обороте в качестве самостоятельного объекта гражданских прав</w:t>
      </w:r>
    </w:p>
    <w:p w14:paraId="CF000000">
      <w:pPr>
        <w:widowControl w:val="0"/>
        <w:numPr>
          <w:ilvl w:val="0"/>
          <w:numId w:val="3"/>
        </w:numPr>
        <w:ind w:firstLine="142" w:left="0"/>
        <w:jc w:val="left"/>
        <w:rPr>
          <w:b w:val="0"/>
          <w:sz w:val="24"/>
        </w:rPr>
      </w:pPr>
      <w:r>
        <w:rPr>
          <w:b w:val="1"/>
          <w:sz w:val="24"/>
        </w:rPr>
        <w:t xml:space="preserve"> Срок выполнения работ.  </w:t>
      </w:r>
      <w:r>
        <w:rPr>
          <w:sz w:val="24"/>
        </w:rPr>
        <w:t xml:space="preserve">С даты заключения Контракта </w:t>
      </w:r>
      <w:r>
        <w:rPr>
          <w:sz w:val="24"/>
        </w:rPr>
        <w:t>в течение 10 календарных дней.</w:t>
      </w:r>
    </w:p>
    <w:p w14:paraId="D0000000">
      <w:pPr>
        <w:widowControl w:val="0"/>
        <w:numPr>
          <w:ilvl w:val="0"/>
          <w:numId w:val="3"/>
        </w:numPr>
        <w:ind w:firstLine="142" w:left="0"/>
        <w:jc w:val="left"/>
        <w:rPr>
          <w:b w:val="0"/>
          <w:sz w:val="24"/>
        </w:rPr>
      </w:pPr>
      <w:r>
        <w:rPr>
          <w:b w:val="1"/>
          <w:sz w:val="24"/>
        </w:rPr>
        <w:t xml:space="preserve">Место выполнения работ: </w:t>
      </w:r>
      <w:r>
        <w:rPr>
          <w:color w:val="000000"/>
          <w:spacing w:val="0"/>
          <w:sz w:val="24"/>
        </w:rPr>
        <w:t xml:space="preserve">Республика Бурятия, Селенгинский район, улус Цайдам с обязательным выездом к месту нахождения ОНС и последующим представлением результата исполнения контракта по адресу:670024, Республика Бурятия, г. Улан-Удэ, ул. Коммунистическая. д.50 </w:t>
      </w:r>
    </w:p>
    <w:p w14:paraId="D1000000">
      <w:pPr>
        <w:widowControl w:val="0"/>
        <w:ind/>
        <w:jc w:val="center"/>
        <w:rPr>
          <w:sz w:val="24"/>
        </w:rPr>
      </w:pPr>
    </w:p>
    <w:p w14:paraId="D2000000">
      <w:pPr>
        <w:widowControl w:val="0"/>
        <w:ind/>
        <w:jc w:val="center"/>
        <w:rPr>
          <w:sz w:val="24"/>
        </w:rPr>
      </w:pPr>
      <w:r>
        <w:rPr>
          <w:b w:val="1"/>
          <w:sz w:val="24"/>
        </w:rPr>
        <w:t>Спецификация</w:t>
      </w:r>
    </w:p>
    <w:tbl>
      <w:tblPr>
        <w:tblStyle w:val="Style_2"/>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57"/>
        <w:gridCol w:w="4865"/>
        <w:gridCol w:w="947"/>
        <w:gridCol w:w="850"/>
        <w:gridCol w:w="1275"/>
        <w:gridCol w:w="1322"/>
      </w:tblGrid>
      <w:tr>
        <w:trPr>
          <w:trHeight w:hRule="atLeast" w:val="147"/>
        </w:trPr>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3000000">
            <w:pPr>
              <w:widowControl w:val="0"/>
              <w:ind/>
              <w:jc w:val="center"/>
              <w:rPr>
                <w:b w:val="1"/>
                <w:sz w:val="24"/>
              </w:rPr>
            </w:pPr>
            <w:r>
              <w:rPr>
                <w:b w:val="1"/>
                <w:sz w:val="24"/>
              </w:rPr>
              <w:t>№</w:t>
            </w:r>
          </w:p>
          <w:p w14:paraId="D4000000">
            <w:pPr>
              <w:widowControl w:val="0"/>
              <w:ind/>
              <w:jc w:val="center"/>
              <w:rPr>
                <w:b w:val="1"/>
                <w:sz w:val="24"/>
              </w:rPr>
            </w:pPr>
            <w:r>
              <w:rPr>
                <w:b w:val="1"/>
                <w:sz w:val="24"/>
              </w:rPr>
              <w:t>п/п</w:t>
            </w:r>
          </w:p>
        </w:tc>
        <w:tc>
          <w:tcPr>
            <w:tcW w:type="dxa" w:w="48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5000000">
            <w:pPr>
              <w:widowControl w:val="0"/>
              <w:ind/>
              <w:jc w:val="center"/>
              <w:rPr>
                <w:b w:val="1"/>
                <w:sz w:val="24"/>
              </w:rPr>
            </w:pPr>
            <w:r>
              <w:rPr>
                <w:b w:val="1"/>
                <w:sz w:val="24"/>
              </w:rPr>
              <w:t>Наименование услуги/код позиции КТРУ</w:t>
            </w:r>
          </w:p>
        </w:tc>
        <w:tc>
          <w:tcPr>
            <w:tcW w:type="dxa" w:w="9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6000000">
            <w:pPr>
              <w:widowControl w:val="0"/>
              <w:ind/>
              <w:jc w:val="center"/>
              <w:rPr>
                <w:b w:val="1"/>
                <w:sz w:val="24"/>
              </w:rPr>
            </w:pPr>
            <w:r>
              <w:rPr>
                <w:b w:val="1"/>
                <w:sz w:val="24"/>
              </w:rPr>
              <w:t>Ед. изм.</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7000000">
            <w:pPr>
              <w:widowControl w:val="0"/>
              <w:ind/>
              <w:jc w:val="center"/>
              <w:rPr>
                <w:b w:val="1"/>
                <w:sz w:val="24"/>
              </w:rPr>
            </w:pPr>
            <w:r>
              <w:rPr>
                <w:b w:val="1"/>
                <w:sz w:val="24"/>
              </w:rPr>
              <w:t>Коли-чество</w:t>
            </w:r>
          </w:p>
        </w:tc>
        <w:tc>
          <w:tcPr>
            <w:tcW w:type="dxa" w:w="12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widowControl w:val="0"/>
              <w:ind/>
              <w:jc w:val="center"/>
              <w:rPr>
                <w:b w:val="1"/>
                <w:sz w:val="24"/>
              </w:rPr>
            </w:pPr>
            <w:r>
              <w:rPr>
                <w:b w:val="1"/>
                <w:sz w:val="24"/>
              </w:rPr>
              <w:t>Стоимость услуг за ед., руб</w:t>
            </w:r>
            <w:r>
              <w:rPr>
                <w:b w:val="1"/>
                <w:sz w:val="24"/>
              </w:rPr>
              <w:t>., с/ без НДС</w:t>
            </w:r>
          </w:p>
        </w:tc>
        <w:tc>
          <w:tcPr>
            <w:tcW w:type="dxa" w:w="13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00000">
            <w:pPr>
              <w:widowControl w:val="0"/>
              <w:ind/>
              <w:jc w:val="center"/>
              <w:rPr>
                <w:b w:val="1"/>
                <w:sz w:val="24"/>
              </w:rPr>
            </w:pPr>
            <w:r>
              <w:rPr>
                <w:b w:val="1"/>
                <w:sz w:val="24"/>
              </w:rPr>
              <w:t>Итого на сумму, всего, руб</w:t>
            </w:r>
            <w:r>
              <w:rPr>
                <w:b w:val="1"/>
                <w:sz w:val="24"/>
              </w:rPr>
              <w:t>, с/без НДС</w:t>
            </w:r>
          </w:p>
        </w:tc>
      </w:tr>
      <w:tr>
        <w:trPr>
          <w:trHeight w:hRule="atLeast" w:val="1389"/>
        </w:trPr>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A000000">
            <w:pPr>
              <w:widowControl w:val="0"/>
              <w:ind/>
              <w:jc w:val="center"/>
              <w:rPr>
                <w:sz w:val="24"/>
              </w:rPr>
            </w:pPr>
            <w:r>
              <w:rPr>
                <w:sz w:val="24"/>
              </w:rPr>
              <w:t>1</w:t>
            </w:r>
          </w:p>
        </w:tc>
        <w:tc>
          <w:tcPr>
            <w:tcW w:type="dxa" w:w="48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B000000">
            <w:pPr>
              <w:widowControl w:val="0"/>
              <w:tabs>
                <w:tab w:leader="none" w:pos="4395" w:val="left"/>
              </w:tabs>
              <w:ind/>
              <w:jc w:val="center"/>
              <w:rPr>
                <w:sz w:val="24"/>
              </w:rPr>
            </w:pPr>
            <w:r>
              <w:rPr>
                <w:color w:val="000000"/>
                <w:spacing w:val="0"/>
                <w:sz w:val="24"/>
              </w:rPr>
              <w:t>Проведение кадастровых работ. Выполнение кадастровых работ на территории Республики Бурятия</w:t>
            </w:r>
          </w:p>
          <w:p w14:paraId="DC000000">
            <w:pPr>
              <w:widowControl w:val="0"/>
              <w:tabs>
                <w:tab w:leader="none" w:pos="4395" w:val="left"/>
              </w:tabs>
              <w:ind/>
              <w:jc w:val="center"/>
              <w:rPr>
                <w:sz w:val="24"/>
              </w:rPr>
            </w:pPr>
            <w:r>
              <w:rPr>
                <w:sz w:val="24"/>
              </w:rPr>
              <w:t>ОКПД2: 71.12.35.110</w:t>
            </w:r>
            <w:r>
              <w:rPr>
                <w:sz w:val="24"/>
              </w:rPr>
              <w:t xml:space="preserve"> – Услуги в области кадастровой деятельности</w:t>
            </w:r>
          </w:p>
        </w:tc>
        <w:tc>
          <w:tcPr>
            <w:tcW w:type="dxa" w:w="9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D000000">
            <w:pPr>
              <w:rPr>
                <w:sz w:val="24"/>
              </w:rPr>
            </w:pPr>
            <w:r>
              <w:rPr>
                <w:sz w:val="24"/>
              </w:rPr>
              <w:t>усл.ед</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00000">
            <w:pPr>
              <w:widowControl w:val="0"/>
              <w:ind/>
              <w:jc w:val="center"/>
              <w:rPr>
                <w:sz w:val="24"/>
              </w:rPr>
            </w:pPr>
            <w:r>
              <w:rPr>
                <w:sz w:val="24"/>
              </w:rPr>
              <w:t>1</w:t>
            </w:r>
          </w:p>
        </w:tc>
        <w:tc>
          <w:tcPr>
            <w:tcW w:type="dxa" w:w="12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00000">
            <w:pPr>
              <w:widowControl w:val="0"/>
              <w:ind/>
              <w:jc w:val="center"/>
              <w:rPr>
                <w:sz w:val="24"/>
              </w:rPr>
            </w:pPr>
          </w:p>
        </w:tc>
        <w:tc>
          <w:tcPr>
            <w:tcW w:type="dxa" w:w="13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widowControl w:val="0"/>
              <w:ind/>
              <w:jc w:val="center"/>
              <w:rPr>
                <w:sz w:val="24"/>
              </w:rPr>
            </w:pPr>
          </w:p>
        </w:tc>
      </w:tr>
      <w:tr>
        <w:trPr>
          <w:trHeight w:hRule="atLeast" w:val="439"/>
        </w:trPr>
        <w:tc>
          <w:tcPr>
            <w:tcW w:type="dxa" w:w="6569"/>
            <w:gridSpan w:val="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00000">
            <w:pPr>
              <w:rPr>
                <w:sz w:val="24"/>
              </w:rPr>
            </w:pPr>
            <w:r>
              <w:rPr>
                <w:sz w:val="24"/>
              </w:rPr>
              <w:t>ВСЕГО:</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2000000">
            <w:pPr>
              <w:widowControl w:val="0"/>
              <w:ind/>
              <w:jc w:val="center"/>
              <w:rPr>
                <w:sz w:val="24"/>
              </w:rPr>
            </w:pPr>
          </w:p>
        </w:tc>
        <w:tc>
          <w:tcPr>
            <w:tcW w:type="dxa" w:w="12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00000">
            <w:pPr>
              <w:widowControl w:val="0"/>
              <w:ind/>
              <w:jc w:val="center"/>
              <w:rPr>
                <w:sz w:val="24"/>
              </w:rPr>
            </w:pPr>
          </w:p>
        </w:tc>
        <w:tc>
          <w:tcPr>
            <w:tcW w:type="dxa" w:w="13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00000">
            <w:pPr>
              <w:widowControl w:val="0"/>
              <w:ind/>
              <w:jc w:val="center"/>
              <w:rPr>
                <w:sz w:val="24"/>
              </w:rPr>
            </w:pPr>
            <w:r>
              <w:rPr>
                <w:sz w:val="24"/>
              </w:rPr>
              <w:t>ххх</w:t>
            </w:r>
          </w:p>
        </w:tc>
      </w:tr>
    </w:tbl>
    <w:p w14:paraId="E5000000">
      <w:pPr>
        <w:widowControl w:val="0"/>
        <w:ind/>
        <w:jc w:val="both"/>
        <w:outlineLvl w:val="0"/>
        <w:rPr>
          <w:b w:val="1"/>
          <w:sz w:val="24"/>
        </w:rPr>
      </w:pPr>
      <w:r>
        <w:rPr>
          <w:b w:val="1"/>
          <w:sz w:val="24"/>
        </w:rPr>
        <w:t xml:space="preserve">Всего на сумму: </w:t>
      </w:r>
      <w:r>
        <w:rPr>
          <w:sz w:val="24"/>
        </w:rPr>
        <w:t>________ (_________) рублей ___ копеек (цена, предложенная участником, цифрами и прописью),  включая НДС __% в сумме ________ рублей ___ копеек (</w:t>
      </w:r>
      <w:r>
        <w:rPr>
          <w:spacing w:val="-2"/>
          <w:sz w:val="24"/>
        </w:rPr>
        <w:t>в случае, е</w:t>
      </w:r>
      <w:r>
        <w:rPr>
          <w:sz w:val="24"/>
        </w:rPr>
        <w:t>сли Исполнитель имеет право на освобождение от уплаты НДС, то слова «включая НДС» заменяются на слова «НДС не облагается»)</w:t>
      </w:r>
    </w:p>
    <w:p w14:paraId="E6000000">
      <w:pPr>
        <w:widowControl w:val="0"/>
        <w:ind/>
        <w:jc w:val="both"/>
        <w:rPr>
          <w:b w:val="1"/>
          <w:sz w:val="22"/>
        </w:rPr>
      </w:pPr>
    </w:p>
    <w:p w14:paraId="E7000000">
      <w:pPr>
        <w:pStyle w:val="Style_7"/>
        <w:widowControl w:val="0"/>
        <w:numPr>
          <w:ilvl w:val="0"/>
          <w:numId w:val="3"/>
        </w:numPr>
        <w:ind w:right="0"/>
        <w:jc w:val="both"/>
        <w:rPr>
          <w:sz w:val="24"/>
        </w:rPr>
      </w:pPr>
      <w:r>
        <w:rPr>
          <w:b w:val="1"/>
          <w:sz w:val="24"/>
        </w:rPr>
        <w:t>Функциональные, технические и качественные характеристики, эксплуатационные характеристики объекта закупки</w:t>
      </w:r>
    </w:p>
    <w:p w14:paraId="E8000000">
      <w:pPr>
        <w:pStyle w:val="Style_7"/>
        <w:widowControl w:val="0"/>
        <w:spacing w:after="88" w:before="0"/>
        <w:ind/>
        <w:jc w:val="center"/>
        <w:rPr>
          <w:b w:val="1"/>
          <w:sz w:val="24"/>
        </w:rPr>
      </w:pPr>
    </w:p>
    <w:p w14:paraId="E9000000">
      <w:pPr>
        <w:pStyle w:val="Style_7"/>
        <w:widowControl w:val="0"/>
        <w:spacing w:after="88" w:before="0"/>
        <w:ind/>
        <w:jc w:val="center"/>
        <w:rPr>
          <w:b w:val="0"/>
          <w:sz w:val="24"/>
        </w:rPr>
      </w:pPr>
      <w:r>
        <w:rPr>
          <w:b w:val="0"/>
          <w:sz w:val="24"/>
        </w:rPr>
        <w:t>Перечень объектов, в отношении которых необходимо проведение кадастровых работ, предусмотренных настоящим техническим заданием</w:t>
      </w:r>
    </w:p>
    <w:p w14:paraId="EA000000">
      <w:pPr>
        <w:pStyle w:val="Style_7"/>
        <w:widowControl w:val="0"/>
        <w:spacing w:after="88" w:before="0"/>
        <w:ind/>
        <w:jc w:val="center"/>
        <w:rPr>
          <w:b w:val="0"/>
          <w:sz w:val="24"/>
        </w:rPr>
      </w:pPr>
    </w:p>
    <w:tbl>
      <w:tblPr>
        <w:tblStyle w:val="Style_2"/>
        <w:tblW w:type="auto" w:w="0"/>
        <w:jc w:val="left"/>
        <w:tblInd w:type="dxa" w:w="115"/>
        <w:tblLayout w:type="fixed"/>
        <w:tblCellMar>
          <w:top w:type="dxa" w:w="0"/>
          <w:left w:type="dxa" w:w="108"/>
          <w:bottom w:type="dxa" w:w="0"/>
          <w:right w:type="dxa" w:w="108"/>
        </w:tblCellMar>
      </w:tblPr>
      <w:tblGrid>
        <w:gridCol w:w="455"/>
        <w:gridCol w:w="2115"/>
        <w:gridCol w:w="2530"/>
        <w:gridCol w:w="1077"/>
        <w:gridCol w:w="1839"/>
        <w:gridCol w:w="2061"/>
      </w:tblGrid>
      <w:tr>
        <w:trPr>
          <w:trHeight w:hRule="atLeast" w:val="300"/>
        </w:trPr>
        <w:tc>
          <w:tcPr>
            <w:tcW w:type="dxa" w:w="45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B000000">
            <w:pPr>
              <w:pStyle w:val="Style_7"/>
              <w:widowControl w:val="0"/>
              <w:spacing w:after="0" w:before="0"/>
              <w:ind w:firstLine="0" w:left="0" w:right="0"/>
              <w:jc w:val="center"/>
              <w:rPr>
                <w:b w:val="1"/>
                <w:sz w:val="24"/>
              </w:rPr>
            </w:pPr>
            <w:r>
              <w:rPr>
                <w:b w:val="1"/>
                <w:color w:val="000000"/>
                <w:spacing w:val="0"/>
                <w:sz w:val="24"/>
              </w:rPr>
              <w:t xml:space="preserve">№ </w:t>
            </w:r>
            <w:r>
              <w:rPr>
                <w:b w:val="1"/>
                <w:color w:val="000000"/>
                <w:spacing w:val="0"/>
                <w:sz w:val="24"/>
              </w:rPr>
              <w:t>п/п</w:t>
            </w:r>
          </w:p>
        </w:tc>
        <w:tc>
          <w:tcPr>
            <w:tcW w:type="dxa" w:w="211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C000000">
            <w:pPr>
              <w:pStyle w:val="Style_7"/>
              <w:widowControl w:val="0"/>
              <w:spacing w:after="0" w:before="0"/>
              <w:ind w:firstLine="0" w:left="0" w:right="0"/>
              <w:jc w:val="center"/>
              <w:rPr>
                <w:b w:val="1"/>
                <w:sz w:val="24"/>
              </w:rPr>
            </w:pPr>
            <w:r>
              <w:rPr>
                <w:b w:val="1"/>
                <w:color w:val="000000"/>
                <w:spacing w:val="0"/>
                <w:sz w:val="24"/>
              </w:rPr>
              <w:t>Наименование объекта</w:t>
            </w:r>
          </w:p>
        </w:tc>
        <w:tc>
          <w:tcPr>
            <w:tcW w:type="dxa" w:w="2530"/>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D000000">
            <w:pPr>
              <w:pStyle w:val="Style_7"/>
              <w:widowControl w:val="0"/>
              <w:spacing w:after="0" w:before="0"/>
              <w:ind w:firstLine="0" w:left="0" w:right="0"/>
              <w:jc w:val="center"/>
              <w:rPr>
                <w:b w:val="1"/>
                <w:sz w:val="24"/>
              </w:rPr>
            </w:pPr>
            <w:r>
              <w:rPr>
                <w:b w:val="1"/>
                <w:color w:val="000000"/>
                <w:spacing w:val="0"/>
                <w:sz w:val="24"/>
              </w:rPr>
              <w:t>Адрес объекта</w:t>
            </w:r>
          </w:p>
        </w:tc>
        <w:tc>
          <w:tcPr>
            <w:tcW w:type="dxa" w:w="1077"/>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E000000">
            <w:pPr>
              <w:pStyle w:val="Style_7"/>
              <w:widowControl w:val="0"/>
              <w:spacing w:after="0" w:before="0"/>
              <w:ind w:firstLine="0" w:left="0" w:right="0"/>
              <w:jc w:val="center"/>
              <w:rPr>
                <w:b w:val="1"/>
                <w:sz w:val="24"/>
              </w:rPr>
            </w:pPr>
            <w:r>
              <w:rPr>
                <w:b w:val="1"/>
                <w:color w:val="000000"/>
                <w:spacing w:val="0"/>
                <w:sz w:val="24"/>
              </w:rPr>
              <w:t>Площадь объекта (кв. м)</w:t>
            </w:r>
          </w:p>
        </w:tc>
        <w:tc>
          <w:tcPr>
            <w:tcW w:type="dxa" w:w="1839"/>
            <w:tcBorders>
              <w:top w:color="000000" w:sz="6" w:val="single"/>
              <w:left w:color="000000" w:sz="6" w:val="single"/>
              <w:bottom w:color="000000" w:sz="6" w:val="single"/>
            </w:tcBorders>
            <w:tcMar>
              <w:top w:type="dxa" w:w="0"/>
              <w:left w:type="dxa" w:w="108"/>
              <w:bottom w:type="dxa" w:w="0"/>
              <w:right w:type="dxa" w:w="108"/>
            </w:tcMar>
          </w:tcPr>
          <w:p w14:paraId="EF000000">
            <w:pPr>
              <w:pStyle w:val="Style_7"/>
              <w:widowControl w:val="0"/>
              <w:spacing w:after="0" w:before="0"/>
              <w:ind w:firstLine="0" w:left="0" w:right="0"/>
              <w:jc w:val="center"/>
              <w:rPr>
                <w:b w:val="1"/>
                <w:sz w:val="24"/>
              </w:rPr>
            </w:pPr>
            <w:r>
              <w:rPr>
                <w:b w:val="1"/>
                <w:color w:val="000000"/>
                <w:spacing w:val="0"/>
                <w:sz w:val="24"/>
              </w:rPr>
              <w:t>Отдельно стоящее/встроенное/помещение</w:t>
            </w:r>
          </w:p>
        </w:tc>
        <w:tc>
          <w:tcPr>
            <w:tcW w:type="dxa" w:w="2061"/>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0000000">
            <w:pPr>
              <w:pStyle w:val="Style_7"/>
              <w:widowControl w:val="0"/>
              <w:spacing w:after="0" w:before="0"/>
              <w:ind w:firstLine="0" w:left="0" w:right="0"/>
              <w:jc w:val="center"/>
              <w:rPr>
                <w:b w:val="1"/>
                <w:sz w:val="24"/>
              </w:rPr>
            </w:pPr>
            <w:r>
              <w:rPr>
                <w:b w:val="1"/>
                <w:sz w:val="24"/>
              </w:rPr>
              <w:t>Цель проведения работ</w:t>
            </w:r>
          </w:p>
        </w:tc>
      </w:tr>
      <w:tr>
        <w:trPr>
          <w:trHeight w:hRule="atLeast" w:val="300"/>
        </w:trPr>
        <w:tc>
          <w:tcPr>
            <w:tcW w:type="dxa" w:w="455"/>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1000000">
            <w:pPr>
              <w:pStyle w:val="Style_7"/>
              <w:widowControl w:val="0"/>
              <w:spacing w:after="0" w:before="0"/>
              <w:ind w:firstLine="0" w:left="0" w:right="0"/>
              <w:jc w:val="center"/>
              <w:rPr>
                <w:sz w:val="24"/>
              </w:rPr>
            </w:pPr>
            <w:r>
              <w:rPr>
                <w:color w:val="000000"/>
                <w:spacing w:val="0"/>
                <w:sz w:val="24"/>
              </w:rPr>
              <w:t>1</w:t>
            </w:r>
          </w:p>
        </w:tc>
        <w:tc>
          <w:tcPr>
            <w:tcW w:type="dxa" w:w="2115"/>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2000000">
            <w:pPr>
              <w:pStyle w:val="Style_7"/>
              <w:widowControl w:val="0"/>
              <w:spacing w:after="0" w:before="0"/>
              <w:ind w:firstLine="0" w:left="0" w:right="0"/>
              <w:jc w:val="center"/>
              <w:rPr>
                <w:sz w:val="24"/>
              </w:rPr>
            </w:pPr>
            <w:r>
              <w:rPr>
                <w:color w:val="000000"/>
                <w:spacing w:val="0"/>
                <w:sz w:val="24"/>
              </w:rPr>
              <w:t>Объект незавершенного строительства «Сазаний питомник»</w:t>
            </w:r>
          </w:p>
        </w:tc>
        <w:tc>
          <w:tcPr>
            <w:tcW w:type="dxa" w:w="2530"/>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3000000">
            <w:pPr>
              <w:pStyle w:val="Style_7"/>
              <w:widowControl w:val="0"/>
              <w:spacing w:after="0" w:before="0"/>
              <w:ind w:firstLine="0" w:left="0" w:right="0"/>
              <w:jc w:val="center"/>
              <w:rPr>
                <w:sz w:val="24"/>
              </w:rPr>
            </w:pPr>
            <w:r>
              <w:rPr>
                <w:color w:val="000000"/>
                <w:spacing w:val="0"/>
                <w:sz w:val="24"/>
              </w:rPr>
              <w:t>Республика Бурятия, Селенгинский район, улус Цайдам</w:t>
            </w:r>
          </w:p>
        </w:tc>
        <w:tc>
          <w:tcPr>
            <w:tcW w:type="dxa" w:w="1077"/>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4000000">
            <w:pPr>
              <w:pStyle w:val="Style_7"/>
              <w:widowControl w:val="0"/>
              <w:spacing w:after="0" w:before="0"/>
              <w:ind w:firstLine="0" w:left="0" w:right="0"/>
              <w:jc w:val="center"/>
              <w:rPr>
                <w:sz w:val="24"/>
              </w:rPr>
            </w:pPr>
            <w:r>
              <w:rPr>
                <w:sz w:val="24"/>
              </w:rPr>
              <w:t>9162</w:t>
            </w:r>
          </w:p>
        </w:tc>
        <w:tc>
          <w:tcPr>
            <w:tcW w:type="dxa" w:w="1839"/>
            <w:tcBorders>
              <w:top w:color="000000" w:sz="6" w:val="single"/>
              <w:left w:color="000000" w:sz="6" w:val="single"/>
              <w:bottom w:color="000000" w:sz="6" w:val="single"/>
            </w:tcBorders>
            <w:shd w:fill="FFFFFF" w:val="clear"/>
            <w:tcMar>
              <w:top w:type="dxa" w:w="0"/>
              <w:left w:type="dxa" w:w="108"/>
              <w:bottom w:type="dxa" w:w="0"/>
              <w:right w:type="dxa" w:w="108"/>
            </w:tcMar>
          </w:tcPr>
          <w:p w14:paraId="F5000000">
            <w:pPr>
              <w:pStyle w:val="Style_7"/>
              <w:widowControl w:val="0"/>
              <w:spacing w:after="0" w:before="0"/>
              <w:ind w:firstLine="0" w:left="0" w:right="0"/>
              <w:jc w:val="center"/>
              <w:rPr>
                <w:sz w:val="24"/>
              </w:rPr>
            </w:pPr>
            <w:r>
              <w:rPr>
                <w:color w:val="000000"/>
                <w:spacing w:val="0"/>
                <w:sz w:val="24"/>
              </w:rPr>
              <w:t>Отдельно стоящее</w:t>
            </w:r>
          </w:p>
        </w:tc>
        <w:tc>
          <w:tcPr>
            <w:tcW w:type="dxa" w:w="2061"/>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6000000">
            <w:pPr>
              <w:pStyle w:val="Style_7"/>
              <w:widowControl w:val="0"/>
              <w:spacing w:after="0" w:before="0"/>
              <w:ind w:firstLine="0" w:left="0" w:right="0"/>
              <w:jc w:val="center"/>
              <w:rPr>
                <w:sz w:val="24"/>
              </w:rPr>
            </w:pPr>
            <w:r>
              <w:rPr>
                <w:sz w:val="24"/>
              </w:rPr>
              <w:t>Отнесение ОНС к категории движимого имущества</w:t>
            </w:r>
          </w:p>
        </w:tc>
      </w:tr>
    </w:tbl>
    <w:p w14:paraId="F7000000">
      <w:pPr>
        <w:pStyle w:val="Style_7"/>
        <w:widowControl w:val="0"/>
        <w:spacing w:line="276" w:lineRule="auto"/>
        <w:ind/>
        <w:jc w:val="right"/>
        <w:rPr>
          <w:b w:val="1"/>
          <w:sz w:val="24"/>
        </w:rPr>
      </w:pPr>
    </w:p>
    <w:p w14:paraId="F8000000">
      <w:pPr>
        <w:pStyle w:val="Style_7"/>
        <w:widowControl w:val="0"/>
        <w:ind/>
        <w:jc w:val="center"/>
        <w:rPr>
          <w:sz w:val="24"/>
        </w:rPr>
      </w:pPr>
    </w:p>
    <w:p w14:paraId="F9000000">
      <w:pPr>
        <w:pStyle w:val="Style_7"/>
        <w:widowControl w:val="0"/>
        <w:numPr>
          <w:ilvl w:val="0"/>
          <w:numId w:val="3"/>
        </w:numPr>
        <w:ind/>
        <w:jc w:val="center"/>
        <w:rPr>
          <w:sz w:val="24"/>
        </w:rPr>
      </w:pPr>
      <w:r>
        <w:rPr>
          <w:b w:val="1"/>
          <w:sz w:val="24"/>
        </w:rPr>
        <w:t>Состав кадастровых работ, предусмотренных настоящим техническим заданием</w:t>
      </w:r>
    </w:p>
    <w:p w14:paraId="FA000000">
      <w:pPr>
        <w:pStyle w:val="Style_7"/>
        <w:widowControl w:val="0"/>
        <w:ind/>
        <w:jc w:val="center"/>
        <w:rPr>
          <w:sz w:val="24"/>
        </w:rPr>
      </w:pPr>
    </w:p>
    <w:p w14:paraId="FB00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5.1.</w:t>
      </w:r>
      <w:r>
        <w:rPr>
          <w:rFonts w:ascii="Times New Roman" w:hAnsi="Times New Roman"/>
          <w:sz w:val="24"/>
        </w:rPr>
        <w:t>Анализ исходных материалов</w:t>
      </w:r>
      <w:r>
        <w:rPr>
          <w:rFonts w:ascii="Times New Roman" w:hAnsi="Times New Roman"/>
          <w:sz w:val="24"/>
        </w:rPr>
        <w:t>;</w:t>
      </w:r>
    </w:p>
    <w:p w14:paraId="FC000000">
      <w:pPr>
        <w:widowControl w:val="1"/>
        <w:spacing w:after="0" w:before="0" w:line="276" w:lineRule="auto"/>
        <w:ind w:firstLine="708"/>
        <w:jc w:val="both"/>
        <w:rPr>
          <w:rFonts w:ascii="Times New Roman" w:hAnsi="Times New Roman"/>
          <w:sz w:val="24"/>
        </w:rPr>
      </w:pPr>
      <w:r>
        <w:rPr>
          <w:rFonts w:ascii="Times New Roman" w:hAnsi="Times New Roman"/>
          <w:sz w:val="24"/>
        </w:rPr>
        <w:t>5.2.</w:t>
      </w:r>
      <w:r>
        <w:rPr>
          <w:rFonts w:ascii="Times New Roman" w:hAnsi="Times New Roman"/>
          <w:sz w:val="24"/>
        </w:rPr>
        <w:t>Проведение кадастровых работ на ОНС;</w:t>
      </w:r>
    </w:p>
    <w:p w14:paraId="FD000000">
      <w:pPr>
        <w:widowControl w:val="1"/>
        <w:spacing w:after="0" w:before="0" w:line="276" w:lineRule="auto"/>
        <w:ind w:firstLine="708"/>
        <w:jc w:val="both"/>
        <w:rPr>
          <w:rFonts w:ascii="Times New Roman" w:hAnsi="Times New Roman"/>
          <w:sz w:val="24"/>
        </w:rPr>
      </w:pPr>
      <w:r>
        <w:rPr>
          <w:rFonts w:ascii="Times New Roman" w:hAnsi="Times New Roman"/>
          <w:sz w:val="24"/>
        </w:rPr>
        <w:t xml:space="preserve">5.3. Проведение работ по изготовлению </w:t>
      </w:r>
      <w:r>
        <w:rPr>
          <w:rFonts w:ascii="Times New Roman" w:hAnsi="Times New Roman"/>
          <w:sz w:val="24"/>
        </w:rPr>
        <w:t xml:space="preserve">заключения кадастрового инженера Заказчику; </w:t>
      </w:r>
    </w:p>
    <w:p w14:paraId="FE000000">
      <w:pPr>
        <w:widowControl w:val="1"/>
        <w:spacing w:after="0" w:before="0" w:line="276" w:lineRule="auto"/>
        <w:ind w:firstLine="708"/>
        <w:jc w:val="both"/>
        <w:rPr>
          <w:rFonts w:ascii="Times New Roman" w:hAnsi="Times New Roman"/>
          <w:sz w:val="24"/>
        </w:rPr>
      </w:pPr>
      <w:r>
        <w:rPr>
          <w:rFonts w:ascii="Times New Roman" w:hAnsi="Times New Roman"/>
          <w:sz w:val="24"/>
        </w:rPr>
        <w:t>5.5. Сдача результатов выполненных работ Заказчику согласно акту приема – передачи.</w:t>
      </w:r>
    </w:p>
    <w:p w14:paraId="FF000000">
      <w:pPr>
        <w:widowControl w:val="1"/>
        <w:spacing w:after="0" w:before="0" w:line="276" w:lineRule="auto"/>
        <w:ind w:firstLine="708"/>
        <w:jc w:val="both"/>
        <w:outlineLvl w:val="0"/>
        <w:rPr>
          <w:rFonts w:ascii="Times New Roman" w:hAnsi="Times New Roman"/>
          <w:b w:val="1"/>
          <w:sz w:val="24"/>
        </w:rPr>
      </w:pPr>
      <w:r>
        <w:rPr>
          <w:rFonts w:ascii="Times New Roman" w:hAnsi="Times New Roman"/>
          <w:b w:val="1"/>
          <w:sz w:val="24"/>
        </w:rPr>
        <w:t>6.Выходные материалы:</w:t>
      </w:r>
    </w:p>
    <w:p w14:paraId="00010000">
      <w:pPr>
        <w:widowControl w:val="1"/>
        <w:spacing w:after="0" w:before="0" w:line="276" w:lineRule="auto"/>
        <w:ind w:firstLine="708"/>
        <w:jc w:val="both"/>
        <w:rPr>
          <w:rFonts w:ascii="Times New Roman" w:hAnsi="Times New Roman"/>
          <w:sz w:val="24"/>
        </w:rPr>
      </w:pPr>
      <w:r>
        <w:rPr>
          <w:rFonts w:ascii="Times New Roman" w:hAnsi="Times New Roman"/>
          <w:sz w:val="24"/>
        </w:rPr>
        <w:t>6.1. З</w:t>
      </w:r>
      <w:r>
        <w:rPr>
          <w:rFonts w:ascii="Times New Roman" w:hAnsi="Times New Roman"/>
          <w:sz w:val="24"/>
        </w:rPr>
        <w:t>аключение кадастрового инженера об отнесении объекта незавершенного строительства (Сазаний питомник, ОНС), расположенного по адресу: Республика Буря</w:t>
      </w:r>
      <w:r>
        <w:rPr>
          <w:rFonts w:ascii="Times New Roman" w:hAnsi="Times New Roman"/>
          <w:sz w:val="24"/>
        </w:rPr>
        <w:t>тия, Селенгинский район, улус Цайдам, к категории движимого имущества, права на которые не подлежат государственной регистрации, а также подтверждающего, что ОНС не может выступать в гражданском обороте в качестве самостоятельного объекта гражданских прав.</w:t>
      </w:r>
      <w:r>
        <w:rPr>
          <w:rFonts w:ascii="Times New Roman" w:hAnsi="Times New Roman"/>
          <w:sz w:val="24"/>
        </w:rPr>
        <w:t xml:space="preserve"> </w:t>
      </w:r>
    </w:p>
    <w:p w14:paraId="01010000">
      <w:pPr>
        <w:widowControl w:val="1"/>
        <w:spacing w:after="0" w:before="0" w:line="276" w:lineRule="auto"/>
        <w:ind w:firstLine="708"/>
        <w:jc w:val="both"/>
        <w:outlineLvl w:val="0"/>
        <w:rPr>
          <w:rFonts w:ascii="Times New Roman" w:hAnsi="Times New Roman"/>
          <w:b w:val="1"/>
          <w:sz w:val="28"/>
        </w:rPr>
      </w:pPr>
      <w:r>
        <w:rPr>
          <w:rFonts w:ascii="Times New Roman" w:hAnsi="Times New Roman"/>
          <w:b w:val="1"/>
          <w:sz w:val="24"/>
        </w:rPr>
        <w:t xml:space="preserve">7.Условия выполнения работ </w:t>
      </w:r>
    </w:p>
    <w:p w14:paraId="02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7.1.В течение трех рабочих дней после подписания государственного контракта получить у Заказчика исходные материалы, необходимые для проведения работ.</w:t>
      </w:r>
    </w:p>
    <w:p w14:paraId="03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 xml:space="preserve">7.2.Обеспечить Заказчику возможность </w:t>
      </w:r>
      <w:r>
        <w:rPr>
          <w:rFonts w:ascii="Times New Roman" w:hAnsi="Times New Roman"/>
          <w:sz w:val="24"/>
        </w:rPr>
        <w:t>контроля за</w:t>
      </w:r>
      <w:r>
        <w:rPr>
          <w:rFonts w:ascii="Times New Roman" w:hAnsi="Times New Roman"/>
          <w:sz w:val="24"/>
        </w:rPr>
        <w:t xml:space="preserve"> ходом выполнения работ, в том числе представлять по его требованию отчеты о ходе выполнения работ.</w:t>
      </w:r>
    </w:p>
    <w:p w14:paraId="04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7.3.Устранять выявленные Заказчиком недостатки выполненных работ в сроки, установленные Заказчиком.</w:t>
      </w:r>
    </w:p>
    <w:p w14:paraId="05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7.4.Оплата производится за фактически надлежаще выполненный объем работ.</w:t>
      </w:r>
    </w:p>
    <w:p w14:paraId="06010000">
      <w:pPr>
        <w:widowControl w:val="1"/>
        <w:spacing w:after="0" w:before="0" w:line="276" w:lineRule="auto"/>
        <w:ind w:firstLine="708"/>
        <w:jc w:val="both"/>
        <w:rPr>
          <w:rFonts w:ascii="Times New Roman" w:hAnsi="Times New Roman"/>
          <w:b w:val="1"/>
          <w:sz w:val="24"/>
        </w:rPr>
      </w:pPr>
      <w:r>
        <w:rPr>
          <w:rFonts w:ascii="Times New Roman" w:hAnsi="Times New Roman"/>
          <w:b w:val="1"/>
          <w:sz w:val="24"/>
        </w:rPr>
        <w:t>8.Материалы, подлежащие передаче заказчику работ</w:t>
      </w:r>
    </w:p>
    <w:p w14:paraId="07010000">
      <w:pPr>
        <w:widowControl w:val="1"/>
        <w:spacing w:after="0" w:before="0" w:line="276" w:lineRule="auto"/>
        <w:ind w:firstLine="708"/>
        <w:jc w:val="both"/>
        <w:rPr>
          <w:rFonts w:ascii="Times New Roman" w:hAnsi="Times New Roman"/>
          <w:sz w:val="24"/>
        </w:rPr>
      </w:pPr>
      <w:r>
        <w:rPr>
          <w:rFonts w:ascii="Times New Roman" w:hAnsi="Times New Roman"/>
          <w:sz w:val="24"/>
        </w:rPr>
        <w:t xml:space="preserve">8.1. </w:t>
      </w:r>
      <w:r>
        <w:rPr>
          <w:rFonts w:ascii="Times New Roman" w:hAnsi="Times New Roman"/>
          <w:sz w:val="24"/>
        </w:rPr>
        <w:t>З</w:t>
      </w:r>
      <w:r>
        <w:rPr>
          <w:rFonts w:ascii="Times New Roman" w:hAnsi="Times New Roman"/>
          <w:sz w:val="24"/>
        </w:rPr>
        <w:t>аключение кадастрового инженера об отнесении объекта незавершенного строительства (Сазаний питомник, ОНС), расположенного по адресу: Республика Буря</w:t>
      </w:r>
      <w:r>
        <w:rPr>
          <w:rFonts w:ascii="Times New Roman" w:hAnsi="Times New Roman"/>
          <w:sz w:val="24"/>
        </w:rPr>
        <w:t>тия, Селенгинский район, улус Цайдам, к категории движимого имущества, права на которые не подлежат государственной регистрации, а также подтверждающего, что ОНС не может выступать в гражданском обороте в качестве самостоятельного объекта гражданских прав.</w:t>
      </w:r>
      <w:r>
        <w:rPr>
          <w:rFonts w:ascii="Times New Roman" w:hAnsi="Times New Roman"/>
          <w:sz w:val="24"/>
        </w:rPr>
        <w:t xml:space="preserve"> </w:t>
      </w:r>
      <w:r>
        <w:rPr>
          <w:rFonts w:ascii="Times New Roman" w:hAnsi="Times New Roman"/>
          <w:sz w:val="24"/>
        </w:rPr>
        <w:t>.</w:t>
      </w:r>
    </w:p>
    <w:p w14:paraId="08010000">
      <w:pPr>
        <w:widowControl w:val="1"/>
        <w:spacing w:after="0" w:before="0" w:line="276" w:lineRule="auto"/>
        <w:ind w:firstLine="708"/>
        <w:jc w:val="both"/>
        <w:rPr>
          <w:rFonts w:ascii="Times New Roman" w:hAnsi="Times New Roman"/>
          <w:b w:val="1"/>
          <w:sz w:val="28"/>
        </w:rPr>
      </w:pPr>
      <w:r>
        <w:rPr>
          <w:rFonts w:ascii="Times New Roman" w:hAnsi="Times New Roman"/>
          <w:b w:val="1"/>
          <w:sz w:val="24"/>
        </w:rPr>
        <w:t>9.Требования к проведению работ, оформлению их результатов</w:t>
      </w:r>
    </w:p>
    <w:p w14:paraId="09010000">
      <w:pPr>
        <w:widowControl w:val="1"/>
        <w:spacing w:after="0" w:before="0" w:line="276" w:lineRule="auto"/>
        <w:ind w:firstLine="708"/>
        <w:jc w:val="both"/>
        <w:rPr>
          <w:rFonts w:ascii="Times New Roman" w:hAnsi="Times New Roman"/>
          <w:sz w:val="24"/>
        </w:rPr>
      </w:pPr>
      <w:r>
        <w:rPr>
          <w:rFonts w:ascii="Times New Roman" w:hAnsi="Times New Roman"/>
          <w:sz w:val="24"/>
        </w:rPr>
        <w:t>Кадастровые работы и обеспечение осуществления государственного кадастрового учета объектов недвижимости должны быть выполнены в соответствии с требованиями действующего законодательства Российской Федерации:</w:t>
      </w:r>
    </w:p>
    <w:p w14:paraId="0A010000">
      <w:pPr>
        <w:widowControl w:val="1"/>
        <w:spacing w:after="0" w:before="0" w:line="276" w:lineRule="auto"/>
        <w:ind w:firstLine="708"/>
        <w:jc w:val="both"/>
        <w:rPr>
          <w:rFonts w:ascii="Times New Roman" w:hAnsi="Times New Roman"/>
          <w:sz w:val="24"/>
        </w:rPr>
      </w:pPr>
      <w:r>
        <w:rPr>
          <w:rFonts w:ascii="Times New Roman" w:hAnsi="Times New Roman"/>
          <w:sz w:val="24"/>
        </w:rPr>
        <w:t>-  Федерального закона от 24.07.2007 № 221-ФЗ «О кадастровой деятельности»;</w:t>
      </w:r>
    </w:p>
    <w:p w14:paraId="0B010000">
      <w:pPr>
        <w:widowControl w:val="1"/>
        <w:spacing w:after="0" w:before="0" w:line="276" w:lineRule="auto"/>
        <w:ind w:firstLine="708"/>
        <w:jc w:val="both"/>
        <w:rPr>
          <w:rFonts w:ascii="Times New Roman" w:hAnsi="Times New Roman"/>
          <w:sz w:val="24"/>
        </w:rPr>
      </w:pPr>
      <w:r>
        <w:rPr>
          <w:rFonts w:ascii="Times New Roman" w:hAnsi="Times New Roman"/>
          <w:sz w:val="24"/>
        </w:rPr>
        <w:t>- Федерального закона от 13.07.2015 № 218-ФЗ «О государственной регистрации недвижимости»;</w:t>
      </w:r>
    </w:p>
    <w:p w14:paraId="0C010000">
      <w:pPr>
        <w:widowControl w:val="1"/>
        <w:spacing w:after="0" w:before="0" w:line="276" w:lineRule="auto"/>
        <w:ind w:firstLine="708"/>
        <w:jc w:val="both"/>
        <w:rPr>
          <w:rFonts w:ascii="Times New Roman" w:hAnsi="Times New Roman"/>
          <w:sz w:val="24"/>
        </w:rPr>
      </w:pPr>
      <w:r>
        <w:rPr>
          <w:rFonts w:ascii="Times New Roman" w:hAnsi="Times New Roman"/>
          <w:sz w:val="24"/>
        </w:rPr>
        <w:t>- Приказа</w:t>
      </w:r>
      <w:r>
        <w:rPr>
          <w:rFonts w:ascii="Times New Roman" w:hAnsi="Times New Roman"/>
          <w:sz w:val="24"/>
        </w:rPr>
        <w:t xml:space="preserve"> </w:t>
      </w:r>
      <w:r>
        <w:rPr>
          <w:rFonts w:ascii="Times New Roman" w:hAnsi="Times New Roman"/>
          <w:sz w:val="24"/>
        </w:rPr>
        <w:t>Росреестра</w:t>
      </w:r>
      <w:r>
        <w:rPr>
          <w:rFonts w:ascii="Times New Roman" w:hAnsi="Times New Roman"/>
          <w:sz w:val="24"/>
        </w:rPr>
        <w:t xml:space="preserve"> </w:t>
      </w:r>
      <w:r>
        <w:rPr>
          <w:rFonts w:ascii="Times New Roman" w:hAnsi="Times New Roman"/>
          <w:sz w:val="24"/>
        </w:rPr>
        <w:t>от 04.03.2022 № П/0072 «Об утверждении формы декларации об объекте недвижимости, требований к ее подготовке, состава содержащихся в ней сведений»;</w:t>
      </w:r>
    </w:p>
    <w:p w14:paraId="0D010000">
      <w:pPr>
        <w:widowControl w:val="1"/>
        <w:spacing w:after="0" w:before="0" w:line="276" w:lineRule="auto"/>
        <w:ind w:firstLine="708"/>
        <w:jc w:val="both"/>
        <w:rPr>
          <w:rFonts w:ascii="Times New Roman" w:hAnsi="Times New Roman"/>
          <w:b w:val="0"/>
          <w:sz w:val="24"/>
        </w:rPr>
      </w:pPr>
      <w:r>
        <w:rPr>
          <w:rFonts w:ascii="Times New Roman" w:hAnsi="Times New Roman"/>
          <w:sz w:val="24"/>
        </w:rPr>
        <w:t xml:space="preserve">Приказа Росреестра от 15.03.2022 N П/0082 </w:t>
      </w:r>
      <w:r>
        <w:rPr>
          <w:rFonts w:ascii="Times New Roman" w:hAnsi="Times New Roman"/>
          <w:sz w:val="24"/>
        </w:rPr>
        <w:t>"Об установлении формы технического плана, требований к его подготовке и состава содержащихся в нем сведений";</w:t>
      </w:r>
    </w:p>
    <w:p w14:paraId="0E010000">
      <w:pPr>
        <w:widowControl w:val="1"/>
        <w:spacing w:after="0" w:before="0" w:line="276" w:lineRule="auto"/>
        <w:ind w:firstLine="708"/>
        <w:jc w:val="both"/>
        <w:rPr>
          <w:rFonts w:ascii="Times New Roman" w:hAnsi="Times New Roman"/>
          <w:sz w:val="24"/>
        </w:rPr>
      </w:pPr>
      <w:r>
        <w:rPr>
          <w:rFonts w:ascii="Times New Roman" w:hAnsi="Times New Roman"/>
          <w:sz w:val="24"/>
        </w:rPr>
        <w:t>иных нормативных правовых актов в сфере государственного кадастрового учета объектов недвижимости.</w:t>
      </w:r>
    </w:p>
    <w:p w14:paraId="0F010000">
      <w:pPr>
        <w:widowControl w:val="1"/>
        <w:spacing w:after="0" w:before="0" w:line="276" w:lineRule="auto"/>
        <w:ind w:firstLine="708"/>
        <w:jc w:val="both"/>
        <w:rPr>
          <w:rFonts w:ascii="Times New Roman" w:hAnsi="Times New Roman"/>
          <w:sz w:val="24"/>
        </w:rPr>
      </w:pPr>
      <w:r>
        <w:rPr>
          <w:rFonts w:ascii="Times New Roman" w:hAnsi="Times New Roman"/>
          <w:sz w:val="24"/>
        </w:rPr>
        <w:t>Оформление результатов выполненных работ и иные показатели должны соответствовать Техническому заданию, условиям государственного контракта, требованиям действующего законодательства РФ.</w:t>
      </w:r>
    </w:p>
    <w:p w14:paraId="10010000">
      <w:pPr>
        <w:widowControl w:val="1"/>
        <w:spacing w:after="0" w:before="0" w:line="276" w:lineRule="auto"/>
        <w:ind w:firstLine="708"/>
        <w:jc w:val="both"/>
        <w:rPr>
          <w:rFonts w:ascii="Times New Roman" w:hAnsi="Times New Roman"/>
          <w:b w:val="1"/>
          <w:sz w:val="24"/>
        </w:rPr>
      </w:pPr>
      <w:r>
        <w:rPr>
          <w:rFonts w:ascii="Times New Roman" w:hAnsi="Times New Roman"/>
          <w:b w:val="1"/>
          <w:sz w:val="24"/>
        </w:rPr>
        <w:t> </w:t>
      </w:r>
      <w:r>
        <w:rPr>
          <w:rFonts w:ascii="Times New Roman" w:hAnsi="Times New Roman"/>
          <w:b w:val="1"/>
          <w:sz w:val="24"/>
        </w:rPr>
        <w:t>10. Гарантия качества работ и гарантийный срок выполнения работ</w:t>
      </w:r>
    </w:p>
    <w:p w14:paraId="11010000">
      <w:pPr>
        <w:widowControl w:val="1"/>
        <w:spacing w:after="0" w:before="0" w:line="276" w:lineRule="auto"/>
        <w:ind w:firstLine="708"/>
        <w:jc w:val="both"/>
        <w:rPr>
          <w:rFonts w:ascii="Times New Roman" w:hAnsi="Times New Roman"/>
          <w:sz w:val="28"/>
        </w:rPr>
      </w:pPr>
      <w:r>
        <w:rPr>
          <w:rFonts w:ascii="Times New Roman" w:hAnsi="Times New Roman"/>
          <w:sz w:val="24"/>
        </w:rPr>
        <w:t>Гарантия качества работ распространяется на весь объем работ</w:t>
      </w:r>
      <w:r>
        <w:rPr>
          <w:rFonts w:ascii="Times New Roman" w:hAnsi="Times New Roman"/>
          <w:sz w:val="24"/>
        </w:rPr>
        <w:t>, подлежащих выполнению, и устанавливается в течении 3-х лет со дня подписания Заказчиком Акта сдачи-приемки работ. В течение гарантийного срока Подрядчик обязан безвозмездно устранять (исправлять) все дефекты и недостатки, допущенные при выполнении работ.</w:t>
      </w:r>
    </w:p>
    <w:p w14:paraId="12010000">
      <w:pPr>
        <w:widowControl w:val="0"/>
        <w:spacing w:after="120" w:before="240"/>
        <w:ind/>
        <w:jc w:val="center"/>
        <w:rPr>
          <w:b w:val="1"/>
          <w:sz w:val="24"/>
        </w:rPr>
      </w:pPr>
      <w:r>
        <w:rPr>
          <w:b w:val="1"/>
          <w:sz w:val="24"/>
        </w:rPr>
        <w:t>Подписи Сторон</w:t>
      </w:r>
    </w:p>
    <w:tbl>
      <w:tblPr>
        <w:tblStyle w:val="Style_2"/>
        <w:tblW w:type="auto" w:w="0"/>
        <w:tblLayout w:type="fixed"/>
      </w:tblPr>
      <w:tblGrid>
        <w:gridCol w:w="5068"/>
        <w:gridCol w:w="5069"/>
      </w:tblGrid>
      <w:tr>
        <w:tc>
          <w:tcPr>
            <w:tcW w:type="dxa" w:w="5068"/>
            <w:shd w:fill="auto" w:val="clear"/>
          </w:tcPr>
          <w:p w14:paraId="13010000">
            <w:pPr>
              <w:widowControl w:val="0"/>
              <w:ind/>
              <w:rPr>
                <w:sz w:val="24"/>
              </w:rPr>
            </w:pPr>
            <w:r>
              <w:rPr>
                <w:b w:val="1"/>
                <w:sz w:val="24"/>
              </w:rPr>
              <w:t>Заказчик</w:t>
            </w:r>
            <w:r>
              <w:rPr>
                <w:sz w:val="24"/>
              </w:rPr>
              <w:t>_____________________</w:t>
            </w:r>
          </w:p>
          <w:p w14:paraId="14010000">
            <w:pPr>
              <w:widowControl w:val="0"/>
              <w:tabs>
                <w:tab w:leader="none" w:pos="5400" w:val="left"/>
              </w:tabs>
              <w:ind/>
              <w:rPr>
                <w:b w:val="1"/>
                <w:sz w:val="24"/>
              </w:rPr>
            </w:pPr>
          </w:p>
        </w:tc>
        <w:tc>
          <w:tcPr>
            <w:tcW w:type="dxa" w:w="5069"/>
            <w:shd w:fill="auto" w:val="clear"/>
          </w:tcPr>
          <w:p w14:paraId="15010000">
            <w:pPr>
              <w:widowControl w:val="0"/>
              <w:tabs>
                <w:tab w:leader="none" w:pos="5400" w:val="left"/>
              </w:tabs>
              <w:ind/>
              <w:rPr>
                <w:sz w:val="24"/>
              </w:rPr>
            </w:pPr>
            <w:r>
              <w:rPr>
                <w:b w:val="1"/>
                <w:sz w:val="24"/>
              </w:rPr>
              <w:t>Подрядчик</w:t>
            </w:r>
            <w:r>
              <w:rPr>
                <w:sz w:val="24"/>
              </w:rPr>
              <w:t>____________________</w:t>
            </w:r>
          </w:p>
          <w:p w14:paraId="16010000">
            <w:pPr>
              <w:widowControl w:val="0"/>
              <w:tabs>
                <w:tab w:leader="none" w:pos="5400" w:val="left"/>
              </w:tabs>
              <w:ind/>
              <w:rPr>
                <w:b w:val="1"/>
                <w:sz w:val="24"/>
              </w:rPr>
            </w:pPr>
          </w:p>
        </w:tc>
      </w:tr>
    </w:tbl>
    <w:p w14:paraId="17010000">
      <w:pPr>
        <w:widowControl w:val="0"/>
        <w:tabs>
          <w:tab w:leader="none" w:pos="4395" w:val="left"/>
        </w:tabs>
        <w:ind w:firstLine="567" w:left="0"/>
        <w:jc w:val="both"/>
        <w:rPr>
          <w:b w:val="1"/>
          <w:sz w:val="24"/>
        </w:rPr>
      </w:pPr>
    </w:p>
    <w:p w14:paraId="18010000">
      <w:pPr>
        <w:widowControl w:val="0"/>
        <w:ind/>
        <w:jc w:val="right"/>
        <w:rPr>
          <w:sz w:val="24"/>
        </w:rPr>
      </w:pPr>
    </w:p>
    <w:p w14:paraId="19010000">
      <w:pPr>
        <w:widowControl w:val="0"/>
        <w:ind/>
        <w:jc w:val="right"/>
        <w:rPr>
          <w:sz w:val="24"/>
        </w:rPr>
      </w:pPr>
    </w:p>
    <w:p w14:paraId="1A010000">
      <w:pPr>
        <w:widowControl w:val="0"/>
        <w:ind/>
        <w:jc w:val="right"/>
        <w:rPr>
          <w:sz w:val="24"/>
        </w:rPr>
      </w:pPr>
    </w:p>
    <w:p w14:paraId="1B010000">
      <w:pPr>
        <w:widowControl w:val="0"/>
        <w:ind/>
        <w:jc w:val="right"/>
        <w:rPr>
          <w:sz w:val="24"/>
        </w:rPr>
      </w:pPr>
    </w:p>
    <w:p w14:paraId="1C010000">
      <w:pPr>
        <w:widowControl w:val="0"/>
        <w:ind/>
        <w:jc w:val="right"/>
        <w:rPr>
          <w:sz w:val="24"/>
        </w:rPr>
      </w:pPr>
    </w:p>
    <w:p w14:paraId="1D010000">
      <w:pPr>
        <w:widowControl w:val="0"/>
        <w:ind/>
        <w:jc w:val="right"/>
        <w:rPr>
          <w:sz w:val="24"/>
        </w:rPr>
      </w:pPr>
      <w:r>
        <w:rPr>
          <w:sz w:val="24"/>
        </w:rPr>
        <w:t xml:space="preserve">Приложение № </w:t>
      </w:r>
      <w:r>
        <w:rPr>
          <w:sz w:val="24"/>
        </w:rPr>
        <w:t>2</w:t>
      </w:r>
    </w:p>
    <w:p w14:paraId="1E010000">
      <w:pPr>
        <w:widowControl w:val="0"/>
        <w:ind/>
        <w:jc w:val="center"/>
        <w:rPr>
          <w:sz w:val="24"/>
        </w:rPr>
      </w:pPr>
      <w:r>
        <w:rPr>
          <w:sz w:val="24"/>
        </w:rPr>
        <w:t xml:space="preserve">        </w:t>
      </w:r>
      <w:r>
        <w:rPr>
          <w:sz w:val="24"/>
        </w:rPr>
        <w:t xml:space="preserve">                                                                                        </w:t>
      </w:r>
      <w:r>
        <w:rPr>
          <w:sz w:val="24"/>
        </w:rPr>
        <w:t xml:space="preserve"> </w:t>
      </w:r>
      <w:r>
        <w:rPr>
          <w:sz w:val="24"/>
        </w:rPr>
        <w:t xml:space="preserve">              </w:t>
      </w:r>
      <w:r>
        <w:rPr>
          <w:sz w:val="24"/>
        </w:rPr>
        <w:t xml:space="preserve">к Контракту </w:t>
      </w:r>
      <w:r>
        <w:rPr>
          <w:sz w:val="24"/>
        </w:rPr>
        <w:t>от «_» ______20</w:t>
      </w:r>
      <w:r>
        <w:rPr>
          <w:sz w:val="24"/>
        </w:rPr>
        <w:t>2</w:t>
      </w:r>
      <w:r>
        <w:rPr>
          <w:sz w:val="24"/>
        </w:rPr>
        <w:t>_</w:t>
      </w:r>
      <w:r>
        <w:rPr>
          <w:sz w:val="24"/>
        </w:rPr>
        <w:t xml:space="preserve"> г. </w:t>
      </w:r>
    </w:p>
    <w:p w14:paraId="1F010000">
      <w:pPr>
        <w:widowControl w:val="0"/>
        <w:ind/>
        <w:jc w:val="center"/>
        <w:rPr>
          <w:sz w:val="24"/>
        </w:rPr>
      </w:pPr>
      <w:r>
        <w:rPr>
          <w:sz w:val="24"/>
        </w:rPr>
        <w:t xml:space="preserve">                                                             </w:t>
      </w:r>
      <w:r>
        <w:rPr>
          <w:sz w:val="24"/>
        </w:rPr>
        <w:t>№___</w:t>
      </w:r>
    </w:p>
    <w:p w14:paraId="20010000">
      <w:pPr>
        <w:widowControl w:val="0"/>
        <w:tabs>
          <w:tab w:leader="none" w:pos="4395" w:val="left"/>
        </w:tabs>
        <w:ind w:firstLine="567" w:left="0"/>
        <w:jc w:val="both"/>
        <w:rPr>
          <w:b w:val="1"/>
          <w:i w:val="1"/>
          <w:sz w:val="24"/>
        </w:rPr>
      </w:pPr>
      <w:r>
        <w:rPr>
          <w:b w:val="1"/>
          <w:sz w:val="24"/>
        </w:rPr>
        <w:t>ОБРАЗЕЦ</w:t>
      </w:r>
    </w:p>
    <w:p w14:paraId="21010000">
      <w:pPr>
        <w:widowControl w:val="0"/>
        <w:ind w:firstLine="426" w:left="-426"/>
        <w:jc w:val="center"/>
        <w:rPr>
          <w:b w:val="1"/>
          <w:sz w:val="24"/>
        </w:rPr>
      </w:pPr>
      <w:r>
        <w:rPr>
          <w:b w:val="1"/>
          <w:sz w:val="24"/>
        </w:rPr>
        <w:t>АКТ</w:t>
      </w:r>
    </w:p>
    <w:p w14:paraId="22010000">
      <w:pPr>
        <w:widowControl w:val="0"/>
        <w:ind w:firstLine="720" w:left="0"/>
        <w:jc w:val="center"/>
        <w:rPr>
          <w:b w:val="1"/>
          <w:sz w:val="24"/>
        </w:rPr>
      </w:pPr>
      <w:r>
        <w:rPr>
          <w:b w:val="1"/>
          <w:sz w:val="24"/>
        </w:rPr>
        <w:t xml:space="preserve">выполненных работ </w:t>
      </w:r>
    </w:p>
    <w:p w14:paraId="23010000">
      <w:pPr>
        <w:widowControl w:val="0"/>
        <w:ind w:firstLine="720" w:left="0"/>
        <w:jc w:val="center"/>
        <w:rPr>
          <w:b w:val="1"/>
          <w:sz w:val="24"/>
        </w:rPr>
      </w:pPr>
      <w:r>
        <w:rPr>
          <w:b w:val="1"/>
          <w:sz w:val="24"/>
        </w:rPr>
        <w:t>к государственному контракту от «____»_____20</w:t>
      </w:r>
      <w:r>
        <w:rPr>
          <w:b w:val="1"/>
          <w:sz w:val="24"/>
        </w:rPr>
        <w:t>2</w:t>
      </w:r>
      <w:r>
        <w:rPr>
          <w:b w:val="1"/>
          <w:sz w:val="24"/>
        </w:rPr>
        <w:t>_</w:t>
      </w:r>
      <w:r>
        <w:rPr>
          <w:b w:val="1"/>
          <w:sz w:val="24"/>
        </w:rPr>
        <w:t xml:space="preserve"> г.  № ___________</w:t>
      </w:r>
    </w:p>
    <w:p w14:paraId="24010000">
      <w:pPr>
        <w:widowControl w:val="0"/>
        <w:ind w:firstLine="720" w:left="0"/>
        <w:jc w:val="center"/>
        <w:rPr>
          <w:b w:val="1"/>
          <w:sz w:val="24"/>
        </w:rPr>
      </w:pPr>
      <w:r>
        <w:rPr>
          <w:b w:val="1"/>
          <w:sz w:val="24"/>
        </w:rPr>
        <w:t>(далее – Акт)</w:t>
      </w:r>
    </w:p>
    <w:p w14:paraId="25010000">
      <w:pPr>
        <w:rPr>
          <w:b w:val="1"/>
          <w:sz w:val="24"/>
        </w:rPr>
      </w:pPr>
    </w:p>
    <w:p w14:paraId="26010000">
      <w:pPr>
        <w:widowControl w:val="0"/>
        <w:tabs>
          <w:tab w:leader="none" w:pos="1571" w:val="left"/>
        </w:tabs>
        <w:ind w:firstLine="567" w:left="0"/>
        <w:jc w:val="both"/>
        <w:rPr>
          <w:sz w:val="24"/>
        </w:rPr>
      </w:pPr>
      <w:r>
        <w:rPr>
          <w:sz w:val="24"/>
        </w:rPr>
        <w:t xml:space="preserve">                                                              </w:t>
      </w:r>
      <w:r>
        <w:rPr>
          <w:sz w:val="24"/>
        </w:rPr>
        <w:t xml:space="preserve">                                  </w:t>
      </w:r>
      <w:r>
        <w:rPr>
          <w:sz w:val="24"/>
        </w:rPr>
        <w:t xml:space="preserve"> «_____» ______________ 20</w:t>
      </w:r>
      <w:r>
        <w:rPr>
          <w:sz w:val="24"/>
        </w:rPr>
        <w:t>2</w:t>
      </w:r>
      <w:r>
        <w:rPr>
          <w:sz w:val="24"/>
        </w:rPr>
        <w:t>_</w:t>
      </w:r>
      <w:r>
        <w:rPr>
          <w:sz w:val="24"/>
        </w:rPr>
        <w:t xml:space="preserve"> г.</w:t>
      </w:r>
    </w:p>
    <w:p w14:paraId="27010000">
      <w:pPr>
        <w:widowControl w:val="0"/>
        <w:tabs>
          <w:tab w:leader="none" w:pos="1571" w:val="left"/>
        </w:tabs>
        <w:ind w:firstLine="567" w:left="0"/>
        <w:jc w:val="both"/>
        <w:rPr>
          <w:sz w:val="24"/>
        </w:rPr>
      </w:pPr>
    </w:p>
    <w:p w14:paraId="28010000">
      <w:pPr>
        <w:widowControl w:val="0"/>
        <w:tabs>
          <w:tab w:leader="none" w:pos="1571" w:val="left"/>
        </w:tabs>
        <w:ind w:firstLine="567" w:left="0"/>
        <w:jc w:val="both"/>
        <w:rPr>
          <w:sz w:val="24"/>
        </w:rPr>
      </w:pPr>
      <w:r>
        <w:rPr>
          <w:sz w:val="24"/>
        </w:rPr>
        <w:t>Мы, нижеподписавшиеся,</w:t>
      </w:r>
    </w:p>
    <w:p w14:paraId="29010000">
      <w:pPr>
        <w:widowControl w:val="0"/>
        <w:tabs>
          <w:tab w:leader="none" w:pos="1571" w:val="left"/>
        </w:tabs>
        <w:ind w:firstLine="567" w:left="0"/>
        <w:jc w:val="both"/>
        <w:rPr>
          <w:sz w:val="24"/>
        </w:rPr>
      </w:pPr>
      <w:r>
        <w:rPr>
          <w:sz w:val="24"/>
        </w:rPr>
        <w:t>Заказчик, Межрегиональное территориальное управление Федерального агентства по управлению государственным имуществом в Забайкальском крае и</w:t>
      </w:r>
      <w:r>
        <w:rPr>
          <w:sz w:val="24"/>
        </w:rPr>
        <w:t xml:space="preserve"> </w:t>
      </w:r>
      <w:r>
        <w:rPr>
          <w:sz w:val="24"/>
        </w:rPr>
        <w:t xml:space="preserve">Республике Бурятия, в лице _____________________________________, действующего на основании ______________, с одной стороны, и </w:t>
      </w:r>
    </w:p>
    <w:p w14:paraId="2A010000">
      <w:pPr>
        <w:widowControl w:val="0"/>
        <w:tabs>
          <w:tab w:leader="none" w:pos="1571" w:val="left"/>
        </w:tabs>
        <w:ind w:firstLine="567" w:left="0"/>
        <w:jc w:val="both"/>
        <w:rPr>
          <w:sz w:val="24"/>
        </w:rPr>
      </w:pPr>
      <w:r>
        <w:rPr>
          <w:sz w:val="24"/>
        </w:rPr>
        <w:t>Подрядчик, ____________________________________________________, в лице __________________________________________________, действующего на основании _________, с другой стороны, составили настоящий Акт о нижеследующем:</w:t>
      </w:r>
    </w:p>
    <w:p w14:paraId="2B010000">
      <w:pPr>
        <w:widowControl w:val="0"/>
        <w:tabs>
          <w:tab w:leader="none" w:pos="1571" w:val="left"/>
        </w:tabs>
        <w:ind w:firstLine="567" w:left="0"/>
        <w:jc w:val="both"/>
        <w:rPr>
          <w:sz w:val="24"/>
        </w:rPr>
      </w:pPr>
      <w:r>
        <w:rPr>
          <w:sz w:val="24"/>
        </w:rPr>
        <w:t xml:space="preserve">Подрядчик сдал Заказчику, а Заказчик принял у Подрядчика Работы, выполненные по государственному контракту № </w:t>
      </w:r>
      <w:r>
        <w:rPr>
          <w:sz w:val="24"/>
        </w:rPr>
        <w:t>________________от</w:t>
      </w:r>
      <w:r>
        <w:rPr>
          <w:sz w:val="24"/>
        </w:rPr>
        <w:t xml:space="preserve"> «_____» ________________20</w:t>
      </w:r>
      <w:r>
        <w:rPr>
          <w:sz w:val="24"/>
        </w:rPr>
        <w:t>2</w:t>
      </w:r>
      <w:r>
        <w:rPr>
          <w:sz w:val="24"/>
        </w:rPr>
        <w:t>_</w:t>
      </w:r>
      <w:r>
        <w:rPr>
          <w:sz w:val="24"/>
        </w:rPr>
        <w:t xml:space="preserve"> года в объемах, приведенных ниже:</w:t>
      </w:r>
    </w:p>
    <w:tbl>
      <w:tblPr>
        <w:tblStyle w:val="Style_2"/>
        <w:tblW w:type="auto" w:w="0"/>
        <w:tblInd w:type="dxa" w:w="113"/>
        <w:tblLayout w:type="fixed"/>
      </w:tblPr>
      <w:tblGrid>
        <w:gridCol w:w="704"/>
        <w:gridCol w:w="4394"/>
        <w:gridCol w:w="993"/>
        <w:gridCol w:w="992"/>
        <w:gridCol w:w="1701"/>
        <w:gridCol w:w="1417"/>
      </w:tblGrid>
      <w:tr>
        <w:trPr>
          <w:trHeight w:hRule="atLeast" w:val="1020"/>
        </w:trPr>
        <w:tc>
          <w:tcPr>
            <w:tcW w:type="dxa" w:w="704"/>
            <w:tcBorders>
              <w:top w:color="000000" w:sz="4" w:val="single"/>
              <w:left w:color="000000" w:sz="4" w:val="single"/>
              <w:bottom w:color="000000" w:sz="4" w:val="single"/>
              <w:right w:color="000000" w:sz="4" w:val="single"/>
            </w:tcBorders>
            <w:shd w:fill="auto" w:val="clear"/>
            <w:vAlign w:val="center"/>
          </w:tcPr>
          <w:p w14:paraId="2C010000">
            <w:pPr>
              <w:widowControl w:val="0"/>
              <w:spacing w:after="200" w:line="276" w:lineRule="auto"/>
              <w:ind/>
              <w:jc w:val="center"/>
              <w:rPr>
                <w:color w:val="000000"/>
              </w:rPr>
            </w:pPr>
            <w:r>
              <w:rPr>
                <w:color w:val="000000"/>
              </w:rPr>
              <w:t xml:space="preserve">№ </w:t>
            </w:r>
            <w:r>
              <w:rPr>
                <w:color w:val="000000"/>
              </w:rPr>
              <w:t>п</w:t>
            </w:r>
            <w:r>
              <w:rPr>
                <w:color w:val="000000"/>
              </w:rPr>
              <w:t>/</w:t>
            </w:r>
            <w:r>
              <w:rPr>
                <w:color w:val="000000"/>
              </w:rPr>
              <w:t>п</w:t>
            </w:r>
          </w:p>
        </w:tc>
        <w:tc>
          <w:tcPr>
            <w:tcW w:type="dxa" w:w="4394"/>
            <w:tcBorders>
              <w:top w:color="000000" w:sz="4" w:val="single"/>
              <w:left w:sz="4" w:val="nil"/>
              <w:bottom w:color="000000" w:sz="4" w:val="single"/>
              <w:right w:color="000000" w:sz="4" w:val="single"/>
            </w:tcBorders>
            <w:vAlign w:val="center"/>
          </w:tcPr>
          <w:p w14:paraId="2D010000">
            <w:pPr>
              <w:widowControl w:val="0"/>
              <w:ind/>
              <w:jc w:val="center"/>
              <w:rPr>
                <w:b w:val="1"/>
                <w:color w:themeColor="text1" w:val="000000"/>
              </w:rPr>
            </w:pPr>
            <w:r>
              <w:rPr>
                <w:b w:val="1"/>
                <w:color w:themeColor="text1" w:val="000000"/>
              </w:rPr>
              <w:t>Наименование услуги/код позиции КТРУ</w:t>
            </w:r>
            <w:r>
              <w:rPr>
                <w:b w:val="1"/>
                <w:color w:themeColor="text1" w:val="000000"/>
              </w:rPr>
              <w:t>/ОКПД2</w:t>
            </w:r>
          </w:p>
        </w:tc>
        <w:tc>
          <w:tcPr>
            <w:tcW w:type="dxa" w:w="993"/>
            <w:tcBorders>
              <w:top w:color="000000" w:sz="4" w:val="single"/>
              <w:left w:color="000000" w:sz="4" w:val="single"/>
              <w:bottom w:color="000000" w:sz="4" w:val="single"/>
              <w:right w:color="000000" w:sz="4" w:val="single"/>
            </w:tcBorders>
            <w:shd w:fill="auto" w:val="clear"/>
            <w:vAlign w:val="center"/>
          </w:tcPr>
          <w:p w14:paraId="2E010000">
            <w:pPr>
              <w:widowControl w:val="0"/>
              <w:spacing w:after="200" w:line="276" w:lineRule="auto"/>
              <w:ind/>
              <w:jc w:val="center"/>
              <w:rPr>
                <w:color w:val="000000"/>
              </w:rPr>
            </w:pPr>
            <w:r>
              <w:rPr>
                <w:color w:val="000000"/>
              </w:rPr>
              <w:t xml:space="preserve">Ед. </w:t>
            </w:r>
            <w:r>
              <w:rPr>
                <w:color w:val="000000"/>
              </w:rPr>
              <w:t>изм</w:t>
            </w:r>
          </w:p>
        </w:tc>
        <w:tc>
          <w:tcPr>
            <w:tcW w:type="dxa" w:w="992"/>
            <w:tcBorders>
              <w:top w:color="000000" w:sz="4" w:val="single"/>
              <w:left w:sz="4" w:val="nil"/>
              <w:bottom w:color="000000" w:sz="4" w:val="single"/>
              <w:right w:color="000000" w:sz="4" w:val="single"/>
            </w:tcBorders>
            <w:shd w:fill="auto" w:val="clear"/>
            <w:vAlign w:val="center"/>
          </w:tcPr>
          <w:p w14:paraId="2F010000">
            <w:pPr>
              <w:widowControl w:val="0"/>
              <w:spacing w:after="200" w:line="276" w:lineRule="auto"/>
              <w:ind/>
              <w:jc w:val="center"/>
              <w:rPr>
                <w:color w:val="000000"/>
              </w:rPr>
            </w:pPr>
            <w:r>
              <w:rPr>
                <w:color w:val="000000"/>
              </w:rPr>
              <w:t>Коли</w:t>
            </w:r>
            <w:r>
              <w:rPr>
                <w:color w:val="000000"/>
              </w:rPr>
              <w:t>-</w:t>
            </w:r>
            <w:r>
              <w:rPr>
                <w:color w:val="000000"/>
              </w:rPr>
              <w:t>чество</w:t>
            </w:r>
          </w:p>
        </w:tc>
        <w:tc>
          <w:tcPr>
            <w:tcW w:type="dxa" w:w="1701"/>
            <w:tcBorders>
              <w:top w:color="000000" w:sz="4" w:val="single"/>
              <w:left w:sz="4" w:val="nil"/>
              <w:bottom w:color="000000" w:sz="4" w:val="single"/>
              <w:right w:color="000000" w:sz="4" w:val="single"/>
            </w:tcBorders>
            <w:shd w:fill="auto" w:val="clear"/>
            <w:vAlign w:val="center"/>
          </w:tcPr>
          <w:p w14:paraId="30010000">
            <w:pPr>
              <w:widowControl w:val="0"/>
              <w:spacing w:after="200" w:line="276" w:lineRule="auto"/>
              <w:ind/>
              <w:jc w:val="center"/>
              <w:rPr>
                <w:color w:val="000000"/>
              </w:rPr>
            </w:pPr>
            <w:r>
              <w:rPr>
                <w:color w:val="000000"/>
              </w:rPr>
              <w:t>Стоимость работ за 1 ед., руб</w:t>
            </w:r>
            <w:r>
              <w:rPr>
                <w:color w:val="000000"/>
              </w:rPr>
              <w:t>., с/без НДС</w:t>
            </w:r>
          </w:p>
        </w:tc>
        <w:tc>
          <w:tcPr>
            <w:tcW w:type="dxa" w:w="1417"/>
            <w:tcBorders>
              <w:top w:color="000000" w:sz="4" w:val="single"/>
              <w:left w:sz="4" w:val="nil"/>
              <w:bottom w:color="000000" w:sz="4" w:val="single"/>
              <w:right w:color="000000" w:sz="4" w:val="single"/>
            </w:tcBorders>
          </w:tcPr>
          <w:p w14:paraId="31010000">
            <w:pPr>
              <w:widowControl w:val="0"/>
              <w:spacing w:after="200" w:line="276" w:lineRule="auto"/>
              <w:ind/>
              <w:jc w:val="center"/>
              <w:rPr>
                <w:color w:val="000000"/>
              </w:rPr>
            </w:pPr>
            <w:r>
              <w:rPr>
                <w:color w:val="000000"/>
              </w:rPr>
              <w:t>Итого на сумму, руб</w:t>
            </w:r>
            <w:r>
              <w:rPr>
                <w:color w:val="000000"/>
              </w:rPr>
              <w:t>., с/без НДС</w:t>
            </w:r>
          </w:p>
        </w:tc>
      </w:tr>
      <w:tr>
        <w:trPr>
          <w:trHeight w:hRule="atLeast" w:val="599"/>
        </w:trPr>
        <w:tc>
          <w:tcPr>
            <w:tcW w:type="dxa" w:w="704"/>
            <w:tcBorders>
              <w:top w:color="000000" w:sz="4" w:val="single"/>
              <w:left w:color="000000" w:sz="4" w:val="single"/>
              <w:right w:color="000000" w:sz="4" w:val="single"/>
            </w:tcBorders>
            <w:shd w:fill="auto" w:val="clear"/>
            <w:vAlign w:val="center"/>
          </w:tcPr>
          <w:p w14:paraId="32010000">
            <w:pPr>
              <w:widowControl w:val="0"/>
              <w:spacing w:after="200" w:line="276" w:lineRule="auto"/>
              <w:ind/>
              <w:rPr>
                <w:color w:val="000000"/>
              </w:rPr>
            </w:pPr>
          </w:p>
        </w:tc>
        <w:tc>
          <w:tcPr>
            <w:tcW w:type="dxa" w:w="4394"/>
            <w:tcBorders>
              <w:top w:color="000000" w:sz="4" w:val="single"/>
              <w:left w:sz="4" w:val="nil"/>
              <w:right w:color="000000" w:sz="4" w:val="single"/>
            </w:tcBorders>
            <w:vAlign w:val="center"/>
          </w:tcPr>
          <w:p w14:paraId="33010000">
            <w:pPr>
              <w:widowControl w:val="0"/>
              <w:tabs>
                <w:tab w:leader="none" w:pos="4395" w:val="left"/>
              </w:tabs>
              <w:ind w:firstLine="567" w:left="0"/>
              <w:jc w:val="center"/>
              <w:rPr>
                <w:color w:themeColor="text1" w:val="000000"/>
              </w:rPr>
            </w:pPr>
          </w:p>
        </w:tc>
        <w:tc>
          <w:tcPr>
            <w:tcW w:type="dxa" w:w="993"/>
            <w:tcBorders>
              <w:top w:color="000000" w:sz="4" w:val="single"/>
              <w:left w:color="000000" w:sz="4" w:val="single"/>
              <w:right w:color="000000" w:sz="4" w:val="single"/>
            </w:tcBorders>
            <w:shd w:fill="auto" w:val="clear"/>
            <w:vAlign w:val="center"/>
          </w:tcPr>
          <w:p w14:paraId="34010000">
            <w:pPr>
              <w:widowControl w:val="0"/>
              <w:ind/>
              <w:jc w:val="center"/>
              <w:rPr>
                <w:color w:val="000000"/>
              </w:rPr>
            </w:pPr>
          </w:p>
        </w:tc>
        <w:tc>
          <w:tcPr>
            <w:tcW w:type="dxa" w:w="992"/>
            <w:tcBorders>
              <w:top w:color="000000" w:sz="4" w:val="single"/>
              <w:left w:sz="4" w:val="nil"/>
              <w:right w:color="000000" w:sz="4" w:val="single"/>
            </w:tcBorders>
            <w:shd w:fill="auto" w:val="clear"/>
            <w:vAlign w:val="center"/>
          </w:tcPr>
          <w:p w14:paraId="35010000">
            <w:pPr>
              <w:widowControl w:val="0"/>
              <w:ind/>
              <w:jc w:val="center"/>
              <w:rPr>
                <w:color w:val="000000"/>
              </w:rPr>
            </w:pPr>
          </w:p>
        </w:tc>
        <w:tc>
          <w:tcPr>
            <w:tcW w:type="dxa" w:w="1701"/>
            <w:tcBorders>
              <w:top w:color="000000" w:sz="4" w:val="single"/>
              <w:left w:sz="4" w:val="nil"/>
              <w:right w:color="000000" w:sz="4" w:val="single"/>
            </w:tcBorders>
            <w:shd w:fill="auto" w:val="clear"/>
            <w:vAlign w:val="center"/>
          </w:tcPr>
          <w:p w14:paraId="36010000">
            <w:pPr>
              <w:widowControl w:val="0"/>
              <w:ind/>
              <w:jc w:val="center"/>
              <w:rPr>
                <w:color w:val="000000"/>
              </w:rPr>
            </w:pPr>
          </w:p>
        </w:tc>
        <w:tc>
          <w:tcPr>
            <w:tcW w:type="dxa" w:w="1417"/>
            <w:tcBorders>
              <w:top w:color="000000" w:sz="4" w:val="single"/>
              <w:left w:sz="4" w:val="nil"/>
              <w:right w:color="000000" w:sz="4" w:val="single"/>
            </w:tcBorders>
          </w:tcPr>
          <w:p w14:paraId="37010000">
            <w:pPr>
              <w:rPr>
                <w:color w:val="000000"/>
              </w:rPr>
            </w:pPr>
          </w:p>
        </w:tc>
      </w:tr>
      <w:tr>
        <w:trPr>
          <w:trHeight w:hRule="atLeast" w:val="568"/>
        </w:trPr>
        <w:tc>
          <w:tcPr>
            <w:tcW w:type="dxa" w:w="5098"/>
            <w:gridSpan w:val="2"/>
            <w:tcBorders>
              <w:top w:color="000000" w:sz="4" w:val="single"/>
              <w:left w:color="000000" w:sz="4" w:val="single"/>
              <w:bottom w:color="000000" w:sz="4" w:val="single"/>
              <w:right w:color="000000" w:sz="4" w:val="single"/>
            </w:tcBorders>
            <w:vAlign w:val="center"/>
          </w:tcPr>
          <w:p w14:paraId="38010000">
            <w:pPr>
              <w:rPr>
                <w:color w:val="000000"/>
              </w:rPr>
            </w:pPr>
            <w:r>
              <w:rPr>
                <w:color w:val="000000"/>
              </w:rPr>
              <w:t>ВСЕГО:</w:t>
            </w:r>
          </w:p>
        </w:tc>
        <w:tc>
          <w:tcPr>
            <w:tcW w:type="dxa" w:w="993"/>
            <w:tcBorders>
              <w:top w:color="000000" w:sz="4" w:val="single"/>
              <w:left w:color="000000" w:sz="4" w:val="single"/>
              <w:bottom w:color="000000" w:sz="4" w:val="single"/>
              <w:right w:color="000000" w:sz="4" w:val="single"/>
            </w:tcBorders>
            <w:shd w:fill="auto" w:val="clear"/>
            <w:vAlign w:val="center"/>
          </w:tcPr>
          <w:p w14:paraId="39010000">
            <w:pPr>
              <w:rPr>
                <w:color w:val="000000"/>
              </w:rPr>
            </w:pPr>
          </w:p>
        </w:tc>
        <w:tc>
          <w:tcPr>
            <w:tcW w:type="dxa" w:w="992"/>
            <w:tcBorders>
              <w:top w:color="000000" w:sz="4" w:val="single"/>
              <w:left w:color="000000" w:sz="4" w:val="single"/>
              <w:bottom w:color="000000" w:sz="4" w:val="single"/>
              <w:right w:color="000000" w:sz="4" w:val="single"/>
            </w:tcBorders>
            <w:shd w:fill="auto" w:val="clear"/>
            <w:vAlign w:val="center"/>
          </w:tcPr>
          <w:p w14:paraId="3A010000">
            <w:pPr>
              <w:rPr>
                <w:color w:val="000000"/>
              </w:rPr>
            </w:pPr>
          </w:p>
        </w:tc>
        <w:tc>
          <w:tcPr>
            <w:tcW w:type="dxa" w:w="1701"/>
            <w:tcBorders>
              <w:top w:color="000000" w:sz="4" w:val="single"/>
              <w:left w:sz="4" w:val="nil"/>
              <w:bottom w:color="000000" w:sz="4" w:val="single"/>
              <w:right w:color="000000" w:sz="4" w:val="single"/>
            </w:tcBorders>
            <w:shd w:fill="auto" w:val="clear"/>
            <w:vAlign w:val="center"/>
          </w:tcPr>
          <w:p w14:paraId="3B010000">
            <w:pPr>
              <w:widowControl w:val="0"/>
              <w:spacing w:after="200" w:line="276" w:lineRule="auto"/>
              <w:ind/>
              <w:rPr>
                <w:color w:val="000000"/>
              </w:rPr>
            </w:pPr>
          </w:p>
        </w:tc>
        <w:tc>
          <w:tcPr>
            <w:tcW w:type="dxa" w:w="1417"/>
            <w:tcBorders>
              <w:top w:color="000000" w:sz="4" w:val="single"/>
              <w:left w:sz="4" w:val="nil"/>
              <w:bottom w:color="000000" w:sz="4" w:val="single"/>
              <w:right w:color="000000" w:sz="4" w:val="single"/>
            </w:tcBorders>
          </w:tcPr>
          <w:p w14:paraId="3C010000">
            <w:pPr>
              <w:widowControl w:val="0"/>
              <w:spacing w:after="200" w:line="276" w:lineRule="auto"/>
              <w:ind/>
              <w:rPr>
                <w:color w:val="000000"/>
              </w:rPr>
            </w:pPr>
          </w:p>
        </w:tc>
      </w:tr>
    </w:tbl>
    <w:p w14:paraId="3D010000">
      <w:pPr>
        <w:widowControl w:val="0"/>
        <w:ind/>
        <w:jc w:val="center"/>
        <w:outlineLvl w:val="0"/>
        <w:rPr>
          <w:b w:val="1"/>
          <w:sz w:val="24"/>
        </w:rPr>
      </w:pPr>
    </w:p>
    <w:p w14:paraId="3E010000">
      <w:pPr>
        <w:widowControl w:val="0"/>
        <w:ind w:firstLine="540" w:left="0"/>
        <w:jc w:val="both"/>
        <w:rPr>
          <w:sz w:val="24"/>
        </w:rPr>
      </w:pPr>
      <w:r>
        <w:rPr>
          <w:sz w:val="24"/>
        </w:rPr>
        <w:t>Перечень выполненных работ, их объем и качество соответствует государственному  контракту от «__» _________ 20</w:t>
      </w:r>
      <w:r>
        <w:rPr>
          <w:sz w:val="24"/>
        </w:rPr>
        <w:t>2</w:t>
      </w:r>
      <w:r>
        <w:rPr>
          <w:sz w:val="24"/>
        </w:rPr>
        <w:t>_</w:t>
      </w:r>
      <w:r>
        <w:rPr>
          <w:sz w:val="24"/>
        </w:rPr>
        <w:t xml:space="preserve"> г. № ___________________.</w:t>
      </w:r>
    </w:p>
    <w:p w14:paraId="3F010000">
      <w:pPr>
        <w:widowControl w:val="0"/>
        <w:ind w:firstLine="540" w:left="0"/>
        <w:jc w:val="both"/>
        <w:rPr>
          <w:sz w:val="24"/>
        </w:rPr>
      </w:pPr>
      <w:r>
        <w:rPr>
          <w:sz w:val="24"/>
        </w:rPr>
        <w:t>Стороны взаимных претензий по качеству и объему выполненных работ не имеют.</w:t>
      </w:r>
    </w:p>
    <w:p w14:paraId="40010000">
      <w:pPr>
        <w:widowControl w:val="0"/>
        <w:ind w:firstLine="540" w:left="0"/>
        <w:jc w:val="both"/>
        <w:rPr>
          <w:sz w:val="24"/>
        </w:rPr>
      </w:pPr>
      <w:r>
        <w:rPr>
          <w:sz w:val="24"/>
        </w:rPr>
        <w:t>Общая стоимость работ (этапа работ), выполненных Подрядчиком, и подлежащих оплате Заказчиком по настоящему Акту, составляет __________ (________) рублей, ____ копеек, в том числе НДС ____ (_________) рублей, ___ копеек.</w:t>
      </w:r>
    </w:p>
    <w:p w14:paraId="41010000">
      <w:pPr>
        <w:widowControl w:val="0"/>
        <w:ind w:firstLine="540" w:left="0"/>
        <w:jc w:val="both"/>
        <w:rPr>
          <w:i w:val="1"/>
        </w:rPr>
      </w:pPr>
      <w:r>
        <w:rPr>
          <w:i w:val="1"/>
        </w:rPr>
        <w:t>(В случае, если Подрядчик имеет право на освобождение от уплаты НДС, то указывается «НДС не облагается»).</w:t>
      </w:r>
    </w:p>
    <w:p w14:paraId="42010000">
      <w:pPr>
        <w:widowControl w:val="0"/>
        <w:ind w:firstLine="540" w:left="0"/>
        <w:jc w:val="both"/>
        <w:rPr>
          <w:i w:val="1"/>
        </w:rPr>
      </w:pPr>
      <w:r>
        <w:rPr>
          <w:i w:val="1"/>
        </w:rPr>
        <w:t>(При взыскании неустойки указывается сумма неустойки, расчет суммы неустойки, а также сумма платежа по Акту за вычетом рассчитанной суммы неустойки).</w:t>
      </w:r>
    </w:p>
    <w:p w14:paraId="43010000">
      <w:pPr>
        <w:widowControl w:val="0"/>
        <w:ind w:firstLine="540" w:left="0"/>
        <w:jc w:val="both"/>
        <w:rPr>
          <w:sz w:val="24"/>
        </w:rPr>
      </w:pPr>
      <w:r>
        <w:rPr>
          <w:sz w:val="24"/>
        </w:rPr>
        <w:t>Настоящий Акт составлен в двух экземплярах по одному для Заказчика и Подрядчика.</w:t>
      </w:r>
    </w:p>
    <w:tbl>
      <w:tblPr>
        <w:tblStyle w:val="Style_2"/>
        <w:tblW w:type="auto" w:w="0"/>
        <w:tblLayout w:type="fixed"/>
      </w:tblPr>
      <w:tblGrid>
        <w:gridCol w:w="5210"/>
        <w:gridCol w:w="118"/>
        <w:gridCol w:w="5040"/>
        <w:gridCol w:w="53"/>
      </w:tblGrid>
      <w:tr>
        <w:tc>
          <w:tcPr>
            <w:tcW w:type="dxa" w:w="5328"/>
            <w:gridSpan w:val="2"/>
          </w:tcPr>
          <w:p w14:paraId="44010000">
            <w:pPr>
              <w:widowControl w:val="0"/>
              <w:ind/>
              <w:jc w:val="center"/>
              <w:rPr>
                <w:b w:val="1"/>
                <w:sz w:val="24"/>
              </w:rPr>
            </w:pPr>
          </w:p>
          <w:p w14:paraId="45010000">
            <w:pPr>
              <w:widowControl w:val="0"/>
              <w:ind/>
              <w:jc w:val="center"/>
              <w:rPr>
                <w:b w:val="1"/>
                <w:sz w:val="24"/>
              </w:rPr>
            </w:pPr>
            <w:r>
              <w:rPr>
                <w:b w:val="1"/>
                <w:sz w:val="24"/>
              </w:rPr>
              <w:t>Заказчик</w:t>
            </w:r>
          </w:p>
        </w:tc>
        <w:tc>
          <w:tcPr>
            <w:tcW w:type="dxa" w:w="5040"/>
          </w:tcPr>
          <w:p w14:paraId="46010000">
            <w:pPr>
              <w:widowControl w:val="0"/>
              <w:ind/>
              <w:jc w:val="center"/>
              <w:rPr>
                <w:b w:val="1"/>
                <w:sz w:val="24"/>
              </w:rPr>
            </w:pPr>
          </w:p>
          <w:p w14:paraId="47010000">
            <w:pPr>
              <w:widowControl w:val="0"/>
              <w:ind/>
              <w:jc w:val="center"/>
              <w:rPr>
                <w:b w:val="1"/>
                <w:sz w:val="24"/>
              </w:rPr>
            </w:pPr>
            <w:r>
              <w:rPr>
                <w:b w:val="1"/>
                <w:sz w:val="24"/>
              </w:rPr>
              <w:t>Подрядчик</w:t>
            </w:r>
          </w:p>
        </w:tc>
        <w:tc>
          <w:tcPr>
            <w:tcW w:type="dxa" w:w="53"/>
          </w:tcPr>
          <w:p/>
        </w:tc>
      </w:tr>
      <w:tr>
        <w:tc>
          <w:tcPr>
            <w:tcW w:type="dxa" w:w="5328"/>
            <w:gridSpan w:val="2"/>
          </w:tcPr>
          <w:p w14:paraId="48010000">
            <w:pPr>
              <w:widowControl w:val="0"/>
              <w:ind/>
              <w:jc w:val="center"/>
              <w:rPr>
                <w:sz w:val="24"/>
              </w:rPr>
            </w:pPr>
          </w:p>
        </w:tc>
        <w:tc>
          <w:tcPr>
            <w:tcW w:type="dxa" w:w="5040"/>
          </w:tcPr>
          <w:p w14:paraId="49010000">
            <w:pPr>
              <w:widowControl w:val="0"/>
              <w:ind/>
              <w:jc w:val="center"/>
              <w:rPr>
                <w:sz w:val="24"/>
              </w:rPr>
            </w:pPr>
          </w:p>
        </w:tc>
        <w:tc>
          <w:tcPr>
            <w:tcW w:type="dxa" w:w="53"/>
          </w:tcPr>
          <w:p/>
        </w:tc>
      </w:tr>
      <w:tr>
        <w:tc>
          <w:tcPr>
            <w:tcW w:type="dxa" w:w="5328"/>
            <w:gridSpan w:val="2"/>
          </w:tcPr>
          <w:p w14:paraId="4A010000">
            <w:pPr>
              <w:widowControl w:val="0"/>
              <w:ind/>
              <w:jc w:val="both"/>
              <w:rPr>
                <w:sz w:val="24"/>
              </w:rPr>
            </w:pPr>
            <w:r>
              <w:rPr>
                <w:sz w:val="24"/>
              </w:rPr>
              <w:t>____________________________________</w:t>
            </w:r>
          </w:p>
          <w:p w14:paraId="4B010000">
            <w:pPr>
              <w:widowControl w:val="0"/>
              <w:ind/>
              <w:jc w:val="center"/>
              <w:rPr>
                <w:sz w:val="24"/>
              </w:rPr>
            </w:pPr>
            <w:r>
              <w:rPr>
                <w:sz w:val="24"/>
              </w:rPr>
              <w:t>ФИО</w:t>
            </w:r>
          </w:p>
        </w:tc>
        <w:tc>
          <w:tcPr>
            <w:tcW w:type="dxa" w:w="5040"/>
          </w:tcPr>
          <w:p w14:paraId="4C010000">
            <w:pPr>
              <w:widowControl w:val="0"/>
              <w:ind/>
              <w:jc w:val="both"/>
              <w:rPr>
                <w:sz w:val="24"/>
              </w:rPr>
            </w:pPr>
            <w:r>
              <w:rPr>
                <w:sz w:val="24"/>
              </w:rPr>
              <w:t>_________________________________</w:t>
            </w:r>
          </w:p>
          <w:p w14:paraId="4D010000">
            <w:pPr>
              <w:widowControl w:val="0"/>
              <w:ind/>
              <w:jc w:val="center"/>
              <w:rPr>
                <w:sz w:val="24"/>
              </w:rPr>
            </w:pPr>
            <w:r>
              <w:rPr>
                <w:sz w:val="24"/>
              </w:rPr>
              <w:t>ФИО</w:t>
            </w:r>
          </w:p>
        </w:tc>
        <w:tc>
          <w:tcPr>
            <w:tcW w:type="dxa" w:w="53"/>
          </w:tcPr>
          <w:p/>
        </w:tc>
      </w:tr>
      <w:tr>
        <w:tc>
          <w:tcPr>
            <w:tcW w:type="dxa" w:w="5210"/>
          </w:tcPr>
          <w:p w14:paraId="4E010000">
            <w:pPr>
              <w:widowControl w:val="0"/>
              <w:ind/>
              <w:jc w:val="both"/>
              <w:rPr>
                <w:sz w:val="24"/>
              </w:rPr>
            </w:pPr>
            <w:r>
              <w:rPr>
                <w:sz w:val="24"/>
              </w:rPr>
              <w:t xml:space="preserve">                                              </w:t>
            </w:r>
          </w:p>
          <w:p w14:paraId="4F010000">
            <w:pPr>
              <w:widowControl w:val="0"/>
              <w:ind/>
              <w:jc w:val="both"/>
              <w:rPr>
                <w:sz w:val="24"/>
              </w:rPr>
            </w:pPr>
            <w:r>
              <w:rPr>
                <w:sz w:val="24"/>
              </w:rPr>
              <w:t>Заказчик______________</w:t>
            </w:r>
          </w:p>
        </w:tc>
        <w:tc>
          <w:tcPr>
            <w:tcW w:type="dxa" w:w="5211"/>
            <w:gridSpan w:val="3"/>
            <w:vAlign w:val="bottom"/>
          </w:tcPr>
          <w:p w14:paraId="50010000">
            <w:pPr>
              <w:rPr>
                <w:sz w:val="24"/>
              </w:rPr>
            </w:pPr>
            <w:r>
              <w:rPr>
                <w:sz w:val="24"/>
              </w:rPr>
              <w:t>Подрядчик _____________</w:t>
            </w:r>
          </w:p>
        </w:tc>
      </w:tr>
    </w:tbl>
    <w:p w14:paraId="51010000">
      <w:pPr>
        <w:widowControl w:val="0"/>
        <w:ind/>
        <w:jc w:val="both"/>
        <w:rPr>
          <w:sz w:val="24"/>
        </w:rPr>
      </w:pPr>
    </w:p>
    <w:p w14:paraId="52010000">
      <w:pPr>
        <w:widowControl w:val="0"/>
        <w:ind w:firstLine="709" w:left="0"/>
        <w:jc w:val="both"/>
        <w:rPr>
          <w:sz w:val="24"/>
        </w:rPr>
      </w:pPr>
      <w:r>
        <w:rPr>
          <w:sz w:val="24"/>
        </w:rPr>
        <w:t xml:space="preserve">М.П.         </w:t>
      </w:r>
      <w:r>
        <w:rPr>
          <w:sz w:val="24"/>
        </w:rPr>
        <w:t xml:space="preserve">                                                          </w:t>
      </w:r>
      <w:r>
        <w:rPr>
          <w:sz w:val="24"/>
        </w:rPr>
        <w:t>М.П.</w:t>
      </w:r>
    </w:p>
    <w:p w14:paraId="53010000">
      <w:pPr>
        <w:widowControl w:val="0"/>
        <w:ind w:firstLine="709" w:left="0"/>
        <w:jc w:val="both"/>
        <w:rPr>
          <w:sz w:val="24"/>
        </w:rPr>
      </w:pPr>
      <w:r>
        <w:rPr>
          <w:sz w:val="24"/>
        </w:rPr>
        <w:t>Конец формы акта</w:t>
      </w:r>
      <w:r>
        <w:rPr>
          <w:sz w:val="24"/>
        </w:rPr>
        <w:t xml:space="preserve">  </w:t>
      </w:r>
    </w:p>
    <w:p w14:paraId="54010000">
      <w:pPr>
        <w:widowControl w:val="0"/>
        <w:ind w:firstLine="709" w:left="0"/>
        <w:rPr>
          <w:b w:val="1"/>
          <w:sz w:val="24"/>
        </w:rPr>
      </w:pPr>
      <w:r>
        <w:rPr>
          <w:sz w:val="24"/>
        </w:rPr>
        <w:t xml:space="preserve">                                            </w:t>
      </w:r>
      <w:r>
        <w:rPr>
          <w:b w:val="1"/>
          <w:sz w:val="24"/>
        </w:rPr>
        <w:t>Подписи Сторон</w:t>
      </w:r>
    </w:p>
    <w:tbl>
      <w:tblPr>
        <w:tblStyle w:val="Style_2"/>
        <w:tblW w:type="auto" w:w="0"/>
        <w:tblLayout w:type="fixed"/>
      </w:tblPr>
      <w:tblGrid>
        <w:gridCol w:w="5068"/>
        <w:gridCol w:w="5069"/>
      </w:tblGrid>
      <w:tr>
        <w:tc>
          <w:tcPr>
            <w:tcW w:type="dxa" w:w="5068"/>
            <w:shd w:fill="auto" w:val="clear"/>
          </w:tcPr>
          <w:p w14:paraId="55010000">
            <w:pPr>
              <w:widowControl w:val="0"/>
              <w:ind/>
              <w:rPr>
                <w:sz w:val="24"/>
              </w:rPr>
            </w:pPr>
            <w:r>
              <w:rPr>
                <w:b w:val="1"/>
                <w:sz w:val="24"/>
              </w:rPr>
              <w:t>Заказчик</w:t>
            </w:r>
            <w:r>
              <w:rPr>
                <w:sz w:val="24"/>
              </w:rPr>
              <w:t>_____________________</w:t>
            </w:r>
          </w:p>
          <w:p w14:paraId="56010000">
            <w:pPr>
              <w:widowControl w:val="0"/>
              <w:tabs>
                <w:tab w:leader="none" w:pos="5400" w:val="left"/>
              </w:tabs>
              <w:ind/>
              <w:rPr>
                <w:b w:val="1"/>
                <w:sz w:val="24"/>
              </w:rPr>
            </w:pPr>
          </w:p>
        </w:tc>
        <w:tc>
          <w:tcPr>
            <w:tcW w:type="dxa" w:w="5069"/>
            <w:shd w:fill="auto" w:val="clear"/>
          </w:tcPr>
          <w:p w14:paraId="57010000">
            <w:pPr>
              <w:widowControl w:val="0"/>
              <w:tabs>
                <w:tab w:leader="none" w:pos="5400" w:val="left"/>
              </w:tabs>
              <w:ind/>
              <w:rPr>
                <w:sz w:val="24"/>
              </w:rPr>
            </w:pPr>
            <w:r>
              <w:rPr>
                <w:b w:val="1"/>
                <w:sz w:val="24"/>
              </w:rPr>
              <w:t>Подрядчик</w:t>
            </w:r>
            <w:r>
              <w:rPr>
                <w:sz w:val="24"/>
              </w:rPr>
              <w:t>____________________</w:t>
            </w:r>
          </w:p>
          <w:p w14:paraId="58010000">
            <w:pPr>
              <w:widowControl w:val="0"/>
              <w:tabs>
                <w:tab w:leader="none" w:pos="5400" w:val="left"/>
              </w:tabs>
              <w:ind/>
              <w:rPr>
                <w:b w:val="1"/>
                <w:sz w:val="24"/>
              </w:rPr>
            </w:pPr>
          </w:p>
        </w:tc>
      </w:tr>
    </w:tbl>
    <w:p w14:paraId="59010000">
      <w:pPr>
        <w:widowControl w:val="0"/>
        <w:ind w:firstLine="567" w:left="0"/>
        <w:jc w:val="both"/>
        <w:rPr>
          <w:b w:val="1"/>
          <w:sz w:val="24"/>
        </w:rPr>
      </w:pPr>
    </w:p>
    <w:sectPr>
      <w:pgSz w:h="16838" w:orient="portrait" w:w="11906"/>
      <w:pgMar w:bottom="709" w:footer="709" w:gutter="0" w:header="709" w:left="1134" w:right="566"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3"/>
      <w:numFmt w:val="decimal"/>
      <w:lvlText w:val="%1."/>
      <w:lvlJc w:val="left"/>
      <w:pPr>
        <w:widowControl w:val="0"/>
        <w:ind w:hanging="390" w:left="390"/>
      </w:pPr>
    </w:lvl>
    <w:lvl w:ilvl="1">
      <w:start w:val="1"/>
      <w:numFmt w:val="decimal"/>
      <w:lvlText w:val="%1.%2."/>
      <w:lvlJc w:val="left"/>
      <w:pPr>
        <w:widowControl w:val="0"/>
        <w:ind w:hanging="720" w:left="1620"/>
      </w:pPr>
    </w:lvl>
    <w:lvl w:ilvl="2">
      <w:start w:val="1"/>
      <w:numFmt w:val="decimal"/>
      <w:lvlText w:val="%1.%2.%3."/>
      <w:lvlJc w:val="left"/>
      <w:pPr>
        <w:widowControl w:val="0"/>
        <w:ind w:hanging="720" w:left="2520"/>
      </w:pPr>
    </w:lvl>
    <w:lvl w:ilvl="3">
      <w:start w:val="1"/>
      <w:numFmt w:val="decimal"/>
      <w:lvlText w:val="%1.%2.%3.%4."/>
      <w:lvlJc w:val="left"/>
      <w:pPr>
        <w:widowControl w:val="0"/>
        <w:ind w:hanging="1080" w:left="3780"/>
      </w:pPr>
    </w:lvl>
    <w:lvl w:ilvl="4">
      <w:start w:val="1"/>
      <w:numFmt w:val="decimal"/>
      <w:lvlText w:val="%1.%2.%3.%4.%5."/>
      <w:lvlJc w:val="left"/>
      <w:pPr>
        <w:widowControl w:val="0"/>
        <w:ind w:hanging="1080" w:left="4680"/>
      </w:pPr>
    </w:lvl>
    <w:lvl w:ilvl="5">
      <w:start w:val="1"/>
      <w:numFmt w:val="decimal"/>
      <w:lvlText w:val="%1.%2.%3.%4.%5.%6."/>
      <w:lvlJc w:val="left"/>
      <w:pPr>
        <w:widowControl w:val="0"/>
        <w:ind w:hanging="1440" w:left="5940"/>
      </w:pPr>
    </w:lvl>
    <w:lvl w:ilvl="6">
      <w:start w:val="1"/>
      <w:numFmt w:val="decimal"/>
      <w:lvlText w:val="%1.%2.%3.%4.%5.%6.%7."/>
      <w:lvlJc w:val="left"/>
      <w:pPr>
        <w:widowControl w:val="0"/>
        <w:ind w:hanging="1440" w:left="6840"/>
      </w:pPr>
    </w:lvl>
    <w:lvl w:ilvl="7">
      <w:start w:val="1"/>
      <w:numFmt w:val="decimal"/>
      <w:lvlText w:val="%1.%2.%3.%4.%5.%6.%7.%8."/>
      <w:lvlJc w:val="left"/>
      <w:pPr>
        <w:widowControl w:val="0"/>
        <w:ind w:hanging="1800" w:left="8100"/>
      </w:pPr>
    </w:lvl>
    <w:lvl w:ilvl="8">
      <w:start w:val="1"/>
      <w:numFmt w:val="decimal"/>
      <w:lvlText w:val="%1.%2.%3.%4.%5.%6.%7.%8.%9."/>
      <w:lvlJc w:val="left"/>
      <w:pPr>
        <w:widowControl w:val="0"/>
        <w:ind w:hanging="1800" w:left="9000"/>
      </w:pPr>
    </w:lvl>
  </w:abstractNum>
  <w:abstractNum w:abstractNumId="1">
    <w:lvl w:ilvl="0">
      <w:start w:val="6"/>
      <w:numFmt w:val="decimal"/>
      <w:lvlText w:val="%1."/>
      <w:lvlJc w:val="left"/>
      <w:pPr>
        <w:widowControl w:val="0"/>
        <w:ind w:hanging="360" w:left="360"/>
      </w:pPr>
    </w:lvl>
    <w:lvl w:ilvl="1">
      <w:start w:val="1"/>
      <w:numFmt w:val="decimal"/>
      <w:lvlText w:val="%1.%2."/>
      <w:lvlJc w:val="left"/>
      <w:pPr>
        <w:widowControl w:val="0"/>
        <w:ind w:hanging="360" w:left="1080"/>
      </w:pPr>
    </w:lvl>
    <w:lvl w:ilvl="2">
      <w:start w:val="1"/>
      <w:numFmt w:val="decimal"/>
      <w:lvlText w:val="%1.%2.%3."/>
      <w:lvlJc w:val="left"/>
      <w:pPr>
        <w:widowControl w:val="0"/>
        <w:ind w:hanging="720" w:left="2160"/>
      </w:pPr>
    </w:lvl>
    <w:lvl w:ilvl="3">
      <w:start w:val="1"/>
      <w:numFmt w:val="decimal"/>
      <w:lvlText w:val="%1.%2.%3.%4."/>
      <w:lvlJc w:val="left"/>
      <w:pPr>
        <w:widowControl w:val="0"/>
        <w:ind w:hanging="720" w:left="2880"/>
      </w:pPr>
    </w:lvl>
    <w:lvl w:ilvl="4">
      <w:start w:val="1"/>
      <w:numFmt w:val="decimal"/>
      <w:lvlText w:val="%1.%2.%3.%4.%5."/>
      <w:lvlJc w:val="left"/>
      <w:pPr>
        <w:widowControl w:val="0"/>
        <w:ind w:hanging="1080" w:left="3960"/>
      </w:pPr>
    </w:lvl>
    <w:lvl w:ilvl="5">
      <w:start w:val="1"/>
      <w:numFmt w:val="decimal"/>
      <w:lvlText w:val="%1.%2.%3.%4.%5.%6."/>
      <w:lvlJc w:val="left"/>
      <w:pPr>
        <w:widowControl w:val="0"/>
        <w:ind w:hanging="1080" w:left="4680"/>
      </w:pPr>
    </w:lvl>
    <w:lvl w:ilvl="6">
      <w:start w:val="1"/>
      <w:numFmt w:val="decimal"/>
      <w:lvlText w:val="%1.%2.%3.%4.%5.%6.%7."/>
      <w:lvlJc w:val="left"/>
      <w:pPr>
        <w:widowControl w:val="0"/>
        <w:ind w:hanging="1440" w:left="5760"/>
      </w:pPr>
    </w:lvl>
    <w:lvl w:ilvl="7">
      <w:start w:val="1"/>
      <w:numFmt w:val="decimal"/>
      <w:lvlText w:val="%1.%2.%3.%4.%5.%6.%7.%8."/>
      <w:lvlJc w:val="left"/>
      <w:pPr>
        <w:widowControl w:val="0"/>
        <w:ind w:hanging="1440" w:left="6480"/>
      </w:pPr>
    </w:lvl>
    <w:lvl w:ilvl="8">
      <w:start w:val="1"/>
      <w:numFmt w:val="decimal"/>
      <w:lvlText w:val="%1.%2.%3.%4.%5.%6.%7.%8.%9."/>
      <w:lvlJc w:val="left"/>
      <w:pPr>
        <w:widowControl w:val="0"/>
        <w:ind w:hanging="1800" w:left="7560"/>
      </w:pPr>
    </w:lvl>
  </w:abstractNum>
  <w:abstractNum w:abstractNumId="2">
    <w:lvl w:ilvl="0">
      <w:start w:val="1"/>
      <w:numFmt w:val="decimal"/>
      <w:lvlText w:val="%1."/>
      <w:pPr>
        <w:widowControl w:val="1"/>
        <w:ind w:hanging="360" w:left="720"/>
      </w:pPr>
    </w:lvl>
    <w:lvl w:ilvl="1">
      <w:start w:val="1"/>
      <w:numFmt w:val="lowerLetter"/>
      <w:lvlText w:val="%2."/>
      <w:pPr>
        <w:widowControl w:val="1"/>
        <w:ind w:hanging="360" w:left="1440"/>
      </w:pPr>
    </w:lvl>
    <w:lvl w:ilvl="2">
      <w:start w:val="1"/>
      <w:numFmt w:val="lowerRoman"/>
      <w:lvlText w:val="%3."/>
      <w:lvlJc w:val="right"/>
      <w:pPr>
        <w:widowControl w:val="1"/>
        <w:ind w:hanging="360" w:left="2160"/>
      </w:pPr>
    </w:lvl>
    <w:lvl w:ilvl="3">
      <w:start w:val="1"/>
      <w:numFmt w:val="decimal"/>
      <w:lvlText w:val="%4."/>
      <w:pPr>
        <w:widowControl w:val="1"/>
        <w:ind w:hanging="360" w:left="2880"/>
      </w:pPr>
    </w:lvl>
    <w:lvl w:ilvl="4">
      <w:start w:val="1"/>
      <w:numFmt w:val="lowerLetter"/>
      <w:lvlText w:val="%5."/>
      <w:pPr>
        <w:widowControl w:val="1"/>
        <w:ind w:hanging="360" w:left="3600"/>
      </w:pPr>
    </w:lvl>
    <w:lvl w:ilvl="5">
      <w:start w:val="1"/>
      <w:numFmt w:val="lowerRoman"/>
      <w:lvlText w:val="%6."/>
      <w:lvlJc w:val="right"/>
      <w:pPr>
        <w:widowControl w:val="1"/>
        <w:ind w:hanging="360" w:left="4320"/>
      </w:pPr>
    </w:lvl>
    <w:lvl w:ilvl="6">
      <w:start w:val="1"/>
      <w:numFmt w:val="decimal"/>
      <w:lvlText w:val="%7."/>
      <w:pPr>
        <w:widowControl w:val="1"/>
        <w:ind w:hanging="360" w:left="5040"/>
      </w:pPr>
    </w:lvl>
    <w:lvl w:ilvl="7">
      <w:start w:val="1"/>
      <w:numFmt w:val="lowerLetter"/>
      <w:lvlText w:val="%8."/>
      <w:pPr>
        <w:widowControl w:val="1"/>
        <w:ind w:hanging="360" w:left="5760"/>
      </w:pPr>
    </w:lvl>
    <w:lvl w:ilvl="8">
      <w:start w:val="1"/>
      <w:numFmt w:val="lowerRoman"/>
      <w:lvlText w:val="%9."/>
      <w:lvlJc w:val="right"/>
      <w:pPr>
        <w:widowControl w:val="1"/>
        <w:ind w:hanging="36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pPr>
      <w:widowControl w:val="0"/>
      <w:spacing w:after="0" w:line="240" w:lineRule="auto"/>
      <w:ind/>
    </w:pPr>
    <w:rPr>
      <w:rFonts w:ascii="Times New Roman" w:hAnsi="Times New Roman"/>
      <w:sz w:val="20"/>
    </w:rPr>
  </w:style>
  <w:style w:default="1" w:styleId="Style_7_ch" w:type="character">
    <w:name w:val="Normal"/>
    <w:link w:val="Style_7"/>
    <w:rPr>
      <w:rFonts w:ascii="Times New Roman" w:hAnsi="Times New Roman"/>
      <w:sz w:val="20"/>
    </w:rPr>
  </w:style>
  <w:style w:styleId="Style_8" w:type="paragraph">
    <w:name w:val="toc 2"/>
    <w:next w:val="Style_7"/>
    <w:link w:val="Style_8_ch"/>
    <w:uiPriority w:val="39"/>
    <w:pPr>
      <w:widowControl w:val="0"/>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widowControl w:val="0"/>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Balloon Text"/>
    <w:basedOn w:val="Style_7"/>
    <w:link w:val="Style_10_ch"/>
    <w:rPr>
      <w:rFonts w:ascii="Tahoma" w:hAnsi="Tahoma"/>
      <w:sz w:val="16"/>
    </w:rPr>
  </w:style>
  <w:style w:styleId="Style_10_ch" w:type="character">
    <w:name w:val="Balloon Text"/>
    <w:basedOn w:val="Style_7_ch"/>
    <w:link w:val="Style_10"/>
    <w:rPr>
      <w:rFonts w:ascii="Tahoma" w:hAnsi="Tahoma"/>
      <w:sz w:val="16"/>
    </w:rPr>
  </w:style>
  <w:style w:styleId="Style_11" w:type="paragraph">
    <w:name w:val="Гипертекстовая ссылка"/>
    <w:link w:val="Style_11_ch"/>
    <w:rPr>
      <w:color w:val="106BBE"/>
    </w:rPr>
  </w:style>
  <w:style w:styleId="Style_11_ch" w:type="character">
    <w:name w:val="Гипертекстовая ссылка"/>
    <w:link w:val="Style_11"/>
    <w:rPr>
      <w:color w:val="106BBE"/>
    </w:rPr>
  </w:style>
  <w:style w:styleId="Style_3" w:type="paragraph">
    <w:name w:val="List Paragraph"/>
    <w:basedOn w:val="Style_7"/>
    <w:link w:val="Style_3_ch"/>
    <w:pPr>
      <w:widowControl w:val="0"/>
      <w:ind w:firstLine="0" w:left="720"/>
      <w:contextualSpacing w:val="1"/>
    </w:pPr>
  </w:style>
  <w:style w:styleId="Style_3_ch" w:type="character">
    <w:name w:val="List Paragraph"/>
    <w:basedOn w:val="Style_7_ch"/>
    <w:link w:val="Style_3"/>
  </w:style>
  <w:style w:styleId="Style_12" w:type="paragraph">
    <w:name w:val="toc 6"/>
    <w:next w:val="Style_7"/>
    <w:link w:val="Style_12_ch"/>
    <w:uiPriority w:val="39"/>
    <w:pPr>
      <w:widowControl w:val="0"/>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7"/>
    <w:link w:val="Style_13_ch"/>
    <w:uiPriority w:val="39"/>
    <w:pPr>
      <w:widowControl w:val="0"/>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Endnote"/>
    <w:link w:val="Style_14_ch"/>
    <w:pPr>
      <w:widowControl w:val="0"/>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next w:val="Style_7"/>
    <w:link w:val="Style_15_ch"/>
    <w:uiPriority w:val="9"/>
    <w:qFormat/>
    <w:pPr>
      <w:widowControl w:val="0"/>
      <w:spacing w:after="120" w:before="120"/>
      <w:ind/>
      <w:jc w:val="both"/>
      <w:outlineLvl w:val="2"/>
    </w:pPr>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toc 3"/>
    <w:next w:val="Style_7"/>
    <w:link w:val="Style_16_ch"/>
    <w:uiPriority w:val="39"/>
    <w:pPr>
      <w:widowControl w:val="0"/>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Body Text"/>
    <w:basedOn w:val="Style_7"/>
    <w:link w:val="Style_17_ch"/>
    <w:pPr>
      <w:widowControl w:val="0"/>
      <w:spacing w:after="120"/>
      <w:ind/>
    </w:pPr>
  </w:style>
  <w:style w:styleId="Style_17_ch" w:type="character">
    <w:name w:val="Body Text"/>
    <w:basedOn w:val="Style_7_ch"/>
    <w:link w:val="Style_17"/>
  </w:style>
  <w:style w:styleId="Style_1" w:type="paragraph">
    <w:name w:val="ConsPlusNonformat"/>
    <w:link w:val="Style_1_ch"/>
    <w:pPr>
      <w:widowControl w:val="0"/>
      <w:spacing w:after="0" w:line="240" w:lineRule="auto"/>
      <w:ind/>
    </w:pPr>
    <w:rPr>
      <w:rFonts w:ascii="Courier New" w:hAnsi="Courier New"/>
      <w:sz w:val="20"/>
    </w:rPr>
  </w:style>
  <w:style w:styleId="Style_1_ch" w:type="character">
    <w:name w:val="ConsPlusNonformat"/>
    <w:link w:val="Style_1"/>
    <w:rPr>
      <w:rFonts w:ascii="Courier New" w:hAnsi="Courier New"/>
      <w:sz w:val="20"/>
    </w:rPr>
  </w:style>
  <w:style w:styleId="Style_18" w:type="paragraph">
    <w:name w:val="heading 5"/>
    <w:next w:val="Style_7"/>
    <w:link w:val="Style_18_ch"/>
    <w:uiPriority w:val="9"/>
    <w:qFormat/>
    <w:pPr>
      <w:widowControl w:val="0"/>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6" w:type="paragraph">
    <w:name w:val="heading 1"/>
    <w:basedOn w:val="Style_7"/>
    <w:next w:val="Style_7"/>
    <w:link w:val="Style_6_ch"/>
    <w:uiPriority w:val="9"/>
    <w:qFormat/>
    <w:pPr>
      <w:keepNext w:val="1"/>
      <w:widowControl w:val="0"/>
      <w:spacing w:after="60" w:before="240"/>
      <w:ind/>
      <w:outlineLvl w:val="0"/>
    </w:pPr>
    <w:rPr>
      <w:rFonts w:ascii="Arial" w:hAnsi="Arial"/>
      <w:b w:val="1"/>
      <w:sz w:val="32"/>
    </w:rPr>
  </w:style>
  <w:style w:styleId="Style_6_ch" w:type="character">
    <w:name w:val="heading 1"/>
    <w:basedOn w:val="Style_7_ch"/>
    <w:link w:val="Style_6"/>
    <w:rPr>
      <w:rFonts w:ascii="Arial" w:hAnsi="Arial"/>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widowControl w:val="0"/>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7"/>
    <w:link w:val="Style_21_ch"/>
    <w:uiPriority w:val="39"/>
    <w:pPr>
      <w:widowControl w:val="0"/>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widowControl w:val="0"/>
      <w:spacing w:line="240" w:lineRule="auto"/>
      <w:ind/>
      <w:jc w:val="both"/>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No Spacing"/>
    <w:link w:val="Style_23_ch"/>
    <w:pPr>
      <w:widowControl w:val="0"/>
      <w:spacing w:after="0" w:line="240" w:lineRule="auto"/>
      <w:ind/>
    </w:pPr>
    <w:rPr>
      <w:rFonts w:ascii="Calibri" w:hAnsi="Calibri"/>
    </w:rPr>
  </w:style>
  <w:style w:styleId="Style_23_ch" w:type="character">
    <w:name w:val="No Spacing"/>
    <w:link w:val="Style_23"/>
    <w:rPr>
      <w:rFonts w:ascii="Calibri" w:hAnsi="Calibri"/>
    </w:rPr>
  </w:style>
  <w:style w:styleId="Style_24" w:type="paragraph">
    <w:name w:val="Default Paragraph Font"/>
    <w:link w:val="Style_24_ch"/>
  </w:style>
  <w:style w:styleId="Style_24_ch" w:type="character">
    <w:name w:val="Default Paragraph Font"/>
    <w:link w:val="Style_24"/>
  </w:style>
  <w:style w:styleId="Style_25" w:type="paragraph">
    <w:name w:val="toc 9"/>
    <w:next w:val="Style_7"/>
    <w:link w:val="Style_25_ch"/>
    <w:uiPriority w:val="39"/>
    <w:pPr>
      <w:widowControl w:val="0"/>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7"/>
    <w:link w:val="Style_26_ch"/>
    <w:uiPriority w:val="39"/>
    <w:pPr>
      <w:widowControl w:val="0"/>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Основной текст (3)"/>
    <w:basedOn w:val="Style_7"/>
    <w:link w:val="Style_27_ch"/>
    <w:pPr>
      <w:widowControl w:val="0"/>
      <w:spacing w:line="0" w:lineRule="atLeast"/>
      <w:ind/>
    </w:pPr>
    <w:rPr>
      <w:b w:val="1"/>
      <w:sz w:val="22"/>
    </w:rPr>
  </w:style>
  <w:style w:styleId="Style_27_ch" w:type="character">
    <w:name w:val="Основной текст (3)"/>
    <w:basedOn w:val="Style_7_ch"/>
    <w:link w:val="Style_27"/>
    <w:rPr>
      <w:b w:val="1"/>
      <w:sz w:val="22"/>
    </w:rPr>
  </w:style>
  <w:style w:styleId="Style_28" w:type="paragraph">
    <w:name w:val="toc 5"/>
    <w:next w:val="Style_7"/>
    <w:link w:val="Style_28_ch"/>
    <w:uiPriority w:val="39"/>
    <w:pPr>
      <w:widowControl w:val="0"/>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Subtitle"/>
    <w:next w:val="Style_7"/>
    <w:link w:val="Style_29_ch"/>
    <w:uiPriority w:val="11"/>
    <w:qFormat/>
    <w:pPr>
      <w:widowControl w:val="0"/>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7"/>
    <w:link w:val="Style_30_ch"/>
    <w:uiPriority w:val="10"/>
    <w:qFormat/>
    <w:pPr>
      <w:widowControl w:val="0"/>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7"/>
    <w:link w:val="Style_31_ch"/>
    <w:uiPriority w:val="9"/>
    <w:qFormat/>
    <w:pPr>
      <w:widowControl w:val="0"/>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5" w:type="paragraph">
    <w:name w:val="ConsPlusNormal"/>
    <w:link w:val="Style_5_ch"/>
    <w:pPr>
      <w:widowControl w:val="0"/>
      <w:spacing w:after="0" w:line="240" w:lineRule="auto"/>
      <w:ind w:firstLine="720" w:left="0"/>
    </w:pPr>
    <w:rPr>
      <w:rFonts w:ascii="Arial" w:hAnsi="Arial"/>
      <w:sz w:val="20"/>
    </w:rPr>
  </w:style>
  <w:style w:styleId="Style_5_ch" w:type="character">
    <w:name w:val="ConsPlusNormal"/>
    <w:link w:val="Style_5"/>
    <w:rPr>
      <w:rFonts w:ascii="Arial" w:hAnsi="Arial"/>
      <w:sz w:val="20"/>
    </w:rPr>
  </w:style>
  <w:style w:styleId="Style_4" w:type="paragraph">
    <w:name w:val="ConsDTNormal"/>
    <w:link w:val="Style_4_ch"/>
    <w:pPr>
      <w:widowControl w:val="0"/>
      <w:spacing w:after="0" w:line="240" w:lineRule="auto"/>
      <w:ind/>
      <w:jc w:val="both"/>
    </w:pPr>
    <w:rPr>
      <w:rFonts w:ascii="Times New Roman" w:hAnsi="Times New Roman"/>
      <w:sz w:val="24"/>
    </w:rPr>
  </w:style>
  <w:style w:styleId="Style_4_ch" w:type="character">
    <w:name w:val="ConsDTNormal"/>
    <w:link w:val="Style_4"/>
    <w:rPr>
      <w:rFonts w:ascii="Times New Roman" w:hAnsi="Times New Roman"/>
      <w:sz w:val="24"/>
    </w:rPr>
  </w:style>
  <w:style w:styleId="Style_32" w:type="paragraph">
    <w:name w:val="heading 2"/>
    <w:basedOn w:val="Style_7"/>
    <w:next w:val="Style_7"/>
    <w:link w:val="Style_32_ch"/>
    <w:uiPriority w:val="9"/>
    <w:qFormat/>
    <w:pPr>
      <w:keepNext w:val="1"/>
      <w:widowControl w:val="0"/>
      <w:spacing w:after="60" w:before="240"/>
      <w:ind/>
      <w:outlineLvl w:val="1"/>
    </w:pPr>
    <w:rPr>
      <w:rFonts w:ascii="Arial" w:hAnsi="Arial"/>
      <w:b w:val="1"/>
      <w:i w:val="1"/>
      <w:sz w:val="28"/>
    </w:rPr>
  </w:style>
  <w:style w:styleId="Style_32_ch" w:type="character">
    <w:name w:val="heading 2"/>
    <w:basedOn w:val="Style_7_ch"/>
    <w:link w:val="Style_32"/>
    <w:rPr>
      <w:rFonts w:ascii="Arial" w:hAnsi="Arial"/>
      <w:b w:val="1"/>
      <w:i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2025-10-02T03:20:43Z</dcterms:created>
  <dcterms:modified xsi:type="dcterms:W3CDTF">2026-09-03T01:04:50Z</dcterms:modified>
</cp:coreProperties>
</file>