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7C595715" w:rsidR="00BB5377" w:rsidRDefault="00BB5377" w:rsidP="00BB5377">
      <w:pPr>
        <w:widowControl w:val="0"/>
        <w:ind w:firstLine="539"/>
        <w:jc w:val="both"/>
      </w:pPr>
      <w:r>
        <w:t xml:space="preserve">3.10.4. </w:t>
      </w:r>
      <w:r w:rsidRPr="00D770E4">
        <w:rPr>
          <w:b/>
        </w:rPr>
        <w:t>Заказчик принимает Товар на соответствие условиям Спецификации</w:t>
      </w:r>
      <w:r w:rsidR="00A0671B" w:rsidRPr="00D770E4">
        <w:rPr>
          <w:b/>
        </w:rPr>
        <w:t xml:space="preserve"> контракта </w:t>
      </w:r>
      <w:r w:rsidRPr="00D770E4">
        <w:rPr>
          <w:b/>
        </w:rPr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 xml:space="preserve"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</w:t>
      </w:r>
      <w:r>
        <w:lastRenderedPageBreak/>
        <w:t>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с даты приемки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>3.10.12. 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0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0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B40C1">
      <w:pPr>
        <w:keepNext/>
        <w:widowControl w:val="0"/>
        <w:numPr>
          <w:ilvl w:val="0"/>
          <w:numId w:val="2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B40C1">
      <w:pPr>
        <w:widowControl w:val="0"/>
        <w:numPr>
          <w:ilvl w:val="1"/>
          <w:numId w:val="2"/>
        </w:numPr>
        <w:ind w:left="0" w:firstLine="539"/>
        <w:jc w:val="both"/>
      </w:pPr>
      <w:bookmarkStart w:id="1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42271DEE" w14:textId="77777777" w:rsidR="00283BEB" w:rsidRDefault="00BB5377" w:rsidP="004523CE">
      <w:pPr>
        <w:widowControl w:val="0"/>
        <w:numPr>
          <w:ilvl w:val="1"/>
          <w:numId w:val="2"/>
        </w:numPr>
        <w:ind w:left="0" w:firstLine="539"/>
        <w:jc w:val="both"/>
      </w:pPr>
      <w:bookmarkStart w:id="2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2"/>
      <w:r w:rsidR="005406CB">
        <w:t>.</w:t>
      </w:r>
      <w:r w:rsidR="004523CE" w:rsidRPr="00283BEB">
        <w:t xml:space="preserve"> </w:t>
      </w:r>
    </w:p>
    <w:p w14:paraId="27DB0989" w14:textId="10590525" w:rsidR="004523CE" w:rsidRPr="001D2A19" w:rsidRDefault="004523CE" w:rsidP="008E4197">
      <w:pPr>
        <w:widowControl w:val="0"/>
        <w:ind w:firstLine="1418"/>
        <w:jc w:val="both"/>
      </w:pPr>
      <w:r w:rsidRPr="00283BEB">
        <w:t>Настоящий Контракт, включая приложения и дополнительные соглашения к нему, включает ставку налога на добавленную стоимость (НДС), применимую согласно действующего законодательства Российской Федерации, на дату заключения Контракта (ст.164 НК РФ). Все платежи по настоящему Контракту производятся в рублях РФ. В случае изменения законодательства РФ в части установления новых ставок НДС, Стороны соглашаются применять такие изменения автоматически с даты их вступления в силу, без заключения Сторонами дополнительного соглашения в отношении каждой конкретной сделки в рамках Контракта. При этом Стороны признают, что изменение ставки НДС не влечет за собой изменение цены Контракта. Поставщик вправе выделить соответствующую сумму НДС по ставке, установленной НК РФ и применимой на дату реализации товаров, дату составления товарно-сопроводительных документов (товарная накладная/универсальный передаточный документ/счет-фактура), без изменения цены Контракта.</w:t>
      </w:r>
    </w:p>
    <w:p w14:paraId="3EE8CAB2" w14:textId="3948D182" w:rsidR="00BB5377" w:rsidRPr="000F0DCE" w:rsidRDefault="00BB5377" w:rsidP="00283BEB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 xml:space="preserve">. В случае,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</w:t>
      </w:r>
      <w:r>
        <w:lastRenderedPageBreak/>
        <w:t xml:space="preserve">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17C74">
        <w:t>контракта</w:t>
      </w:r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десять процентов Цены </w:t>
      </w:r>
      <w:r w:rsidR="00617C74">
        <w:t>контракт</w:t>
      </w:r>
      <w:r w:rsidRPr="000F0DCE">
        <w:t xml:space="preserve">а. При уменьшении предусмотренных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4D72D892" w:rsidR="007C45AA" w:rsidRPr="00936712" w:rsidRDefault="007F1C1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936712"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 xml:space="preserve">будет осуществляться </w:t>
      </w:r>
      <w:r w:rsidR="009655CC">
        <w:t xml:space="preserve">в текущем финансовом году </w:t>
      </w:r>
      <w:r w:rsidRPr="00936712">
        <w:t>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08700B6C" w:rsidR="00B25921" w:rsidRPr="007C45AA" w:rsidRDefault="009655C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>в течение 7 (Семи) рабочих дней с даты подписания Сторонами приема-передаточного документа</w:t>
      </w:r>
      <w:r>
        <w:t xml:space="preserve">, </w:t>
      </w:r>
      <w:r w:rsidRPr="00601316">
        <w:t>но не позднее, чем за 1 (один) рабочий день до окончания текущего финансового года</w:t>
      </w:r>
      <w:r w:rsidR="007C45AA" w:rsidRPr="007C45AA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</w:p>
    <w:bookmarkEnd w:id="1"/>
    <w:p w14:paraId="03EC9AAE" w14:textId="77777777" w:rsidR="00BB5377" w:rsidRDefault="00BB5377" w:rsidP="00BB40C1">
      <w:pPr>
        <w:keepNext/>
        <w:widowControl w:val="0"/>
        <w:numPr>
          <w:ilvl w:val="0"/>
          <w:numId w:val="2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6220A938" w14:textId="1D1EC31B" w:rsidR="00BB5377" w:rsidRPr="00BE43FE" w:rsidRDefault="00BB5377" w:rsidP="00BB40C1">
      <w:pPr>
        <w:pStyle w:val="-0"/>
        <w:numPr>
          <w:ilvl w:val="1"/>
          <w:numId w:val="3"/>
        </w:numPr>
        <w:tabs>
          <w:tab w:val="clear" w:pos="567"/>
          <w:tab w:val="num" w:pos="709"/>
        </w:tabs>
        <w:ind w:left="0" w:firstLine="567"/>
      </w:pPr>
      <w:r w:rsidRPr="00BE43FE">
        <w:t xml:space="preserve">Остаточный срок годности поставляемого Товара, на который установлен срок годности, на момент поставки должен составлять: не менее 70% </w:t>
      </w:r>
      <w:r w:rsidR="00936712" w:rsidRPr="00BE43FE">
        <w:t>от общего срока,</w:t>
      </w:r>
      <w:r w:rsidRPr="00BE43FE">
        <w:t xml:space="preserve"> указанного производителем. В случае, если на Товар вместо срока годности установлена дата </w:t>
      </w:r>
      <w:proofErr w:type="spellStart"/>
      <w:r w:rsidRPr="00BE43FE">
        <w:t>ретеста</w:t>
      </w:r>
      <w:proofErr w:type="spellEnd"/>
      <w:r w:rsidRPr="00BE43FE">
        <w:t xml:space="preserve"> (дата повторного анализа химических материалов на соответствие известным физико-химическим показателям, указанным в сертификате анализа), на момент поставки срок до даты </w:t>
      </w:r>
      <w:proofErr w:type="spellStart"/>
      <w:r w:rsidRPr="00BE43FE">
        <w:t>ретеста</w:t>
      </w:r>
      <w:proofErr w:type="spellEnd"/>
      <w:r w:rsidRPr="00BE43FE">
        <w:t xml:space="preserve"> должен составлять не менее 70% срока с даты производства до даты </w:t>
      </w:r>
      <w:proofErr w:type="spellStart"/>
      <w:r w:rsidRPr="00BE43FE">
        <w:t>ретеста</w:t>
      </w:r>
      <w:proofErr w:type="spellEnd"/>
      <w:r w:rsidRPr="00BE43FE">
        <w:t>.</w:t>
      </w:r>
    </w:p>
    <w:p w14:paraId="1A08BCBC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35F26C7E" w14:textId="5AB42EE0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B40C1">
      <w:pPr>
        <w:pStyle w:val="-0"/>
        <w:numPr>
          <w:ilvl w:val="1"/>
          <w:numId w:val="2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185AAA9E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lastRenderedPageBreak/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B40C1">
      <w:pPr>
        <w:keepNext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t>Поставщик несет перед Заказчиком ответственность за неисполнение или ненадлежащее исполнение обязательств привлекаемыми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t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3" w:name="_Ref480271096"/>
    </w:p>
    <w:bookmarkEnd w:id="3"/>
    <w:p w14:paraId="78E61A14" w14:textId="223E703C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4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4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с даты доставки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67A20C71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5A4101">
        <w:t>Приложение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7FC86780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 xml:space="preserve">размеры пеней и штрафов, указанные в настоящей главе </w:t>
      </w:r>
      <w:r w:rsidR="00EA645C">
        <w:t>контракта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lastRenderedPageBreak/>
        <w:t>Днем оплаты Заказчиком требования об уплате неустойки (штрафа, пени) является день списания денежных средств с расчетного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>м, 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</w:p>
    <w:p w14:paraId="3456419D" w14:textId="47FCD1C8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6C5BBD65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настоящего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настоящему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B40C1">
      <w:pPr>
        <w:pStyle w:val="a6"/>
        <w:numPr>
          <w:ilvl w:val="0"/>
          <w:numId w:val="2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</w:t>
      </w:r>
      <w:r w:rsidRPr="000F0DCE">
        <w:lastRenderedPageBreak/>
        <w:t>действия или решения этих лиц с целью получить какие-либо неправомерные преимущества или иные неправомерные цели.</w:t>
      </w:r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2EAF5C5" w14:textId="7C94A4DE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AE3541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Каналы уведомления ФБУН ГНЦ ВБ «Вектор» Роспотребнадзора о нарушениях каких-либо положений настоящей статьи: тел/факс: (383) 363-47</w:t>
      </w:r>
      <w:r>
        <w:t>-00</w:t>
      </w:r>
      <w:r w:rsidRPr="000F0DCE">
        <w:t xml:space="preserve">,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1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r w:rsidRPr="000F0DCE">
          <w:rPr>
            <w:rStyle w:val="a8"/>
            <w:lang w:val="en-US"/>
          </w:rPr>
          <w:t>nsc</w:t>
        </w:r>
        <w:r w:rsidRPr="000F0DCE">
          <w:rPr>
            <w:rStyle w:val="a8"/>
          </w:rPr>
          <w:t>.</w:t>
        </w:r>
        <w:r w:rsidRPr="000F0DCE">
          <w:rPr>
            <w:rStyle w:val="a8"/>
            <w:lang w:val="en-US"/>
          </w:rPr>
          <w:t>ru</w:t>
        </w:r>
      </w:hyperlink>
      <w:r w:rsidRPr="000F0DCE">
        <w:t>.</w:t>
      </w:r>
    </w:p>
    <w:p w14:paraId="7E1EDCA9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2C991E1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A4101">
        <w:t>Приложение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5A4101">
        <w:t>Приложение</w:t>
      </w:r>
      <w:r w:rsidRPr="000F0DCE"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 xml:space="preserve">у. В случае неисполнения либо ненадлежащего исполнения Стороной своих обязательств в результате отсутствия </w:t>
      </w:r>
      <w:r w:rsidRPr="000F0DCE">
        <w:lastRenderedPageBreak/>
        <w:t>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r w:rsidRPr="008D4E6C">
        <w:t>составлен</w:t>
      </w:r>
      <w:r>
        <w:t>ы</w:t>
      </w:r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5CE6AC1C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Контракт</w:t>
      </w:r>
      <w:r w:rsidR="00BB5377" w:rsidRPr="009F11E1">
        <w:t xml:space="preserve"> вступает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9655CC">
        <w:rPr>
          <w:b/>
        </w:rPr>
        <w:t>6</w:t>
      </w:r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B40C1">
      <w:pPr>
        <w:pStyle w:val="-1"/>
        <w:keepNext w:val="0"/>
        <w:widowControl w:val="0"/>
        <w:numPr>
          <w:ilvl w:val="0"/>
          <w:numId w:val="2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2BAFC8AF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соответствует требованиям, установленным законодательством Российской Федерации к данному типу товара. Поставка сопровождается следующими документами:</w:t>
      </w:r>
    </w:p>
    <w:p w14:paraId="11B2B92B" w14:textId="19F1DCE0" w:rsidR="00E20703" w:rsidRPr="00C77C1A" w:rsidRDefault="00E20703" w:rsidP="00E20703">
      <w:pPr>
        <w:pStyle w:val="af0"/>
        <w:ind w:left="567"/>
        <w:jc w:val="both"/>
        <w:rPr>
          <w:i/>
        </w:rPr>
      </w:pPr>
      <w:r w:rsidRPr="00C77C1A">
        <w:rPr>
          <w:i/>
        </w:rPr>
        <w:t>- паспортом качества и (или) сертификатом ана</w:t>
      </w:r>
      <w:r w:rsidR="0021607A">
        <w:rPr>
          <w:i/>
        </w:rPr>
        <w:t>лиза, предоставляемым</w:t>
      </w:r>
      <w:r w:rsidRPr="00C77C1A">
        <w:rPr>
          <w:i/>
        </w:rPr>
        <w:t xml:space="preserve"> производителем.</w:t>
      </w:r>
    </w:p>
    <w:p w14:paraId="10766710" w14:textId="6D5FD61A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по качеству соответствует техническим данным, указанным в паспорте качества и (или) серти</w:t>
      </w:r>
      <w:r w:rsidR="0021607A">
        <w:t>фикате анализа, предоставляемым</w:t>
      </w:r>
      <w:r w:rsidRPr="00B23CFA">
        <w:t xml:space="preserve"> производителем.</w:t>
      </w:r>
    </w:p>
    <w:p w14:paraId="295C8C62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Транспортировка и поставка товара осуществляются в соответствии с температурным режимом, который регламентирован производителем.</w:t>
      </w:r>
    </w:p>
    <w:p w14:paraId="2B0F65D4" w14:textId="5E824E96" w:rsidR="00FD66AB" w:rsidRPr="00D1760D" w:rsidRDefault="00E20703" w:rsidP="00E20703">
      <w:pPr>
        <w:pStyle w:val="-"/>
        <w:tabs>
          <w:tab w:val="clear" w:pos="567"/>
          <w:tab w:val="num" w:pos="0"/>
        </w:tabs>
        <w:ind w:left="0" w:firstLine="567"/>
        <w:rPr>
          <w:b/>
        </w:rPr>
      </w:pPr>
      <w:r w:rsidRPr="00B23CFA">
        <w:t xml:space="preserve">Срок годности поставляемого товара – </w:t>
      </w:r>
      <w:r w:rsidRPr="00B23CFA">
        <w:rPr>
          <w:b/>
        </w:rPr>
        <w:t>не менее 70 % общего срока годности</w:t>
      </w:r>
      <w:r w:rsidRPr="00B23CFA">
        <w:t>, указанного производителем.</w:t>
      </w:r>
    </w:p>
    <w:p w14:paraId="36700DD0" w14:textId="7B0175E6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p w14:paraId="00A7ABA0" w14:textId="7C69F922" w:rsidR="00F6701D" w:rsidRPr="00B14673" w:rsidRDefault="00F6701D" w:rsidP="00033567">
      <w:pPr>
        <w:pStyle w:val="af9"/>
        <w:numPr>
          <w:ilvl w:val="0"/>
          <w:numId w:val="2"/>
        </w:num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14673">
        <w:rPr>
          <w:rFonts w:ascii="Times New Roman" w:hAnsi="Times New Roman"/>
          <w:b/>
          <w:color w:val="000000"/>
          <w:sz w:val="24"/>
          <w:szCs w:val="24"/>
        </w:rPr>
        <w:t>ТЕХНИЧЕСКОЕ ЗАДАНИЕ</w:t>
      </w:r>
    </w:p>
    <w:p w14:paraId="7B066B5E" w14:textId="77777777" w:rsidR="009C36ED" w:rsidRPr="00F44793" w:rsidRDefault="009C36ED" w:rsidP="009C36ED">
      <w:pPr>
        <w:pStyle w:val="Default"/>
        <w:ind w:left="567"/>
        <w:jc w:val="center"/>
        <w:rPr>
          <w:sz w:val="22"/>
          <w:szCs w:val="22"/>
        </w:rPr>
      </w:pPr>
      <w:r w:rsidRPr="00F44793">
        <w:rPr>
          <w:sz w:val="22"/>
          <w:szCs w:val="22"/>
        </w:rPr>
        <w:t xml:space="preserve">на поставку прицепа и </w:t>
      </w:r>
      <w:proofErr w:type="spellStart"/>
      <w:r w:rsidRPr="00F44793">
        <w:rPr>
          <w:sz w:val="22"/>
          <w:szCs w:val="22"/>
        </w:rPr>
        <w:t>травосборника</w:t>
      </w:r>
      <w:proofErr w:type="spellEnd"/>
      <w:r w:rsidRPr="00F44793">
        <w:rPr>
          <w:sz w:val="22"/>
          <w:szCs w:val="22"/>
        </w:rPr>
        <w:t xml:space="preserve"> </w:t>
      </w:r>
      <w:r w:rsidRPr="00F44793">
        <w:rPr>
          <w:bCs/>
          <w:sz w:val="22"/>
          <w:szCs w:val="22"/>
        </w:rPr>
        <w:t>для садового райдера-газонокосилки аккумуляторного МОБИЛ К ХРА-98 Премиум МВК 0032650</w:t>
      </w:r>
    </w:p>
    <w:p w14:paraId="495CB4E3" w14:textId="77777777" w:rsidR="00F6701D" w:rsidRPr="006F22B9" w:rsidRDefault="00F6701D" w:rsidP="00F6701D">
      <w:pPr>
        <w:pStyle w:val="af9"/>
        <w:jc w:val="center"/>
        <w:rPr>
          <w:rFonts w:ascii="Times New Roman" w:hAnsi="Times New Roman"/>
          <w:color w:val="000000"/>
        </w:rPr>
      </w:pPr>
    </w:p>
    <w:p w14:paraId="333D10FF" w14:textId="77777777" w:rsidR="009C36ED" w:rsidRPr="00F44793" w:rsidRDefault="009C36ED" w:rsidP="009C36ED">
      <w:pPr>
        <w:pStyle w:val="3"/>
        <w:keepNext w:val="0"/>
        <w:numPr>
          <w:ilvl w:val="0"/>
          <w:numId w:val="9"/>
        </w:numPr>
        <w:tabs>
          <w:tab w:val="clear" w:pos="1260"/>
          <w:tab w:val="clear" w:pos="1865"/>
          <w:tab w:val="clear" w:pos="2700"/>
          <w:tab w:val="clear" w:pos="4140"/>
          <w:tab w:val="left" w:pos="426"/>
        </w:tabs>
        <w:suppressAutoHyphens w:val="0"/>
        <w:ind w:left="0" w:firstLine="0"/>
        <w:rPr>
          <w:b/>
          <w:sz w:val="22"/>
          <w:szCs w:val="22"/>
        </w:rPr>
      </w:pPr>
      <w:r w:rsidRPr="00F44793">
        <w:rPr>
          <w:b/>
          <w:sz w:val="22"/>
          <w:szCs w:val="22"/>
        </w:rPr>
        <w:t>Товар должен соответствовать требованиям, изложенным в Техническом задании.</w:t>
      </w:r>
    </w:p>
    <w:p w14:paraId="48C1CBF2" w14:textId="77777777" w:rsidR="009C36ED" w:rsidRPr="00F44793" w:rsidRDefault="009C36ED" w:rsidP="009C36ED">
      <w:pPr>
        <w:numPr>
          <w:ilvl w:val="0"/>
          <w:numId w:val="9"/>
        </w:numPr>
        <w:tabs>
          <w:tab w:val="center" w:pos="142"/>
          <w:tab w:val="left" w:pos="426"/>
        </w:tabs>
        <w:ind w:left="0" w:firstLine="0"/>
        <w:jc w:val="both"/>
        <w:rPr>
          <w:color w:val="000000"/>
        </w:rPr>
      </w:pPr>
      <w:r w:rsidRPr="00F44793">
        <w:t xml:space="preserve">Поставщик обязан осуществить поставку Товара в течении 20 (двадцати) рабочих дней с даты подписания </w:t>
      </w:r>
      <w:r>
        <w:t>контракт</w:t>
      </w:r>
      <w:r w:rsidRPr="00F44793">
        <w:t>а</w:t>
      </w:r>
      <w:r w:rsidRPr="00F44793">
        <w:rPr>
          <w:color w:val="000000"/>
        </w:rPr>
        <w:t xml:space="preserve">. </w:t>
      </w:r>
    </w:p>
    <w:p w14:paraId="4DB9DD6D" w14:textId="77777777" w:rsidR="009C36ED" w:rsidRPr="00F44793" w:rsidRDefault="009C36ED" w:rsidP="009C36ED">
      <w:pPr>
        <w:numPr>
          <w:ilvl w:val="0"/>
          <w:numId w:val="9"/>
        </w:numPr>
        <w:tabs>
          <w:tab w:val="center" w:pos="142"/>
          <w:tab w:val="left" w:pos="426"/>
        </w:tabs>
        <w:ind w:left="0" w:firstLine="0"/>
        <w:jc w:val="both"/>
      </w:pPr>
      <w:r w:rsidRPr="00F44793">
        <w:t xml:space="preserve">Доставка Товара осуществляется с понедельника по пятницу (кроме официально установленных российским законодательством праздничных дней) с 8:00 часов до 16:00 часов, обед с 12:00 до 13:10 (время Новосибирское). Не позднее, чем за 24 часа до момента поставки Товара уведомить Заказчика о планируемой отгрузке. </w:t>
      </w:r>
    </w:p>
    <w:p w14:paraId="6E70889E" w14:textId="77777777" w:rsidR="009C36ED" w:rsidRPr="00F44793" w:rsidRDefault="009C36ED" w:rsidP="009C36ED">
      <w:pPr>
        <w:tabs>
          <w:tab w:val="center" w:pos="142"/>
          <w:tab w:val="left" w:pos="426"/>
        </w:tabs>
        <w:jc w:val="both"/>
      </w:pPr>
      <w:r w:rsidRPr="00F44793">
        <w:t>Сообщение должно содержать:</w:t>
      </w:r>
    </w:p>
    <w:p w14:paraId="6E36166C" w14:textId="77777777" w:rsidR="009C36ED" w:rsidRPr="00F44793" w:rsidRDefault="009C36ED" w:rsidP="009C36ED">
      <w:pPr>
        <w:tabs>
          <w:tab w:val="center" w:pos="142"/>
          <w:tab w:val="left" w:pos="426"/>
        </w:tabs>
        <w:jc w:val="both"/>
      </w:pPr>
      <w:r w:rsidRPr="00F44793">
        <w:t>- ФИО (полностью) водителя;</w:t>
      </w:r>
    </w:p>
    <w:p w14:paraId="2C072559" w14:textId="77777777" w:rsidR="009C36ED" w:rsidRPr="00F44793" w:rsidRDefault="009C36ED" w:rsidP="009C36ED">
      <w:pPr>
        <w:tabs>
          <w:tab w:val="center" w:pos="142"/>
          <w:tab w:val="left" w:pos="426"/>
        </w:tabs>
        <w:jc w:val="both"/>
      </w:pPr>
      <w:r w:rsidRPr="00F44793">
        <w:t xml:space="preserve">- </w:t>
      </w:r>
      <w:proofErr w:type="gramStart"/>
      <w:r w:rsidRPr="00F44793">
        <w:t>марка  и</w:t>
      </w:r>
      <w:proofErr w:type="gramEnd"/>
      <w:r w:rsidRPr="00F44793">
        <w:t xml:space="preserve"> </w:t>
      </w:r>
      <w:proofErr w:type="spellStart"/>
      <w:r w:rsidRPr="00F44793">
        <w:t>гос</w:t>
      </w:r>
      <w:proofErr w:type="spellEnd"/>
      <w:r w:rsidRPr="00F44793">
        <w:t xml:space="preserve"> номер машины;</w:t>
      </w:r>
    </w:p>
    <w:p w14:paraId="29308167" w14:textId="77777777" w:rsidR="009C36ED" w:rsidRPr="00F44793" w:rsidRDefault="009C36ED" w:rsidP="009C36ED">
      <w:pPr>
        <w:tabs>
          <w:tab w:val="center" w:pos="142"/>
          <w:tab w:val="left" w:pos="426"/>
        </w:tabs>
        <w:jc w:val="both"/>
      </w:pPr>
      <w:r w:rsidRPr="00F44793">
        <w:t xml:space="preserve">- дату и планируемое время отгрузки. </w:t>
      </w:r>
    </w:p>
    <w:p w14:paraId="44E11D7E" w14:textId="77777777" w:rsidR="009C36ED" w:rsidRPr="00F44793" w:rsidRDefault="009C36ED" w:rsidP="009C36ED">
      <w:pPr>
        <w:numPr>
          <w:ilvl w:val="0"/>
          <w:numId w:val="9"/>
        </w:numPr>
        <w:tabs>
          <w:tab w:val="center" w:pos="0"/>
          <w:tab w:val="left" w:pos="426"/>
        </w:tabs>
        <w:ind w:left="0" w:firstLine="0"/>
        <w:jc w:val="both"/>
      </w:pPr>
      <w:r w:rsidRPr="00F44793">
        <w:lastRenderedPageBreak/>
        <w:t xml:space="preserve">Поставщик обязан поставить Товар в порядке, количестве, в срок и на условиях, предусмотренных </w:t>
      </w:r>
      <w:r>
        <w:t>Контракт</w:t>
      </w:r>
      <w:r w:rsidRPr="00F44793">
        <w:t>ом.</w:t>
      </w:r>
    </w:p>
    <w:p w14:paraId="0B3532C8" w14:textId="77777777" w:rsidR="009C36ED" w:rsidRPr="00F44793" w:rsidRDefault="009C36ED" w:rsidP="009C36ED">
      <w:pPr>
        <w:numPr>
          <w:ilvl w:val="0"/>
          <w:numId w:val="9"/>
        </w:numPr>
        <w:tabs>
          <w:tab w:val="center" w:pos="142"/>
          <w:tab w:val="left" w:pos="426"/>
        </w:tabs>
        <w:autoSpaceDE w:val="0"/>
        <w:autoSpaceDN w:val="0"/>
        <w:ind w:left="0" w:firstLine="0"/>
        <w:jc w:val="both"/>
      </w:pPr>
      <w:r w:rsidRPr="00F44793">
        <w:t xml:space="preserve">Одновременно с поставкой Товара представить следующие документы: </w:t>
      </w:r>
    </w:p>
    <w:p w14:paraId="12E9EB7D" w14:textId="77777777" w:rsidR="009C36ED" w:rsidRPr="00F44793" w:rsidRDefault="009C36ED" w:rsidP="009C36ED">
      <w:pPr>
        <w:tabs>
          <w:tab w:val="left" w:pos="426"/>
          <w:tab w:val="center" w:pos="567"/>
        </w:tabs>
        <w:autoSpaceDE w:val="0"/>
        <w:autoSpaceDN w:val="0"/>
        <w:jc w:val="both"/>
      </w:pPr>
      <w:r w:rsidRPr="00F44793">
        <w:t>- Товарную накладную или Универсальный передаточный документ (УПД);</w:t>
      </w:r>
    </w:p>
    <w:p w14:paraId="32FBE32B" w14:textId="77777777" w:rsidR="009C36ED" w:rsidRPr="00F44793" w:rsidRDefault="009C36ED" w:rsidP="009C36ED">
      <w:pPr>
        <w:tabs>
          <w:tab w:val="left" w:pos="426"/>
          <w:tab w:val="center" w:pos="567"/>
        </w:tabs>
        <w:autoSpaceDE w:val="0"/>
        <w:autoSpaceDN w:val="0"/>
        <w:jc w:val="both"/>
      </w:pPr>
      <w:r w:rsidRPr="00F44793">
        <w:t xml:space="preserve">- Счет;  </w:t>
      </w:r>
    </w:p>
    <w:p w14:paraId="0446AA69" w14:textId="77777777" w:rsidR="009C36ED" w:rsidRPr="00F44793" w:rsidRDefault="009C36ED" w:rsidP="009C36ED">
      <w:pPr>
        <w:tabs>
          <w:tab w:val="left" w:pos="426"/>
          <w:tab w:val="center" w:pos="567"/>
        </w:tabs>
        <w:autoSpaceDE w:val="0"/>
        <w:autoSpaceDN w:val="0"/>
        <w:jc w:val="both"/>
      </w:pPr>
      <w:r w:rsidRPr="00F44793">
        <w:t xml:space="preserve">- Счет-фактуру (настоящее условие не применяется в случае, если Поставщик не является плательщиком НДС); </w:t>
      </w:r>
    </w:p>
    <w:p w14:paraId="2604440E" w14:textId="77777777" w:rsidR="009C36ED" w:rsidRPr="00F44793" w:rsidRDefault="009C36ED" w:rsidP="009C36ED">
      <w:pPr>
        <w:tabs>
          <w:tab w:val="left" w:pos="426"/>
          <w:tab w:val="center" w:pos="567"/>
        </w:tabs>
        <w:jc w:val="both"/>
      </w:pPr>
      <w:r w:rsidRPr="00F44793">
        <w:t>- Копию сертификата соответствия (или декларации о соответствии), оформленного в соответствии с законодательством Российской Федерации (в случае, если в соответствии с действующим законодательством РФ поставляемый товар подлежит обязательной сертификации/декларированию);</w:t>
      </w:r>
    </w:p>
    <w:p w14:paraId="0CB3929F" w14:textId="77777777" w:rsidR="009C36ED" w:rsidRPr="00F44793" w:rsidRDefault="009C36ED" w:rsidP="009C36ED">
      <w:pPr>
        <w:tabs>
          <w:tab w:val="left" w:pos="426"/>
          <w:tab w:val="center" w:pos="567"/>
        </w:tabs>
        <w:jc w:val="both"/>
      </w:pPr>
      <w:r w:rsidRPr="00F44793">
        <w:t>- Копию сертификата (паспорта) качества производителя, иных документов по качеству, предусмотренных законодательством Российской Федерации (при наличии).</w:t>
      </w:r>
    </w:p>
    <w:p w14:paraId="600CA6D1" w14:textId="77777777" w:rsidR="009C36ED" w:rsidRPr="00F44793" w:rsidRDefault="009C36ED" w:rsidP="009C36ED">
      <w:pPr>
        <w:numPr>
          <w:ilvl w:val="0"/>
          <w:numId w:val="9"/>
        </w:numPr>
        <w:tabs>
          <w:tab w:val="center" w:pos="142"/>
          <w:tab w:val="left" w:pos="426"/>
        </w:tabs>
        <w:autoSpaceDE w:val="0"/>
        <w:autoSpaceDN w:val="0"/>
        <w:ind w:left="0" w:firstLine="0"/>
        <w:jc w:val="both"/>
      </w:pPr>
      <w:r w:rsidRPr="00F44793">
        <w:t xml:space="preserve"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декларированию, установленным законодательством Российской Федерации и </w:t>
      </w:r>
      <w:r>
        <w:t>Контракт</w:t>
      </w:r>
      <w:r w:rsidRPr="00F44793">
        <w:t>ом.</w:t>
      </w:r>
    </w:p>
    <w:p w14:paraId="60687D96" w14:textId="77777777" w:rsidR="009C36ED" w:rsidRPr="00F44793" w:rsidRDefault="009C36ED" w:rsidP="009C36ED">
      <w:pPr>
        <w:numPr>
          <w:ilvl w:val="0"/>
          <w:numId w:val="9"/>
        </w:numPr>
        <w:tabs>
          <w:tab w:val="left" w:pos="426"/>
          <w:tab w:val="center" w:pos="567"/>
        </w:tabs>
        <w:autoSpaceDE w:val="0"/>
        <w:autoSpaceDN w:val="0"/>
        <w:ind w:left="0" w:firstLine="0"/>
        <w:jc w:val="both"/>
      </w:pPr>
      <w:r w:rsidRPr="00F44793"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>
        <w:t>Контракт</w:t>
      </w:r>
      <w:r w:rsidRPr="00F44793">
        <w:t>ом.</w:t>
      </w:r>
    </w:p>
    <w:p w14:paraId="23A6BF48" w14:textId="77777777" w:rsidR="009C36ED" w:rsidRPr="00F44793" w:rsidRDefault="009C36ED" w:rsidP="009C36ED">
      <w:pPr>
        <w:numPr>
          <w:ilvl w:val="0"/>
          <w:numId w:val="9"/>
        </w:numPr>
        <w:tabs>
          <w:tab w:val="center" w:pos="142"/>
          <w:tab w:val="left" w:pos="426"/>
        </w:tabs>
        <w:autoSpaceDE w:val="0"/>
        <w:autoSpaceDN w:val="0"/>
        <w:ind w:left="0" w:firstLine="0"/>
        <w:jc w:val="both"/>
      </w:pPr>
      <w:r w:rsidRPr="00F44793">
        <w:t>Принять от Заказчика Товар, от приемки которого Заказчик обоснованно отказался (не прошедшего приемку), и вывезти его за свой счет.</w:t>
      </w:r>
    </w:p>
    <w:p w14:paraId="4F04F430" w14:textId="77777777" w:rsidR="009C36ED" w:rsidRPr="00F44793" w:rsidRDefault="009C36ED" w:rsidP="009C36ED">
      <w:pPr>
        <w:numPr>
          <w:ilvl w:val="0"/>
          <w:numId w:val="9"/>
        </w:numPr>
        <w:tabs>
          <w:tab w:val="center" w:pos="0"/>
          <w:tab w:val="left" w:pos="426"/>
        </w:tabs>
        <w:ind w:left="0" w:firstLine="0"/>
        <w:jc w:val="both"/>
        <w:rPr>
          <w:i/>
        </w:rPr>
      </w:pPr>
      <w:r w:rsidRPr="00F44793">
        <w:t xml:space="preserve">Поставляемый Товар должен быть новым товаром. Товар не должен иметь дефектов, связанных с конструкцией, материалами или функционированием при его использовании и должен быть пригодным для его использования по целевому назначению. </w:t>
      </w:r>
    </w:p>
    <w:p w14:paraId="0C18B6C6" w14:textId="77777777" w:rsidR="009C36ED" w:rsidRPr="00F44793" w:rsidRDefault="009C36ED" w:rsidP="009C36ED">
      <w:pPr>
        <w:numPr>
          <w:ilvl w:val="0"/>
          <w:numId w:val="9"/>
        </w:numPr>
        <w:tabs>
          <w:tab w:val="center" w:pos="-284"/>
          <w:tab w:val="left" w:pos="426"/>
        </w:tabs>
        <w:ind w:left="0" w:firstLine="0"/>
        <w:jc w:val="both"/>
      </w:pPr>
      <w:r w:rsidRPr="00F44793"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 </w:t>
      </w:r>
    </w:p>
    <w:p w14:paraId="2B287B89" w14:textId="77777777" w:rsidR="009C36ED" w:rsidRPr="00F44793" w:rsidRDefault="009C36ED" w:rsidP="009C36ED">
      <w:pPr>
        <w:numPr>
          <w:ilvl w:val="0"/>
          <w:numId w:val="9"/>
        </w:numPr>
        <w:tabs>
          <w:tab w:val="center" w:pos="0"/>
          <w:tab w:val="left" w:pos="426"/>
        </w:tabs>
        <w:ind w:left="0" w:firstLine="0"/>
        <w:jc w:val="both"/>
      </w:pPr>
      <w:r w:rsidRPr="00F44793">
        <w:t>Гарантийный срок на Товар считается с даты приемки Товара Заказчиком. Гарантийный срок приостанавливается на срок, в течение которого товар не мог использоваться по назначению вследствие недостатков, за которые несет ответственность Поставщик. Гарантийный срок продлевается на период устранения недостатков.</w:t>
      </w:r>
    </w:p>
    <w:p w14:paraId="4B17F3B0" w14:textId="77777777" w:rsidR="009C36ED" w:rsidRPr="00F44793" w:rsidRDefault="009C36ED" w:rsidP="009C36ED">
      <w:pPr>
        <w:numPr>
          <w:ilvl w:val="0"/>
          <w:numId w:val="9"/>
        </w:numPr>
        <w:tabs>
          <w:tab w:val="center" w:pos="0"/>
          <w:tab w:val="left" w:pos="426"/>
        </w:tabs>
        <w:ind w:left="0" w:firstLine="0"/>
        <w:jc w:val="both"/>
      </w:pPr>
      <w:r w:rsidRPr="00F44793">
        <w:t xml:space="preserve">Если в течение гарантийного срока выявится существенное нарушение требований к качеству Товара, заказчик должен письменно заявить о них Поставщику. Поставщик обязан изъять Товар ненадлежащего качества у Заказчика, а также заменить за свой счет Товаром надлежащего качества. </w:t>
      </w:r>
    </w:p>
    <w:p w14:paraId="70EC7443" w14:textId="77777777" w:rsidR="009C36ED" w:rsidRPr="00F44793" w:rsidRDefault="009C36ED" w:rsidP="009C36ED">
      <w:pPr>
        <w:numPr>
          <w:ilvl w:val="0"/>
          <w:numId w:val="9"/>
        </w:numPr>
        <w:tabs>
          <w:tab w:val="center" w:pos="0"/>
          <w:tab w:val="left" w:pos="426"/>
        </w:tabs>
        <w:ind w:left="0" w:firstLine="0"/>
        <w:jc w:val="both"/>
      </w:pPr>
      <w:r w:rsidRPr="00F44793">
        <w:t>Товар должен поставляться в упаковке, предотвращающей его порчу при транспортировке.</w:t>
      </w:r>
    </w:p>
    <w:p w14:paraId="3A351990" w14:textId="77777777" w:rsidR="009C36ED" w:rsidRPr="00F44793" w:rsidRDefault="009C36ED" w:rsidP="009C36ED">
      <w:pPr>
        <w:pStyle w:val="af9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/>
          <w:color w:val="000000"/>
        </w:rPr>
      </w:pPr>
      <w:r w:rsidRPr="00F44793">
        <w:rPr>
          <w:rFonts w:ascii="Times New Roman" w:hAnsi="Times New Roman"/>
          <w:color w:val="000000"/>
        </w:rPr>
        <w:t xml:space="preserve">Цена </w:t>
      </w:r>
      <w:r>
        <w:rPr>
          <w:rFonts w:ascii="Times New Roman" w:hAnsi="Times New Roman"/>
          <w:color w:val="000000"/>
        </w:rPr>
        <w:t>Контракт</w:t>
      </w:r>
      <w:r w:rsidRPr="00F44793">
        <w:rPr>
          <w:rFonts w:ascii="Times New Roman" w:hAnsi="Times New Roman"/>
          <w:color w:val="000000"/>
        </w:rPr>
        <w:t xml:space="preserve">а является твердой и не подлежит изменению в период действия </w:t>
      </w:r>
      <w:r>
        <w:rPr>
          <w:rFonts w:ascii="Times New Roman" w:hAnsi="Times New Roman"/>
          <w:color w:val="000000"/>
        </w:rPr>
        <w:t>Контракт</w:t>
      </w:r>
      <w:r w:rsidRPr="00F44793">
        <w:rPr>
          <w:rFonts w:ascii="Times New Roman" w:hAnsi="Times New Roman"/>
          <w:color w:val="000000"/>
        </w:rPr>
        <w:t>а.</w:t>
      </w:r>
    </w:p>
    <w:p w14:paraId="22228075" w14:textId="77777777" w:rsidR="009C36ED" w:rsidRPr="00F44793" w:rsidRDefault="009C36ED" w:rsidP="009C36ED">
      <w:pPr>
        <w:numPr>
          <w:ilvl w:val="0"/>
          <w:numId w:val="9"/>
        </w:numPr>
        <w:tabs>
          <w:tab w:val="center" w:pos="0"/>
          <w:tab w:val="left" w:pos="426"/>
        </w:tabs>
        <w:ind w:left="0" w:firstLine="0"/>
        <w:jc w:val="both"/>
      </w:pPr>
      <w:r w:rsidRPr="00F44793">
        <w:t xml:space="preserve">Цена </w:t>
      </w:r>
      <w:r>
        <w:t>Контракт</w:t>
      </w:r>
      <w:r w:rsidRPr="00F44793">
        <w:t xml:space="preserve">а включает в себя помимо стоимости Товара, являющегося предметом </w:t>
      </w:r>
      <w:r>
        <w:t>контракт</w:t>
      </w:r>
      <w:r w:rsidRPr="00F44793">
        <w:t xml:space="preserve">а, также расходы, связанные с упаковкой, маркировкой Товара, погрузо-разгрузочными работами, доставкой Товара, налоги, сборы и </w:t>
      </w:r>
      <w:proofErr w:type="gramStart"/>
      <w:r w:rsidRPr="00F44793">
        <w:t>другие обязательные платежи</w:t>
      </w:r>
      <w:proofErr w:type="gramEnd"/>
      <w:r w:rsidRPr="00F44793">
        <w:t xml:space="preserve"> и иные расходы, которые могут возникнуть у Поставщика в связи с исполнением </w:t>
      </w:r>
      <w:r>
        <w:t>контракт</w:t>
      </w:r>
      <w:r w:rsidRPr="00F44793">
        <w:t>а.</w:t>
      </w:r>
    </w:p>
    <w:p w14:paraId="20A6C57F" w14:textId="77777777" w:rsidR="009C36ED" w:rsidRPr="00F44793" w:rsidRDefault="009C36ED" w:rsidP="009C36ED">
      <w:pPr>
        <w:numPr>
          <w:ilvl w:val="0"/>
          <w:numId w:val="9"/>
        </w:numPr>
        <w:tabs>
          <w:tab w:val="center" w:pos="0"/>
          <w:tab w:val="left" w:pos="426"/>
        </w:tabs>
        <w:ind w:left="0" w:firstLine="0"/>
        <w:jc w:val="both"/>
      </w:pPr>
      <w:r w:rsidRPr="00F44793">
        <w:t xml:space="preserve">Оплата поставленного по </w:t>
      </w:r>
      <w:r>
        <w:t>Контракт</w:t>
      </w:r>
      <w:r w:rsidRPr="00F44793">
        <w:t>у Товар производится Заказчиком путем безналичного перечисления денежных средств Заказчика на расчетный счет Поставщика не позднее 7 (семи) рабочих дней по факту поставки Товара на основании подписанной сторонами Товарной накладной или Универсального передаточного документа (УПД), счета и счет-фактуры (настоящее условие не применяется в случае, если Поставщик не является плательщиком НДС), выставленных Поставщиком.</w:t>
      </w:r>
    </w:p>
    <w:p w14:paraId="38F36D6F" w14:textId="77777777" w:rsidR="009C36ED" w:rsidRPr="00F44793" w:rsidRDefault="009C36ED" w:rsidP="009C36ED">
      <w:pPr>
        <w:tabs>
          <w:tab w:val="center" w:pos="0"/>
          <w:tab w:val="left" w:pos="426"/>
        </w:tabs>
        <w:jc w:val="both"/>
      </w:pPr>
    </w:p>
    <w:tbl>
      <w:tblPr>
        <w:tblStyle w:val="a7"/>
        <w:tblW w:w="10348" w:type="dxa"/>
        <w:tblInd w:w="-5" w:type="dxa"/>
        <w:tblLook w:val="04A0" w:firstRow="1" w:lastRow="0" w:firstColumn="1" w:lastColumn="0" w:noHBand="0" w:noVBand="1"/>
      </w:tblPr>
      <w:tblGrid>
        <w:gridCol w:w="910"/>
        <w:gridCol w:w="2474"/>
        <w:gridCol w:w="1083"/>
        <w:gridCol w:w="940"/>
        <w:gridCol w:w="1396"/>
        <w:gridCol w:w="3545"/>
      </w:tblGrid>
      <w:tr w:rsidR="009C36ED" w14:paraId="231022EF" w14:textId="77777777" w:rsidTr="009C36ED">
        <w:tc>
          <w:tcPr>
            <w:tcW w:w="910" w:type="dxa"/>
            <w:vAlign w:val="center"/>
          </w:tcPr>
          <w:p w14:paraId="30A3F3FF" w14:textId="62766152" w:rsidR="009C36ED" w:rsidRPr="009C36ED" w:rsidRDefault="009C36ED" w:rsidP="009C36ED">
            <w:pPr>
              <w:tabs>
                <w:tab w:val="left" w:pos="0"/>
              </w:tabs>
              <w:ind w:firstLine="22"/>
              <w:rPr>
                <w:b/>
                <w:color w:val="000000"/>
                <w:spacing w:val="6"/>
              </w:rPr>
            </w:pPr>
            <w:r w:rsidRPr="009C36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482" w:type="dxa"/>
            <w:vAlign w:val="center"/>
          </w:tcPr>
          <w:p w14:paraId="1CD45D19" w14:textId="72806007" w:rsidR="009C36ED" w:rsidRPr="009C36ED" w:rsidRDefault="009C36ED" w:rsidP="009C36ED">
            <w:pPr>
              <w:tabs>
                <w:tab w:val="left" w:pos="0"/>
              </w:tabs>
              <w:ind w:firstLine="32"/>
              <w:rPr>
                <w:b/>
                <w:color w:val="000000"/>
                <w:spacing w:val="6"/>
              </w:rPr>
            </w:pPr>
            <w:r w:rsidRPr="009C36ED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085" w:type="dxa"/>
            <w:vAlign w:val="center"/>
          </w:tcPr>
          <w:p w14:paraId="1A044B4C" w14:textId="41F0D332" w:rsidR="009C36ED" w:rsidRPr="009C36ED" w:rsidRDefault="009C36ED" w:rsidP="009C36ED">
            <w:pPr>
              <w:tabs>
                <w:tab w:val="left" w:pos="0"/>
              </w:tabs>
              <w:ind w:firstLine="0"/>
              <w:rPr>
                <w:b/>
                <w:color w:val="000000"/>
                <w:spacing w:val="6"/>
              </w:rPr>
            </w:pPr>
            <w:r w:rsidRPr="009C36E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42" w:type="dxa"/>
            <w:vAlign w:val="center"/>
          </w:tcPr>
          <w:p w14:paraId="31C95377" w14:textId="4EE2F94F" w:rsidR="009C36ED" w:rsidRPr="009C36ED" w:rsidRDefault="009C36ED" w:rsidP="009C36ED">
            <w:pPr>
              <w:tabs>
                <w:tab w:val="left" w:pos="0"/>
              </w:tabs>
              <w:ind w:firstLine="0"/>
              <w:rPr>
                <w:b/>
                <w:color w:val="000000"/>
                <w:spacing w:val="6"/>
              </w:rPr>
            </w:pPr>
            <w:r w:rsidRPr="009C36ED">
              <w:rPr>
                <w:b/>
                <w:sz w:val="22"/>
                <w:szCs w:val="22"/>
              </w:rPr>
              <w:t>Кол-во.</w:t>
            </w:r>
          </w:p>
        </w:tc>
        <w:tc>
          <w:tcPr>
            <w:tcW w:w="1371" w:type="dxa"/>
            <w:vAlign w:val="center"/>
          </w:tcPr>
          <w:p w14:paraId="1393C032" w14:textId="748324DC" w:rsidR="009C36ED" w:rsidRPr="009C36ED" w:rsidRDefault="009C36ED" w:rsidP="009C36ED">
            <w:pPr>
              <w:tabs>
                <w:tab w:val="left" w:pos="0"/>
              </w:tabs>
              <w:ind w:firstLine="0"/>
              <w:rPr>
                <w:b/>
                <w:color w:val="000000"/>
                <w:spacing w:val="6"/>
              </w:rPr>
            </w:pPr>
            <w:r w:rsidRPr="009C36ED">
              <w:rPr>
                <w:b/>
                <w:sz w:val="22"/>
                <w:szCs w:val="22"/>
              </w:rPr>
              <w:t>ОКПД 2</w:t>
            </w:r>
          </w:p>
        </w:tc>
        <w:tc>
          <w:tcPr>
            <w:tcW w:w="3558" w:type="dxa"/>
          </w:tcPr>
          <w:p w14:paraId="662A11F7" w14:textId="00CD7408" w:rsidR="009C36ED" w:rsidRPr="009C36ED" w:rsidRDefault="009C36ED" w:rsidP="009C36ED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  <w:color w:val="000000"/>
                <w:spacing w:val="6"/>
              </w:rPr>
            </w:pPr>
            <w:r w:rsidRPr="009C36ED">
              <w:rPr>
                <w:b/>
                <w:color w:val="000000"/>
                <w:spacing w:val="6"/>
              </w:rPr>
              <w:t>Технические</w:t>
            </w:r>
            <w:r w:rsidRPr="009C36ED">
              <w:rPr>
                <w:b/>
                <w:color w:val="000000"/>
                <w:spacing w:val="6"/>
              </w:rPr>
              <w:t xml:space="preserve"> </w:t>
            </w:r>
            <w:r w:rsidRPr="009C36ED">
              <w:rPr>
                <w:b/>
                <w:color w:val="000000"/>
                <w:spacing w:val="6"/>
              </w:rPr>
              <w:t>характеристики</w:t>
            </w:r>
          </w:p>
          <w:p w14:paraId="2640E7FA" w14:textId="77777777" w:rsidR="009C36ED" w:rsidRPr="009C36ED" w:rsidRDefault="009C36ED" w:rsidP="009C36ED">
            <w:pPr>
              <w:tabs>
                <w:tab w:val="left" w:pos="0"/>
              </w:tabs>
              <w:rPr>
                <w:b/>
                <w:color w:val="000000"/>
                <w:spacing w:val="6"/>
              </w:rPr>
            </w:pPr>
          </w:p>
        </w:tc>
      </w:tr>
      <w:tr w:rsidR="00F54D29" w14:paraId="10A06BE5" w14:textId="77777777" w:rsidTr="009C36ED">
        <w:tc>
          <w:tcPr>
            <w:tcW w:w="910" w:type="dxa"/>
          </w:tcPr>
          <w:p w14:paraId="3D18FEBF" w14:textId="7A5B08DB" w:rsidR="009C36ED" w:rsidRDefault="009C36ED" w:rsidP="009C36ED">
            <w:pPr>
              <w:tabs>
                <w:tab w:val="left" w:pos="0"/>
              </w:tabs>
              <w:ind w:right="-104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1</w:t>
            </w:r>
          </w:p>
        </w:tc>
        <w:tc>
          <w:tcPr>
            <w:tcW w:w="2482" w:type="dxa"/>
          </w:tcPr>
          <w:p w14:paraId="02F1A9A7" w14:textId="7F0950C0" w:rsidR="009C36ED" w:rsidRPr="00F54D29" w:rsidRDefault="009C36ED" w:rsidP="009C36ED">
            <w:pPr>
              <w:tabs>
                <w:tab w:val="left" w:pos="0"/>
              </w:tabs>
              <w:ind w:firstLine="28"/>
              <w:rPr>
                <w:color w:val="000000"/>
                <w:spacing w:val="6"/>
              </w:rPr>
            </w:pPr>
            <w:r w:rsidRPr="00F54D29">
              <w:rPr>
                <w:color w:val="000000"/>
                <w:sz w:val="22"/>
                <w:szCs w:val="22"/>
              </w:rPr>
              <w:t xml:space="preserve">Прицеп </w:t>
            </w:r>
            <w:r w:rsidRPr="00F54D29">
              <w:rPr>
                <w:bCs/>
                <w:sz w:val="22"/>
                <w:szCs w:val="22"/>
              </w:rPr>
              <w:t xml:space="preserve">МОБИЛ К ТПМ-500-1 Премиум </w:t>
            </w:r>
            <w:r w:rsidRPr="00F54D29">
              <w:rPr>
                <w:sz w:val="22"/>
                <w:szCs w:val="22"/>
              </w:rPr>
              <w:t>оцинкованный</w:t>
            </w:r>
          </w:p>
        </w:tc>
        <w:tc>
          <w:tcPr>
            <w:tcW w:w="1085" w:type="dxa"/>
          </w:tcPr>
          <w:p w14:paraId="0C060AFE" w14:textId="0116C9E0" w:rsidR="009C36ED" w:rsidRDefault="009C36ED" w:rsidP="009C36ED">
            <w:pPr>
              <w:tabs>
                <w:tab w:val="left" w:pos="0"/>
              </w:tabs>
              <w:ind w:firstLine="207"/>
              <w:rPr>
                <w:color w:val="000000"/>
                <w:spacing w:val="6"/>
              </w:rPr>
            </w:pPr>
            <w:proofErr w:type="spellStart"/>
            <w:r>
              <w:rPr>
                <w:color w:val="000000"/>
                <w:spacing w:val="6"/>
              </w:rPr>
              <w:t>шт</w:t>
            </w:r>
            <w:proofErr w:type="spellEnd"/>
          </w:p>
        </w:tc>
        <w:tc>
          <w:tcPr>
            <w:tcW w:w="942" w:type="dxa"/>
          </w:tcPr>
          <w:p w14:paraId="5EE062E7" w14:textId="624B528A" w:rsidR="009C36ED" w:rsidRDefault="009C36ED" w:rsidP="00F54D29">
            <w:pPr>
              <w:tabs>
                <w:tab w:val="left" w:pos="0"/>
              </w:tabs>
              <w:ind w:firstLine="261"/>
              <w:jc w:val="left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1</w:t>
            </w:r>
          </w:p>
        </w:tc>
        <w:tc>
          <w:tcPr>
            <w:tcW w:w="1371" w:type="dxa"/>
          </w:tcPr>
          <w:p w14:paraId="613F2454" w14:textId="2A5220BE" w:rsidR="009C36ED" w:rsidRPr="009C36ED" w:rsidRDefault="009C36ED" w:rsidP="009C36ED">
            <w:pPr>
              <w:tabs>
                <w:tab w:val="left" w:pos="0"/>
              </w:tabs>
              <w:ind w:firstLine="0"/>
              <w:rPr>
                <w:color w:val="000000"/>
                <w:spacing w:val="6"/>
              </w:rPr>
            </w:pPr>
            <w:r w:rsidRPr="009C36ED">
              <w:rPr>
                <w:sz w:val="22"/>
                <w:szCs w:val="22"/>
              </w:rPr>
              <w:t>29.20.23.130</w:t>
            </w:r>
          </w:p>
        </w:tc>
        <w:tc>
          <w:tcPr>
            <w:tcW w:w="3558" w:type="dxa"/>
          </w:tcPr>
          <w:p w14:paraId="45C17B13" w14:textId="77777777" w:rsidR="009C36ED" w:rsidRPr="00F54D29" w:rsidRDefault="009C36ED" w:rsidP="00F54D29">
            <w:pPr>
              <w:tabs>
                <w:tab w:val="left" w:pos="0"/>
              </w:tabs>
              <w:ind w:firstLine="0"/>
              <w:jc w:val="left"/>
              <w:rPr>
                <w:color w:val="000000"/>
                <w:spacing w:val="6"/>
              </w:rPr>
            </w:pPr>
            <w:bookmarkStart w:id="5" w:name="_GoBack"/>
            <w:r w:rsidRPr="00F54D29">
              <w:rPr>
                <w:color w:val="000000"/>
                <w:spacing w:val="6"/>
              </w:rPr>
              <w:t xml:space="preserve">- Допустимая общая масса 500 кг, </w:t>
            </w:r>
          </w:p>
          <w:p w14:paraId="2A9B74ED" w14:textId="77777777" w:rsidR="009C36ED" w:rsidRPr="00F54D29" w:rsidRDefault="009C36ED" w:rsidP="00F54D29">
            <w:pPr>
              <w:tabs>
                <w:tab w:val="left" w:pos="0"/>
              </w:tabs>
              <w:ind w:firstLine="0"/>
              <w:jc w:val="left"/>
              <w:rPr>
                <w:color w:val="000000"/>
                <w:spacing w:val="6"/>
              </w:rPr>
            </w:pPr>
            <w:r w:rsidRPr="00F54D29">
              <w:rPr>
                <w:color w:val="000000"/>
                <w:spacing w:val="6"/>
              </w:rPr>
              <w:t xml:space="preserve">- Габаритные размеры, </w:t>
            </w:r>
            <w:bookmarkEnd w:id="5"/>
            <w:r w:rsidRPr="00F54D29">
              <w:rPr>
                <w:color w:val="000000"/>
                <w:spacing w:val="6"/>
              </w:rPr>
              <w:t xml:space="preserve">не более мм. (длина, ширина, высота) - 2220х1150х760, </w:t>
            </w:r>
          </w:p>
          <w:p w14:paraId="28E16697" w14:textId="77777777" w:rsidR="009C36ED" w:rsidRPr="00F54D29" w:rsidRDefault="009C36ED" w:rsidP="00F54D29">
            <w:pPr>
              <w:tabs>
                <w:tab w:val="left" w:pos="0"/>
              </w:tabs>
              <w:ind w:hanging="29"/>
              <w:jc w:val="left"/>
              <w:rPr>
                <w:color w:val="000000"/>
                <w:spacing w:val="6"/>
              </w:rPr>
            </w:pPr>
            <w:r w:rsidRPr="00F54D29">
              <w:rPr>
                <w:color w:val="000000"/>
                <w:spacing w:val="6"/>
              </w:rPr>
              <w:lastRenderedPageBreak/>
              <w:t xml:space="preserve">- Размеры кузова внутренние, не менее мм (длина, ширина, </w:t>
            </w:r>
            <w:proofErr w:type="gramStart"/>
            <w:r w:rsidRPr="00F54D29">
              <w:rPr>
                <w:color w:val="000000"/>
                <w:spacing w:val="6"/>
              </w:rPr>
              <w:t>вы-</w:t>
            </w:r>
            <w:proofErr w:type="spellStart"/>
            <w:r w:rsidRPr="00F54D29">
              <w:rPr>
                <w:color w:val="000000"/>
                <w:spacing w:val="6"/>
              </w:rPr>
              <w:t>сота</w:t>
            </w:r>
            <w:proofErr w:type="spellEnd"/>
            <w:proofErr w:type="gramEnd"/>
            <w:r w:rsidRPr="00F54D29">
              <w:rPr>
                <w:color w:val="000000"/>
                <w:spacing w:val="6"/>
              </w:rPr>
              <w:t xml:space="preserve">) - 1110х1008х305, </w:t>
            </w:r>
          </w:p>
          <w:p w14:paraId="6A297510" w14:textId="77777777" w:rsidR="009C36ED" w:rsidRPr="00F54D29" w:rsidRDefault="009C36ED" w:rsidP="00F54D29">
            <w:pPr>
              <w:tabs>
                <w:tab w:val="left" w:pos="0"/>
              </w:tabs>
              <w:ind w:hanging="29"/>
              <w:jc w:val="left"/>
              <w:rPr>
                <w:color w:val="000000"/>
                <w:spacing w:val="6"/>
              </w:rPr>
            </w:pPr>
            <w:r w:rsidRPr="00F54D29">
              <w:rPr>
                <w:color w:val="000000"/>
                <w:spacing w:val="6"/>
              </w:rPr>
              <w:t>- Дорожный просвет, не менее 325 мм,</w:t>
            </w:r>
          </w:p>
          <w:p w14:paraId="537CC838" w14:textId="77777777" w:rsidR="009C36ED" w:rsidRPr="00F54D29" w:rsidRDefault="009C36ED" w:rsidP="00F54D29">
            <w:pPr>
              <w:tabs>
                <w:tab w:val="left" w:pos="0"/>
              </w:tabs>
              <w:ind w:hanging="29"/>
              <w:jc w:val="left"/>
              <w:rPr>
                <w:color w:val="000000"/>
                <w:spacing w:val="6"/>
              </w:rPr>
            </w:pPr>
            <w:r w:rsidRPr="00F54D29">
              <w:rPr>
                <w:color w:val="000000"/>
                <w:spacing w:val="6"/>
              </w:rPr>
              <w:t>- Колея колес 920 мм,</w:t>
            </w:r>
          </w:p>
          <w:p w14:paraId="7519EB46" w14:textId="77777777" w:rsidR="009C36ED" w:rsidRPr="00F54D29" w:rsidRDefault="009C36ED" w:rsidP="00F54D29">
            <w:pPr>
              <w:tabs>
                <w:tab w:val="left" w:pos="0"/>
              </w:tabs>
              <w:ind w:hanging="29"/>
              <w:jc w:val="left"/>
              <w:rPr>
                <w:color w:val="000000"/>
                <w:spacing w:val="6"/>
              </w:rPr>
            </w:pPr>
            <w:r w:rsidRPr="00F54D29">
              <w:rPr>
                <w:color w:val="000000"/>
                <w:spacing w:val="6"/>
              </w:rPr>
              <w:t>- Угол наклона кузова не менее 30 градусов,</w:t>
            </w:r>
          </w:p>
          <w:p w14:paraId="7E63E1F3" w14:textId="77777777" w:rsidR="009C36ED" w:rsidRPr="00F54D29" w:rsidRDefault="009C36ED" w:rsidP="00F54D29">
            <w:pPr>
              <w:tabs>
                <w:tab w:val="left" w:pos="0"/>
              </w:tabs>
              <w:ind w:hanging="29"/>
              <w:jc w:val="left"/>
              <w:rPr>
                <w:color w:val="000000"/>
                <w:spacing w:val="6"/>
              </w:rPr>
            </w:pPr>
            <w:r w:rsidRPr="00F54D29">
              <w:rPr>
                <w:color w:val="000000"/>
                <w:spacing w:val="6"/>
              </w:rPr>
              <w:t>- Давление в шинах 0,2 (2) МПа (атм.),</w:t>
            </w:r>
          </w:p>
          <w:p w14:paraId="58E01B7D" w14:textId="77777777" w:rsidR="009C36ED" w:rsidRPr="00F54D29" w:rsidRDefault="009C36ED" w:rsidP="00F54D29">
            <w:pPr>
              <w:tabs>
                <w:tab w:val="left" w:pos="0"/>
              </w:tabs>
              <w:ind w:hanging="29"/>
              <w:jc w:val="left"/>
              <w:rPr>
                <w:color w:val="000000"/>
                <w:spacing w:val="6"/>
              </w:rPr>
            </w:pPr>
            <w:r w:rsidRPr="00F54D29">
              <w:rPr>
                <w:color w:val="000000"/>
                <w:spacing w:val="6"/>
              </w:rPr>
              <w:t>- Масса не более 75 кг,</w:t>
            </w:r>
          </w:p>
          <w:p w14:paraId="288B8020" w14:textId="77777777" w:rsidR="009C36ED" w:rsidRPr="00F54D29" w:rsidRDefault="009C36ED" w:rsidP="00F54D29">
            <w:pPr>
              <w:tabs>
                <w:tab w:val="left" w:pos="0"/>
              </w:tabs>
              <w:ind w:hanging="29"/>
              <w:jc w:val="left"/>
              <w:rPr>
                <w:color w:val="000000"/>
                <w:spacing w:val="6"/>
              </w:rPr>
            </w:pPr>
            <w:r w:rsidRPr="00F54D29">
              <w:rPr>
                <w:color w:val="000000"/>
                <w:spacing w:val="6"/>
              </w:rPr>
              <w:t>- Разгрузка кузова направление назад,</w:t>
            </w:r>
          </w:p>
          <w:p w14:paraId="4E619510" w14:textId="0ABF0CD1" w:rsidR="009C36ED" w:rsidRPr="00F54D29" w:rsidRDefault="009C36ED" w:rsidP="00F54D29">
            <w:pPr>
              <w:tabs>
                <w:tab w:val="left" w:pos="0"/>
              </w:tabs>
              <w:ind w:hanging="29"/>
              <w:jc w:val="left"/>
              <w:rPr>
                <w:color w:val="000000"/>
                <w:spacing w:val="6"/>
              </w:rPr>
            </w:pPr>
            <w:r w:rsidRPr="00F54D29">
              <w:rPr>
                <w:color w:val="000000"/>
                <w:spacing w:val="6"/>
              </w:rPr>
              <w:t>- Количество обслуживающего персонала 1 чел.</w:t>
            </w:r>
          </w:p>
        </w:tc>
      </w:tr>
      <w:tr w:rsidR="009C36ED" w14:paraId="5D3B1907" w14:textId="77777777" w:rsidTr="009C36ED">
        <w:tc>
          <w:tcPr>
            <w:tcW w:w="910" w:type="dxa"/>
          </w:tcPr>
          <w:p w14:paraId="3A62732F" w14:textId="3F3BF803" w:rsidR="009C36ED" w:rsidRDefault="009C36ED" w:rsidP="009C36ED">
            <w:pPr>
              <w:tabs>
                <w:tab w:val="left" w:pos="0"/>
              </w:tabs>
              <w:ind w:right="-104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lastRenderedPageBreak/>
              <w:t>2</w:t>
            </w:r>
          </w:p>
        </w:tc>
        <w:tc>
          <w:tcPr>
            <w:tcW w:w="2482" w:type="dxa"/>
          </w:tcPr>
          <w:p w14:paraId="6DE9B307" w14:textId="3156473D" w:rsidR="009C36ED" w:rsidRPr="00F54D29" w:rsidRDefault="009C36ED" w:rsidP="00F54D29">
            <w:pPr>
              <w:tabs>
                <w:tab w:val="left" w:pos="0"/>
              </w:tabs>
              <w:ind w:firstLine="28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54D29">
              <w:rPr>
                <w:color w:val="000000"/>
                <w:sz w:val="22"/>
                <w:szCs w:val="22"/>
              </w:rPr>
              <w:t>Травосборник</w:t>
            </w:r>
            <w:proofErr w:type="spellEnd"/>
          </w:p>
        </w:tc>
        <w:tc>
          <w:tcPr>
            <w:tcW w:w="1085" w:type="dxa"/>
          </w:tcPr>
          <w:p w14:paraId="39861565" w14:textId="09140ED0" w:rsidR="009C36ED" w:rsidRPr="00F54D29" w:rsidRDefault="009C36ED" w:rsidP="00F54D29">
            <w:pPr>
              <w:tabs>
                <w:tab w:val="left" w:pos="0"/>
              </w:tabs>
              <w:ind w:firstLine="349"/>
              <w:jc w:val="left"/>
              <w:rPr>
                <w:color w:val="000000"/>
                <w:spacing w:val="6"/>
              </w:rPr>
            </w:pPr>
            <w:proofErr w:type="spellStart"/>
            <w:r w:rsidRPr="00F54D2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2" w:type="dxa"/>
          </w:tcPr>
          <w:p w14:paraId="67EF9549" w14:textId="6188FA95" w:rsidR="009C36ED" w:rsidRPr="00F54D29" w:rsidRDefault="009C36ED" w:rsidP="00F54D29">
            <w:pPr>
              <w:tabs>
                <w:tab w:val="left" w:pos="0"/>
              </w:tabs>
              <w:ind w:firstLine="261"/>
              <w:jc w:val="left"/>
              <w:rPr>
                <w:color w:val="000000"/>
                <w:spacing w:val="6"/>
              </w:rPr>
            </w:pPr>
            <w:r w:rsidRPr="00F54D2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71" w:type="dxa"/>
          </w:tcPr>
          <w:p w14:paraId="6D3F0A4D" w14:textId="5F0208BC" w:rsidR="009C36ED" w:rsidRPr="00F54D29" w:rsidRDefault="009C36ED" w:rsidP="00F54D29">
            <w:pPr>
              <w:tabs>
                <w:tab w:val="left" w:pos="0"/>
              </w:tabs>
              <w:ind w:firstLine="25"/>
              <w:jc w:val="left"/>
              <w:rPr>
                <w:sz w:val="22"/>
                <w:szCs w:val="22"/>
              </w:rPr>
            </w:pPr>
            <w:r w:rsidRPr="00F54D29">
              <w:rPr>
                <w:sz w:val="22"/>
                <w:szCs w:val="22"/>
              </w:rPr>
              <w:t>28.99.39.190</w:t>
            </w:r>
          </w:p>
        </w:tc>
        <w:tc>
          <w:tcPr>
            <w:tcW w:w="3558" w:type="dxa"/>
          </w:tcPr>
          <w:p w14:paraId="6C15EFA2" w14:textId="77777777" w:rsidR="009C36ED" w:rsidRPr="00F54D29" w:rsidRDefault="009C36ED" w:rsidP="00F54D29">
            <w:pPr>
              <w:pStyle w:val="3"/>
              <w:numPr>
                <w:ilvl w:val="0"/>
                <w:numId w:val="0"/>
              </w:numPr>
              <w:ind w:firstLine="112"/>
              <w:jc w:val="left"/>
              <w:outlineLvl w:val="2"/>
              <w:rPr>
                <w:i w:val="0"/>
                <w:sz w:val="24"/>
                <w:szCs w:val="24"/>
              </w:rPr>
            </w:pPr>
            <w:r w:rsidRPr="00F54D29">
              <w:rPr>
                <w:i w:val="0"/>
                <w:sz w:val="24"/>
                <w:szCs w:val="24"/>
              </w:rPr>
              <w:t>- Вместимость одного бункера - 80 л.,</w:t>
            </w:r>
          </w:p>
          <w:p w14:paraId="209703CD" w14:textId="77777777" w:rsidR="009C36ED" w:rsidRPr="00F54D29" w:rsidRDefault="009C36ED" w:rsidP="00F54D29">
            <w:pPr>
              <w:pStyle w:val="3"/>
              <w:numPr>
                <w:ilvl w:val="0"/>
                <w:numId w:val="0"/>
              </w:numPr>
              <w:ind w:firstLine="112"/>
              <w:jc w:val="left"/>
              <w:outlineLvl w:val="2"/>
              <w:rPr>
                <w:i w:val="0"/>
                <w:sz w:val="24"/>
                <w:szCs w:val="24"/>
              </w:rPr>
            </w:pPr>
            <w:r w:rsidRPr="00F54D29">
              <w:rPr>
                <w:i w:val="0"/>
                <w:sz w:val="24"/>
                <w:szCs w:val="24"/>
              </w:rPr>
              <w:t>- Количество бункеров – 2 шт.,</w:t>
            </w:r>
          </w:p>
          <w:p w14:paraId="267B24AF" w14:textId="5C79A351" w:rsidR="009C36ED" w:rsidRPr="00F54D29" w:rsidRDefault="009C36ED" w:rsidP="00F54D29">
            <w:pPr>
              <w:tabs>
                <w:tab w:val="left" w:pos="0"/>
              </w:tabs>
              <w:ind w:firstLine="112"/>
              <w:jc w:val="left"/>
              <w:rPr>
                <w:color w:val="000000"/>
                <w:spacing w:val="6"/>
              </w:rPr>
            </w:pPr>
            <w:r w:rsidRPr="00F54D29">
              <w:t xml:space="preserve">- Ножи для сбора травы в </w:t>
            </w:r>
            <w:proofErr w:type="spellStart"/>
            <w:r w:rsidRPr="00F54D29">
              <w:t>травосборник</w:t>
            </w:r>
            <w:proofErr w:type="spellEnd"/>
            <w:r w:rsidRPr="00F54D29">
              <w:t xml:space="preserve"> в комплекте (МВК 0032889) – 2 шт.</w:t>
            </w:r>
          </w:p>
        </w:tc>
      </w:tr>
    </w:tbl>
    <w:p w14:paraId="2631BFFB" w14:textId="77777777" w:rsidR="009C36ED" w:rsidRPr="00F44793" w:rsidRDefault="009C36ED" w:rsidP="009C36ED">
      <w:pPr>
        <w:shd w:val="clear" w:color="auto" w:fill="FFFFFF"/>
        <w:tabs>
          <w:tab w:val="left" w:pos="0"/>
        </w:tabs>
        <w:jc w:val="both"/>
        <w:rPr>
          <w:color w:val="000000"/>
          <w:spacing w:val="6"/>
        </w:rPr>
      </w:pPr>
    </w:p>
    <w:p w14:paraId="5D9ED6A6" w14:textId="77777777" w:rsidR="009C36ED" w:rsidRPr="00F44793" w:rsidRDefault="009C36ED" w:rsidP="009C36ED">
      <w:pPr>
        <w:shd w:val="clear" w:color="auto" w:fill="FFFFFF"/>
        <w:tabs>
          <w:tab w:val="left" w:pos="0"/>
        </w:tabs>
        <w:jc w:val="both"/>
        <w:rPr>
          <w:color w:val="000000"/>
          <w:spacing w:val="6"/>
        </w:rPr>
      </w:pPr>
      <w:r w:rsidRPr="00F44793">
        <w:rPr>
          <w:b/>
          <w:bCs/>
        </w:rPr>
        <w:t>Комплектность прицепа МОБИЛ К ТПМ-500-1 Премиум</w:t>
      </w:r>
    </w:p>
    <w:p w14:paraId="319D8FAC" w14:textId="77777777" w:rsidR="009C36ED" w:rsidRPr="00F44793" w:rsidRDefault="009C36ED" w:rsidP="009C36ED">
      <w:pPr>
        <w:shd w:val="clear" w:color="auto" w:fill="FFFFFF"/>
        <w:tabs>
          <w:tab w:val="left" w:pos="0"/>
        </w:tabs>
        <w:jc w:val="both"/>
        <w:rPr>
          <w:color w:val="000000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402"/>
        <w:gridCol w:w="3260"/>
        <w:gridCol w:w="1984"/>
      </w:tblGrid>
      <w:tr w:rsidR="009C36ED" w:rsidRPr="00F44793" w14:paraId="4BF36BE1" w14:textId="77777777" w:rsidTr="001C6B8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93" w:type="dxa"/>
          </w:tcPr>
          <w:p w14:paraId="049D8C82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b/>
                <w:bCs/>
                <w:sz w:val="22"/>
                <w:szCs w:val="22"/>
              </w:rPr>
              <w:t>№п/п</w:t>
            </w:r>
          </w:p>
        </w:tc>
        <w:tc>
          <w:tcPr>
            <w:tcW w:w="3402" w:type="dxa"/>
          </w:tcPr>
          <w:p w14:paraId="2B241498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b/>
                <w:bCs/>
                <w:sz w:val="22"/>
                <w:szCs w:val="22"/>
              </w:rPr>
              <w:t>Обозначение узла (детали)</w:t>
            </w:r>
          </w:p>
        </w:tc>
        <w:tc>
          <w:tcPr>
            <w:tcW w:w="3260" w:type="dxa"/>
          </w:tcPr>
          <w:p w14:paraId="2236DBFE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b/>
                <w:bCs/>
                <w:sz w:val="22"/>
                <w:szCs w:val="22"/>
              </w:rPr>
              <w:t>Наименование узла (детали)</w:t>
            </w:r>
          </w:p>
        </w:tc>
        <w:tc>
          <w:tcPr>
            <w:tcW w:w="1984" w:type="dxa"/>
          </w:tcPr>
          <w:p w14:paraId="2DA271C5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b/>
                <w:bCs/>
                <w:sz w:val="22"/>
                <w:szCs w:val="22"/>
              </w:rPr>
              <w:t>Кол-во шт.</w:t>
            </w:r>
          </w:p>
        </w:tc>
      </w:tr>
      <w:tr w:rsidR="009C36ED" w:rsidRPr="00F44793" w14:paraId="0D37DCF2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547E845C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402" w:type="dxa"/>
          </w:tcPr>
          <w:p w14:paraId="14A88D4C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540.02.00.000-01 </w:t>
            </w:r>
          </w:p>
        </w:tc>
        <w:tc>
          <w:tcPr>
            <w:tcW w:w="3260" w:type="dxa"/>
          </w:tcPr>
          <w:p w14:paraId="21416837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Дышло </w:t>
            </w:r>
          </w:p>
        </w:tc>
        <w:tc>
          <w:tcPr>
            <w:tcW w:w="1984" w:type="dxa"/>
          </w:tcPr>
          <w:p w14:paraId="6547C405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</w:t>
            </w:r>
          </w:p>
        </w:tc>
      </w:tr>
      <w:tr w:rsidR="009C36ED" w:rsidRPr="00F44793" w14:paraId="36BA2174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3323DD52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2 </w:t>
            </w:r>
          </w:p>
        </w:tc>
        <w:tc>
          <w:tcPr>
            <w:tcW w:w="3402" w:type="dxa"/>
          </w:tcPr>
          <w:p w14:paraId="01EE6F7B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МК 1044.02.01.000 </w:t>
            </w:r>
          </w:p>
        </w:tc>
        <w:tc>
          <w:tcPr>
            <w:tcW w:w="3260" w:type="dxa"/>
          </w:tcPr>
          <w:p w14:paraId="3337693F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Балка </w:t>
            </w:r>
          </w:p>
        </w:tc>
        <w:tc>
          <w:tcPr>
            <w:tcW w:w="1984" w:type="dxa"/>
          </w:tcPr>
          <w:p w14:paraId="6FCD6C21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</w:t>
            </w:r>
          </w:p>
        </w:tc>
      </w:tr>
      <w:tr w:rsidR="009C36ED" w:rsidRPr="00F44793" w14:paraId="0AADFD97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1DA23589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3 </w:t>
            </w:r>
          </w:p>
        </w:tc>
        <w:tc>
          <w:tcPr>
            <w:tcW w:w="3402" w:type="dxa"/>
          </w:tcPr>
          <w:p w14:paraId="72EC8CCD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540.03.01.000-01 </w:t>
            </w:r>
          </w:p>
        </w:tc>
        <w:tc>
          <w:tcPr>
            <w:tcW w:w="3260" w:type="dxa"/>
          </w:tcPr>
          <w:p w14:paraId="77E291F9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Опора колесная </w:t>
            </w:r>
          </w:p>
        </w:tc>
        <w:tc>
          <w:tcPr>
            <w:tcW w:w="1984" w:type="dxa"/>
          </w:tcPr>
          <w:p w14:paraId="4A070740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2</w:t>
            </w:r>
          </w:p>
        </w:tc>
      </w:tr>
      <w:tr w:rsidR="009C36ED" w:rsidRPr="00F44793" w14:paraId="5C2E746D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4FE64D71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4 </w:t>
            </w:r>
          </w:p>
        </w:tc>
        <w:tc>
          <w:tcPr>
            <w:tcW w:w="3402" w:type="dxa"/>
          </w:tcPr>
          <w:p w14:paraId="5135BBBF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МК 1020.00.000-02 </w:t>
            </w:r>
          </w:p>
        </w:tc>
        <w:tc>
          <w:tcPr>
            <w:tcW w:w="3260" w:type="dxa"/>
          </w:tcPr>
          <w:p w14:paraId="1570641C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Колесо в сборе </w:t>
            </w:r>
          </w:p>
        </w:tc>
        <w:tc>
          <w:tcPr>
            <w:tcW w:w="1984" w:type="dxa"/>
          </w:tcPr>
          <w:p w14:paraId="13BD31DC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2</w:t>
            </w:r>
          </w:p>
        </w:tc>
      </w:tr>
      <w:tr w:rsidR="009C36ED" w:rsidRPr="00F44793" w14:paraId="12F49066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7D355994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5 </w:t>
            </w:r>
          </w:p>
        </w:tc>
        <w:tc>
          <w:tcPr>
            <w:tcW w:w="3402" w:type="dxa"/>
          </w:tcPr>
          <w:p w14:paraId="02BA76C2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528.02.00.001-01 </w:t>
            </w:r>
          </w:p>
        </w:tc>
        <w:tc>
          <w:tcPr>
            <w:tcW w:w="3260" w:type="dxa"/>
          </w:tcPr>
          <w:p w14:paraId="466AAAD8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Борт задний </w:t>
            </w:r>
          </w:p>
        </w:tc>
        <w:tc>
          <w:tcPr>
            <w:tcW w:w="1984" w:type="dxa"/>
          </w:tcPr>
          <w:p w14:paraId="05290D6C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</w:t>
            </w:r>
          </w:p>
        </w:tc>
      </w:tr>
      <w:tr w:rsidR="009C36ED" w:rsidRPr="00F44793" w14:paraId="638F2D7E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4B545A51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6 </w:t>
            </w:r>
          </w:p>
        </w:tc>
        <w:tc>
          <w:tcPr>
            <w:tcW w:w="3402" w:type="dxa"/>
          </w:tcPr>
          <w:p w14:paraId="7E19B747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МК 1044.05.00.002(-01) </w:t>
            </w:r>
          </w:p>
        </w:tc>
        <w:tc>
          <w:tcPr>
            <w:tcW w:w="3260" w:type="dxa"/>
          </w:tcPr>
          <w:p w14:paraId="3B99278A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Борт продольный </w:t>
            </w:r>
          </w:p>
        </w:tc>
        <w:tc>
          <w:tcPr>
            <w:tcW w:w="1984" w:type="dxa"/>
          </w:tcPr>
          <w:p w14:paraId="7D8E9FA3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2</w:t>
            </w:r>
          </w:p>
        </w:tc>
      </w:tr>
      <w:tr w:rsidR="009C36ED" w:rsidRPr="00F44793" w14:paraId="3CA02AB6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06D12F97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7 </w:t>
            </w:r>
          </w:p>
        </w:tc>
        <w:tc>
          <w:tcPr>
            <w:tcW w:w="3402" w:type="dxa"/>
          </w:tcPr>
          <w:p w14:paraId="221B6E27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528.01.00.002-02 </w:t>
            </w:r>
          </w:p>
        </w:tc>
        <w:tc>
          <w:tcPr>
            <w:tcW w:w="3260" w:type="dxa"/>
          </w:tcPr>
          <w:p w14:paraId="115D8DC9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Борт передний </w:t>
            </w:r>
          </w:p>
        </w:tc>
        <w:tc>
          <w:tcPr>
            <w:tcW w:w="1984" w:type="dxa"/>
          </w:tcPr>
          <w:p w14:paraId="4D1513A9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</w:t>
            </w:r>
          </w:p>
        </w:tc>
      </w:tr>
      <w:tr w:rsidR="009C36ED" w:rsidRPr="00F44793" w14:paraId="6109288F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67936CAB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8 </w:t>
            </w:r>
          </w:p>
        </w:tc>
        <w:tc>
          <w:tcPr>
            <w:tcW w:w="3402" w:type="dxa"/>
          </w:tcPr>
          <w:p w14:paraId="1DBCD32F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528.01.00.004 </w:t>
            </w:r>
          </w:p>
        </w:tc>
        <w:tc>
          <w:tcPr>
            <w:tcW w:w="3260" w:type="dxa"/>
          </w:tcPr>
          <w:p w14:paraId="6FFE7D99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Кронштейн передний </w:t>
            </w:r>
          </w:p>
        </w:tc>
        <w:tc>
          <w:tcPr>
            <w:tcW w:w="1984" w:type="dxa"/>
          </w:tcPr>
          <w:p w14:paraId="11255A62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</w:t>
            </w:r>
          </w:p>
        </w:tc>
      </w:tr>
      <w:tr w:rsidR="009C36ED" w:rsidRPr="00F44793" w14:paraId="4DB31C45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3765D050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9 </w:t>
            </w:r>
          </w:p>
        </w:tc>
        <w:tc>
          <w:tcPr>
            <w:tcW w:w="3402" w:type="dxa"/>
          </w:tcPr>
          <w:p w14:paraId="57F56926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540.00.00.003-01 </w:t>
            </w:r>
          </w:p>
        </w:tc>
        <w:tc>
          <w:tcPr>
            <w:tcW w:w="3260" w:type="dxa"/>
          </w:tcPr>
          <w:p w14:paraId="7CCFB9B5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Кронштейн </w:t>
            </w:r>
          </w:p>
        </w:tc>
        <w:tc>
          <w:tcPr>
            <w:tcW w:w="1984" w:type="dxa"/>
          </w:tcPr>
          <w:p w14:paraId="48144BF7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</w:t>
            </w:r>
          </w:p>
        </w:tc>
      </w:tr>
      <w:tr w:rsidR="009C36ED" w:rsidRPr="00F44793" w14:paraId="1F11FE70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6B505F3A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3402" w:type="dxa"/>
          </w:tcPr>
          <w:p w14:paraId="05621DF3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528.01.00.003-01 </w:t>
            </w:r>
          </w:p>
        </w:tc>
        <w:tc>
          <w:tcPr>
            <w:tcW w:w="3260" w:type="dxa"/>
          </w:tcPr>
          <w:p w14:paraId="202399B8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Накладка угловая </w:t>
            </w:r>
          </w:p>
        </w:tc>
        <w:tc>
          <w:tcPr>
            <w:tcW w:w="1984" w:type="dxa"/>
          </w:tcPr>
          <w:p w14:paraId="10CCE24B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2</w:t>
            </w:r>
          </w:p>
        </w:tc>
      </w:tr>
      <w:tr w:rsidR="009C36ED" w:rsidRPr="00F44793" w14:paraId="422AE1B1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105AC217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3402" w:type="dxa"/>
          </w:tcPr>
          <w:p w14:paraId="04D4B710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528.01.00.005 </w:t>
            </w:r>
          </w:p>
        </w:tc>
        <w:tc>
          <w:tcPr>
            <w:tcW w:w="3260" w:type="dxa"/>
          </w:tcPr>
          <w:p w14:paraId="6F7F97F5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Жесткость угловая левая </w:t>
            </w:r>
          </w:p>
        </w:tc>
        <w:tc>
          <w:tcPr>
            <w:tcW w:w="1984" w:type="dxa"/>
          </w:tcPr>
          <w:p w14:paraId="0CF58639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</w:t>
            </w:r>
          </w:p>
        </w:tc>
      </w:tr>
      <w:tr w:rsidR="009C36ED" w:rsidRPr="00F44793" w14:paraId="070301EA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02212ADB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3402" w:type="dxa"/>
          </w:tcPr>
          <w:p w14:paraId="4D75C815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528.01.00.005-01 </w:t>
            </w:r>
          </w:p>
        </w:tc>
        <w:tc>
          <w:tcPr>
            <w:tcW w:w="3260" w:type="dxa"/>
          </w:tcPr>
          <w:p w14:paraId="3A89B422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Жесткость угловая правая </w:t>
            </w:r>
          </w:p>
        </w:tc>
        <w:tc>
          <w:tcPr>
            <w:tcW w:w="1984" w:type="dxa"/>
          </w:tcPr>
          <w:p w14:paraId="4FD05969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</w:t>
            </w:r>
          </w:p>
        </w:tc>
      </w:tr>
      <w:tr w:rsidR="009C36ED" w:rsidRPr="00F44793" w14:paraId="3D2489AC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196D2FA6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13 </w:t>
            </w:r>
          </w:p>
        </w:tc>
        <w:tc>
          <w:tcPr>
            <w:tcW w:w="3402" w:type="dxa"/>
          </w:tcPr>
          <w:p w14:paraId="0CC9AB48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528.01.00.006 </w:t>
            </w:r>
          </w:p>
        </w:tc>
        <w:tc>
          <w:tcPr>
            <w:tcW w:w="3260" w:type="dxa"/>
          </w:tcPr>
          <w:p w14:paraId="2FBC9092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Жесткость центральная </w:t>
            </w:r>
          </w:p>
        </w:tc>
        <w:tc>
          <w:tcPr>
            <w:tcW w:w="1984" w:type="dxa"/>
          </w:tcPr>
          <w:p w14:paraId="7002F958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</w:t>
            </w:r>
          </w:p>
        </w:tc>
      </w:tr>
      <w:tr w:rsidR="009C36ED" w:rsidRPr="00F44793" w14:paraId="06E34414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3DC26A1F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3402" w:type="dxa"/>
          </w:tcPr>
          <w:p w14:paraId="666DEA8C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528.02.01.002 </w:t>
            </w:r>
          </w:p>
        </w:tc>
        <w:tc>
          <w:tcPr>
            <w:tcW w:w="3260" w:type="dxa"/>
          </w:tcPr>
          <w:p w14:paraId="21CBDB0C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Накладка бортовая </w:t>
            </w:r>
          </w:p>
        </w:tc>
        <w:tc>
          <w:tcPr>
            <w:tcW w:w="1984" w:type="dxa"/>
          </w:tcPr>
          <w:p w14:paraId="249F1B33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2</w:t>
            </w:r>
          </w:p>
        </w:tc>
      </w:tr>
      <w:tr w:rsidR="009C36ED" w:rsidRPr="00F44793" w14:paraId="0CF734A2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57B770DB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3402" w:type="dxa"/>
          </w:tcPr>
          <w:p w14:paraId="3371673D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528.02.01.003 </w:t>
            </w:r>
          </w:p>
        </w:tc>
        <w:tc>
          <w:tcPr>
            <w:tcW w:w="3260" w:type="dxa"/>
          </w:tcPr>
          <w:p w14:paraId="2092554C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Накладка упорная </w:t>
            </w:r>
          </w:p>
        </w:tc>
        <w:tc>
          <w:tcPr>
            <w:tcW w:w="1984" w:type="dxa"/>
          </w:tcPr>
          <w:p w14:paraId="28DEF8B0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2</w:t>
            </w:r>
          </w:p>
        </w:tc>
      </w:tr>
      <w:tr w:rsidR="009C36ED" w:rsidRPr="00F44793" w14:paraId="1AB19BEE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02AAE347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3402" w:type="dxa"/>
          </w:tcPr>
          <w:p w14:paraId="70DDC5A6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528.01.00.007 </w:t>
            </w:r>
          </w:p>
        </w:tc>
        <w:tc>
          <w:tcPr>
            <w:tcW w:w="3260" w:type="dxa"/>
          </w:tcPr>
          <w:p w14:paraId="06F46D9E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Центровка </w:t>
            </w:r>
          </w:p>
        </w:tc>
        <w:tc>
          <w:tcPr>
            <w:tcW w:w="1984" w:type="dxa"/>
          </w:tcPr>
          <w:p w14:paraId="6A1DF7A0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2</w:t>
            </w:r>
          </w:p>
        </w:tc>
      </w:tr>
      <w:tr w:rsidR="009C36ED" w:rsidRPr="00F44793" w14:paraId="48B7EA7D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2AB7B508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3402" w:type="dxa"/>
          </w:tcPr>
          <w:p w14:paraId="64A8B6E4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540.00.00.001 </w:t>
            </w:r>
          </w:p>
        </w:tc>
        <w:tc>
          <w:tcPr>
            <w:tcW w:w="3260" w:type="dxa"/>
          </w:tcPr>
          <w:p w14:paraId="377D3181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Шкворень </w:t>
            </w:r>
          </w:p>
        </w:tc>
        <w:tc>
          <w:tcPr>
            <w:tcW w:w="1984" w:type="dxa"/>
          </w:tcPr>
          <w:p w14:paraId="58E0F22F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</w:t>
            </w:r>
          </w:p>
        </w:tc>
      </w:tr>
      <w:tr w:rsidR="009C36ED" w:rsidRPr="00F44793" w14:paraId="4B868935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52AB8916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18 </w:t>
            </w:r>
          </w:p>
        </w:tc>
        <w:tc>
          <w:tcPr>
            <w:tcW w:w="3402" w:type="dxa"/>
          </w:tcPr>
          <w:p w14:paraId="19B6FC5E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SMP 540.00.00.002-01 </w:t>
            </w:r>
          </w:p>
        </w:tc>
        <w:tc>
          <w:tcPr>
            <w:tcW w:w="3260" w:type="dxa"/>
          </w:tcPr>
          <w:p w14:paraId="1BFC60CB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Швеллер </w:t>
            </w:r>
          </w:p>
        </w:tc>
        <w:tc>
          <w:tcPr>
            <w:tcW w:w="1984" w:type="dxa"/>
          </w:tcPr>
          <w:p w14:paraId="3C19F987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</w:t>
            </w:r>
          </w:p>
        </w:tc>
      </w:tr>
      <w:tr w:rsidR="009C36ED" w:rsidRPr="00F44793" w14:paraId="27A1B15F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034A95F1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19</w:t>
            </w:r>
          </w:p>
        </w:tc>
        <w:tc>
          <w:tcPr>
            <w:tcW w:w="3402" w:type="dxa"/>
          </w:tcPr>
          <w:p w14:paraId="5F66F04D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 xml:space="preserve">Руководство по эксплуатации </w:t>
            </w:r>
          </w:p>
        </w:tc>
        <w:tc>
          <w:tcPr>
            <w:tcW w:w="3260" w:type="dxa"/>
          </w:tcPr>
          <w:p w14:paraId="0B1DAB32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C3D52E4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</w:t>
            </w:r>
          </w:p>
        </w:tc>
      </w:tr>
      <w:tr w:rsidR="009C36ED" w:rsidRPr="00F44793" w14:paraId="32B0BB13" w14:textId="77777777" w:rsidTr="001C6B8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93" w:type="dxa"/>
          </w:tcPr>
          <w:p w14:paraId="011E5A5D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20</w:t>
            </w:r>
          </w:p>
        </w:tc>
        <w:tc>
          <w:tcPr>
            <w:tcW w:w="3402" w:type="dxa"/>
          </w:tcPr>
          <w:p w14:paraId="047D54E4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Упаковка</w:t>
            </w:r>
          </w:p>
        </w:tc>
        <w:tc>
          <w:tcPr>
            <w:tcW w:w="3260" w:type="dxa"/>
          </w:tcPr>
          <w:p w14:paraId="572E5DA9" w14:textId="77777777" w:rsidR="009C36ED" w:rsidRPr="00F44793" w:rsidRDefault="009C36ED" w:rsidP="001C6B8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CBEF86" w14:textId="77777777" w:rsidR="009C36ED" w:rsidRPr="00F44793" w:rsidRDefault="009C36ED" w:rsidP="001C6B84">
            <w:pPr>
              <w:pStyle w:val="Default"/>
              <w:jc w:val="center"/>
              <w:rPr>
                <w:sz w:val="22"/>
                <w:szCs w:val="22"/>
              </w:rPr>
            </w:pPr>
            <w:r w:rsidRPr="00F44793">
              <w:rPr>
                <w:sz w:val="22"/>
                <w:szCs w:val="22"/>
              </w:rPr>
              <w:t>1</w:t>
            </w:r>
          </w:p>
        </w:tc>
      </w:tr>
    </w:tbl>
    <w:p w14:paraId="50BC1006" w14:textId="77777777" w:rsidR="00033567" w:rsidRDefault="00033567" w:rsidP="00033567">
      <w:pPr>
        <w:tabs>
          <w:tab w:val="center" w:pos="0"/>
          <w:tab w:val="left" w:pos="426"/>
        </w:tabs>
        <w:spacing w:line="264" w:lineRule="auto"/>
        <w:jc w:val="both"/>
      </w:pPr>
    </w:p>
    <w:p w14:paraId="6030A600" w14:textId="77777777" w:rsidR="00F6701D" w:rsidRDefault="00F6701D" w:rsidP="00F6701D">
      <w:pPr>
        <w:tabs>
          <w:tab w:val="center" w:pos="0"/>
          <w:tab w:val="left" w:pos="426"/>
        </w:tabs>
        <w:spacing w:line="264" w:lineRule="auto"/>
        <w:jc w:val="both"/>
      </w:pPr>
    </w:p>
    <w:p w14:paraId="02150559" w14:textId="5CE47281" w:rsidR="00F6701D" w:rsidRDefault="00F6701D" w:rsidP="00F6701D">
      <w:pPr>
        <w:pStyle w:val="-"/>
        <w:numPr>
          <w:ilvl w:val="0"/>
          <w:numId w:val="0"/>
        </w:numPr>
        <w:ind w:left="567" w:hanging="567"/>
      </w:pPr>
    </w:p>
    <w:p w14:paraId="4309A238" w14:textId="63A112A3" w:rsidR="00F54D29" w:rsidRDefault="00F54D29" w:rsidP="00F6701D">
      <w:pPr>
        <w:pStyle w:val="-"/>
        <w:numPr>
          <w:ilvl w:val="0"/>
          <w:numId w:val="0"/>
        </w:numPr>
        <w:ind w:left="567" w:hanging="567"/>
      </w:pPr>
    </w:p>
    <w:p w14:paraId="3554DE51" w14:textId="13E1A0DF" w:rsidR="00F54D29" w:rsidRDefault="00F54D29" w:rsidP="00F6701D">
      <w:pPr>
        <w:pStyle w:val="-"/>
        <w:numPr>
          <w:ilvl w:val="0"/>
          <w:numId w:val="0"/>
        </w:numPr>
        <w:ind w:left="567" w:hanging="567"/>
      </w:pPr>
    </w:p>
    <w:p w14:paraId="51E53D83" w14:textId="6275B4C3" w:rsidR="00F54D29" w:rsidRDefault="00F54D29" w:rsidP="00F6701D">
      <w:pPr>
        <w:pStyle w:val="-"/>
        <w:numPr>
          <w:ilvl w:val="0"/>
          <w:numId w:val="0"/>
        </w:numPr>
        <w:ind w:left="567" w:hanging="567"/>
      </w:pPr>
    </w:p>
    <w:p w14:paraId="58A48570" w14:textId="3AA00968" w:rsidR="00F54D29" w:rsidRDefault="00F54D29" w:rsidP="00F6701D">
      <w:pPr>
        <w:pStyle w:val="-"/>
        <w:numPr>
          <w:ilvl w:val="0"/>
          <w:numId w:val="0"/>
        </w:numPr>
        <w:ind w:left="567" w:hanging="567"/>
      </w:pPr>
    </w:p>
    <w:p w14:paraId="2895ADF4" w14:textId="113F34F2" w:rsidR="00F54D29" w:rsidRDefault="00F54D29" w:rsidP="00F6701D">
      <w:pPr>
        <w:pStyle w:val="-"/>
        <w:numPr>
          <w:ilvl w:val="0"/>
          <w:numId w:val="0"/>
        </w:numPr>
        <w:ind w:left="567" w:hanging="567"/>
      </w:pPr>
    </w:p>
    <w:p w14:paraId="40DEF072" w14:textId="43BB18A9" w:rsidR="00F54D29" w:rsidRDefault="00F54D29" w:rsidP="00F6701D">
      <w:pPr>
        <w:pStyle w:val="-"/>
        <w:numPr>
          <w:ilvl w:val="0"/>
          <w:numId w:val="0"/>
        </w:numPr>
        <w:ind w:left="567" w:hanging="567"/>
      </w:pPr>
    </w:p>
    <w:p w14:paraId="7BADDDAA" w14:textId="581DAD88" w:rsidR="00F54D29" w:rsidRDefault="00F54D29" w:rsidP="00F6701D">
      <w:pPr>
        <w:pStyle w:val="-"/>
        <w:numPr>
          <w:ilvl w:val="0"/>
          <w:numId w:val="0"/>
        </w:numPr>
        <w:ind w:left="567" w:hanging="567"/>
      </w:pPr>
    </w:p>
    <w:p w14:paraId="196FB2F9" w14:textId="77777777" w:rsidR="00F54D29" w:rsidRPr="00DE310F" w:rsidRDefault="00F54D29" w:rsidP="00F54D29">
      <w:pPr>
        <w:shd w:val="clear" w:color="auto" w:fill="FFFFFF"/>
        <w:tabs>
          <w:tab w:val="left" w:pos="0"/>
        </w:tabs>
        <w:jc w:val="both"/>
        <w:rPr>
          <w:b/>
          <w:color w:val="000000"/>
          <w:spacing w:val="6"/>
        </w:rPr>
      </w:pPr>
      <w:r w:rsidRPr="00DE310F">
        <w:rPr>
          <w:b/>
          <w:color w:val="000000"/>
          <w:spacing w:val="6"/>
        </w:rPr>
        <w:lastRenderedPageBreak/>
        <w:t xml:space="preserve">Комплектность </w:t>
      </w:r>
      <w:proofErr w:type="spellStart"/>
      <w:r w:rsidRPr="00DE310F">
        <w:rPr>
          <w:b/>
          <w:color w:val="000000"/>
          <w:spacing w:val="6"/>
        </w:rPr>
        <w:t>травосборника</w:t>
      </w:r>
      <w:proofErr w:type="spellEnd"/>
    </w:p>
    <w:p w14:paraId="05970E1B" w14:textId="0F04D12B" w:rsidR="00F54D29" w:rsidRDefault="00F54D29" w:rsidP="00F6701D">
      <w:pPr>
        <w:pStyle w:val="-"/>
        <w:numPr>
          <w:ilvl w:val="0"/>
          <w:numId w:val="0"/>
        </w:numPr>
        <w:ind w:left="567" w:hanging="567"/>
      </w:pPr>
    </w:p>
    <w:p w14:paraId="46D90A4E" w14:textId="35762074" w:rsidR="00F54D29" w:rsidRDefault="00F54D29" w:rsidP="00F6701D">
      <w:pPr>
        <w:pStyle w:val="-"/>
        <w:numPr>
          <w:ilvl w:val="0"/>
          <w:numId w:val="0"/>
        </w:numPr>
        <w:ind w:left="567" w:hanging="567"/>
      </w:pPr>
      <w:r>
        <w:rPr>
          <w:noProof/>
        </w:rPr>
        <w:drawing>
          <wp:inline distT="0" distB="0" distL="0" distR="0" wp14:anchorId="0F6D2835" wp14:editId="48490CA0">
            <wp:extent cx="5019675" cy="5057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EC6CC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p w14:paraId="2EAD389B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sectPr w:rsidR="00D1760D" w:rsidSect="0037502C">
      <w:footerReference w:type="even" r:id="rId13"/>
      <w:footerReference w:type="default" r:id="rId14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0A704" w14:textId="77777777" w:rsidR="001537E1" w:rsidRDefault="001537E1">
      <w:r>
        <w:separator/>
      </w:r>
    </w:p>
  </w:endnote>
  <w:endnote w:type="continuationSeparator" w:id="0">
    <w:p w14:paraId="26A6EDA1" w14:textId="77777777" w:rsidR="001537E1" w:rsidRDefault="0015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0DD2B" w14:textId="77777777" w:rsidR="001537E1" w:rsidRDefault="001537E1">
      <w:r>
        <w:separator/>
      </w:r>
    </w:p>
  </w:footnote>
  <w:footnote w:type="continuationSeparator" w:id="0">
    <w:p w14:paraId="41374CDF" w14:textId="77777777" w:rsidR="001537E1" w:rsidRDefault="0015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63AA9"/>
    <w:multiLevelType w:val="hybridMultilevel"/>
    <w:tmpl w:val="4376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C7F16D2"/>
    <w:multiLevelType w:val="multilevel"/>
    <w:tmpl w:val="4460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D5468"/>
    <w:multiLevelType w:val="hybridMultilevel"/>
    <w:tmpl w:val="2B80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8CD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6" w15:restartNumberingAfterBreak="0">
    <w:nsid w:val="6FDA4744"/>
    <w:multiLevelType w:val="hybridMultilevel"/>
    <w:tmpl w:val="283617E8"/>
    <w:lvl w:ilvl="0" w:tplc="8960A5C6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7CD662CD"/>
    <w:multiLevelType w:val="multilevel"/>
    <w:tmpl w:val="5DE2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lang w:val="x-none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842F20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33567"/>
    <w:rsid w:val="000411E1"/>
    <w:rsid w:val="000415F6"/>
    <w:rsid w:val="000451E4"/>
    <w:rsid w:val="00047E2C"/>
    <w:rsid w:val="00050064"/>
    <w:rsid w:val="0005094C"/>
    <w:rsid w:val="00051796"/>
    <w:rsid w:val="0005226C"/>
    <w:rsid w:val="00052843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0F3ACB"/>
    <w:rsid w:val="00100882"/>
    <w:rsid w:val="001019C2"/>
    <w:rsid w:val="0010208E"/>
    <w:rsid w:val="00102F6B"/>
    <w:rsid w:val="001031C6"/>
    <w:rsid w:val="00104847"/>
    <w:rsid w:val="001151AB"/>
    <w:rsid w:val="001158C2"/>
    <w:rsid w:val="00120A41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2436"/>
    <w:rsid w:val="001537E1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ADE"/>
    <w:rsid w:val="0017515A"/>
    <w:rsid w:val="00177556"/>
    <w:rsid w:val="0018196F"/>
    <w:rsid w:val="00184203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EB2"/>
    <w:rsid w:val="00214FF9"/>
    <w:rsid w:val="0021607A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3BEB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21C18"/>
    <w:rsid w:val="00324383"/>
    <w:rsid w:val="003262FF"/>
    <w:rsid w:val="0032660C"/>
    <w:rsid w:val="00327BE1"/>
    <w:rsid w:val="00330AD0"/>
    <w:rsid w:val="003310EE"/>
    <w:rsid w:val="003312D0"/>
    <w:rsid w:val="00331657"/>
    <w:rsid w:val="00332782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12E4"/>
    <w:rsid w:val="003E413D"/>
    <w:rsid w:val="003E471D"/>
    <w:rsid w:val="003E4B52"/>
    <w:rsid w:val="003E5D31"/>
    <w:rsid w:val="003F07F0"/>
    <w:rsid w:val="003F0B6F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23CE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479E0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59BE"/>
    <w:rsid w:val="00611CEE"/>
    <w:rsid w:val="006141D2"/>
    <w:rsid w:val="0061582E"/>
    <w:rsid w:val="0061712D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4E30"/>
    <w:rsid w:val="00656E9E"/>
    <w:rsid w:val="006577C1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E2A75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FAB"/>
    <w:rsid w:val="0076279A"/>
    <w:rsid w:val="007659C1"/>
    <w:rsid w:val="00772023"/>
    <w:rsid w:val="007727B7"/>
    <w:rsid w:val="00776111"/>
    <w:rsid w:val="00776B9B"/>
    <w:rsid w:val="007808FE"/>
    <w:rsid w:val="007821B3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60FD"/>
    <w:rsid w:val="00806A69"/>
    <w:rsid w:val="008071DE"/>
    <w:rsid w:val="008072C2"/>
    <w:rsid w:val="00807AD4"/>
    <w:rsid w:val="00811116"/>
    <w:rsid w:val="0081340D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0708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21EE"/>
    <w:rsid w:val="008A2F43"/>
    <w:rsid w:val="008A3456"/>
    <w:rsid w:val="008B0E8A"/>
    <w:rsid w:val="008B102B"/>
    <w:rsid w:val="008B1465"/>
    <w:rsid w:val="008B4BD9"/>
    <w:rsid w:val="008B78A0"/>
    <w:rsid w:val="008C0B15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4197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50480"/>
    <w:rsid w:val="00950A96"/>
    <w:rsid w:val="009535C7"/>
    <w:rsid w:val="009539B8"/>
    <w:rsid w:val="00956790"/>
    <w:rsid w:val="00956D32"/>
    <w:rsid w:val="00956E2F"/>
    <w:rsid w:val="009634D5"/>
    <w:rsid w:val="00963FA5"/>
    <w:rsid w:val="009655CC"/>
    <w:rsid w:val="0097168E"/>
    <w:rsid w:val="009743A8"/>
    <w:rsid w:val="00975C16"/>
    <w:rsid w:val="0097777E"/>
    <w:rsid w:val="009841E2"/>
    <w:rsid w:val="00985F5D"/>
    <w:rsid w:val="00987EFE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6ED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3745E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B0282"/>
    <w:rsid w:val="00AB73B6"/>
    <w:rsid w:val="00AC0574"/>
    <w:rsid w:val="00AC4481"/>
    <w:rsid w:val="00AC72FD"/>
    <w:rsid w:val="00AD2384"/>
    <w:rsid w:val="00AD3DA6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A5C"/>
    <w:rsid w:val="00B40B33"/>
    <w:rsid w:val="00B421F5"/>
    <w:rsid w:val="00B4258C"/>
    <w:rsid w:val="00B42880"/>
    <w:rsid w:val="00B43893"/>
    <w:rsid w:val="00B446AB"/>
    <w:rsid w:val="00B45E39"/>
    <w:rsid w:val="00B4638A"/>
    <w:rsid w:val="00B514FF"/>
    <w:rsid w:val="00B53447"/>
    <w:rsid w:val="00B538D8"/>
    <w:rsid w:val="00B54D37"/>
    <w:rsid w:val="00B54E2B"/>
    <w:rsid w:val="00B575C7"/>
    <w:rsid w:val="00B60B4A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4884"/>
    <w:rsid w:val="00B96612"/>
    <w:rsid w:val="00BA0134"/>
    <w:rsid w:val="00BA3EFE"/>
    <w:rsid w:val="00BA507F"/>
    <w:rsid w:val="00BB40C1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C32"/>
    <w:rsid w:val="00C70F0E"/>
    <w:rsid w:val="00C70F17"/>
    <w:rsid w:val="00C719E9"/>
    <w:rsid w:val="00C72DB1"/>
    <w:rsid w:val="00C73AD9"/>
    <w:rsid w:val="00C76DB1"/>
    <w:rsid w:val="00C77192"/>
    <w:rsid w:val="00C77C1A"/>
    <w:rsid w:val="00C808A0"/>
    <w:rsid w:val="00C848B4"/>
    <w:rsid w:val="00C86B44"/>
    <w:rsid w:val="00C920C5"/>
    <w:rsid w:val="00C93AEA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1760D"/>
    <w:rsid w:val="00D2021B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E20"/>
    <w:rsid w:val="00D6618C"/>
    <w:rsid w:val="00D70593"/>
    <w:rsid w:val="00D711AD"/>
    <w:rsid w:val="00D728B4"/>
    <w:rsid w:val="00D74F6E"/>
    <w:rsid w:val="00D770E4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49D6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27A5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2A8D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501E4"/>
    <w:rsid w:val="00F54D29"/>
    <w:rsid w:val="00F62348"/>
    <w:rsid w:val="00F624C5"/>
    <w:rsid w:val="00F639F3"/>
    <w:rsid w:val="00F647A3"/>
    <w:rsid w:val="00F65786"/>
    <w:rsid w:val="00F6701D"/>
    <w:rsid w:val="00F70DBB"/>
    <w:rsid w:val="00F724FE"/>
    <w:rsid w:val="00F72858"/>
    <w:rsid w:val="00F748DE"/>
    <w:rsid w:val="00F76EB8"/>
    <w:rsid w:val="00F76F4B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E7BEA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6A39B1"/>
  <w15:docId w15:val="{AB9EFEF6-70CF-44EA-B89F-9C527BF4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aliases w:val="A_маркированный_список,_Абзац списка,Bullet List,FooterText,numbered,Абзац Стас,List Paragraph,Маркер,Нумерованый список,List Paragraph1,SL_Абзац списка,Алроса_маркер (Уровень 4),ПАРАГРАФ,Абзац списка2,Подпись рисунка,ПКФ Список,Заголовок_3"/>
    <w:basedOn w:val="a"/>
    <w:link w:val="af1"/>
    <w:uiPriority w:val="99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,Нумерованый список Знак,List Paragraph1 Знак,SL_Абзац списка Знак,ПАРАГРАФ Знак"/>
    <w:link w:val="af0"/>
    <w:uiPriority w:val="99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  <w:style w:type="character" w:styleId="afe">
    <w:name w:val="Strong"/>
    <w:basedOn w:val="a0"/>
    <w:uiPriority w:val="22"/>
    <w:qFormat/>
    <w:rsid w:val="00D1760D"/>
    <w:rPr>
      <w:b/>
      <w:bCs/>
    </w:rPr>
  </w:style>
  <w:style w:type="paragraph" w:customStyle="1" w:styleId="futurismarkdown-listitem">
    <w:name w:val="futurismarkdown-listitem"/>
    <w:basedOn w:val="a"/>
    <w:rsid w:val="00D1760D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6701D"/>
    <w:rPr>
      <w:i/>
      <w:spacing w:val="-3"/>
    </w:rPr>
  </w:style>
  <w:style w:type="character" w:customStyle="1" w:styleId="attr-text">
    <w:name w:val="attr-text"/>
    <w:basedOn w:val="a0"/>
    <w:rsid w:val="000F3ACB"/>
  </w:style>
  <w:style w:type="paragraph" w:customStyle="1" w:styleId="Default">
    <w:name w:val="Default"/>
    <w:rsid w:val="009C36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ctor@vector.nsc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7996-4075-4B2F-B199-45434935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D89E4C-DCBA-4545-B462-353A4004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5455</Words>
  <Characters>31095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36478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Казак Анна Александровна</cp:lastModifiedBy>
  <cp:revision>10</cp:revision>
  <cp:lastPrinted>2024-05-02T06:30:00Z</cp:lastPrinted>
  <dcterms:created xsi:type="dcterms:W3CDTF">2026-05-06T03:45:00Z</dcterms:created>
  <dcterms:modified xsi:type="dcterms:W3CDTF">2026-05-25T02:41:00Z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