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Техническое задание</w:t>
      </w:r>
    </w:p>
    <w:p>
      <w:pPr>
        <w:pStyle w:val="Normal"/>
        <w:jc w:val="center"/>
        <w:rPr>
          <w:b/>
        </w:rPr>
      </w:pPr>
      <w:r>
        <w:rPr>
          <w:b/>
        </w:rPr>
      </w:r>
    </w:p>
    <w:p>
      <w:pPr>
        <w:pStyle w:val="Normal"/>
        <w:ind w:firstLine="708"/>
        <w:jc w:val="both"/>
        <w:rPr/>
      </w:pPr>
      <w:r>
        <w:rPr/>
      </w:r>
    </w:p>
    <w:p>
      <w:pPr>
        <w:pStyle w:val="Normal"/>
        <w:ind w:firstLine="708"/>
        <w:jc w:val="both"/>
        <w:rPr>
          <w:lang w:eastAsia="zh-CN"/>
        </w:rPr>
      </w:pPr>
      <w:r>
        <w:rPr>
          <w:b/>
          <w:bCs/>
        </w:rPr>
        <w:t>1. Общие требования к товару:</w:t>
      </w:r>
      <w:r>
        <w:rPr/>
        <w:t xml:space="preserve">  </w:t>
      </w:r>
      <w:r>
        <w:rPr>
          <w:lang w:eastAsia="zh-CN"/>
        </w:rPr>
        <w:t xml:space="preserve">каждая единица поставляемого Товара должна быть новой (не бывшей в эксплуатации, не восстановленной, не перезаправленной). </w:t>
      </w:r>
    </w:p>
    <w:p>
      <w:pPr>
        <w:pStyle w:val="Normal"/>
        <w:ind w:firstLine="708"/>
        <w:jc w:val="both"/>
        <w:rPr>
          <w:b/>
          <w:bCs/>
        </w:rPr>
      </w:pPr>
      <w:r>
        <w:rPr>
          <w:lang w:eastAsia="zh-CN"/>
        </w:rPr>
        <w:t>Товар должен быть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pPr>
        <w:pStyle w:val="Normal"/>
        <w:numPr>
          <w:ilvl w:val="0"/>
          <w:numId w:val="0"/>
        </w:numPr>
        <w:ind w:left="0" w:firstLine="567"/>
        <w:jc w:val="both"/>
        <w:outlineLvl w:val="0"/>
        <w:rPr>
          <w:b/>
          <w:bCs/>
        </w:rPr>
      </w:pPr>
      <w:r>
        <w:rPr>
          <w:b/>
          <w:bCs/>
        </w:rPr>
        <w:t xml:space="preserve">2. Требования к упаковке, качественным (потребительским) свойствам: </w:t>
      </w:r>
    </w:p>
    <w:p>
      <w:pPr>
        <w:pStyle w:val="Normal"/>
        <w:ind w:firstLine="567"/>
        <w:jc w:val="both"/>
        <w:rPr/>
      </w:pPr>
      <w:r>
        <w:rPr/>
        <w:t xml:space="preserve">Упакованный в пакет РМ должен быть помещен в индивидуальную картонную коробку, снабженную в зависимости от модели, вкладышами, исключающими его перемещение внутри коробки. Маркировка на упаковку каждого РМ должна быть нанесена типографским способом и содержать следующие данные: товарный знак или (и) наименование предприятия-изготовителя; наименование одной или более моделей принтеров, в которых может быть использован РМ; дата изготовления. Маркировка должна быть легко читаемой. Упаковка не должна содержать вскрытий, вмятин, порезов. Предусмотренный способ вскрытия упаковки должен быть защищен от повторного использования, то есть если вскрыть упаковку, ее невозможно будет закрыть, сохранив при этом первоначальный вид. Упаковка РМ должна быть промаркирована по ее техническим и качественным характеристикам. </w:t>
      </w:r>
    </w:p>
    <w:p>
      <w:pPr>
        <w:pStyle w:val="Normal"/>
        <w:ind w:firstLine="567"/>
        <w:jc w:val="both"/>
        <w:rPr/>
      </w:pPr>
      <w:r>
        <w:rPr/>
        <w:t xml:space="preserve">Пластмассовые элементы и металлические детали РМ не должны иметь трещин, вздутий, царапин, вмятин и других дефектов, ухудшающих их внешний вид и препятствующих нормальной работе РМ. Подвижные элементы РМ (шторки, заслонки) должны легко перемещаться без перекосов и заеданий. Сами РМ не должны иметь следов от установки его в принтер, потертостей, царапин и деформации защелок. РМ должны быть упакованы надлежащим образом и сопровождаться счетом-фактурой и товарной накладной, установленного образца. </w:t>
      </w:r>
      <w:r>
        <w:rPr>
          <w:color w:val="000000"/>
        </w:rPr>
        <w:t xml:space="preserve">Доставка осуществляется </w:t>
      </w:r>
      <w:r>
        <w:rPr/>
        <w:t>силами, транспортом и за счет Поставщика.</w:t>
      </w:r>
    </w:p>
    <w:p>
      <w:pPr>
        <w:pStyle w:val="Normal"/>
        <w:ind w:firstLine="708"/>
        <w:jc w:val="both"/>
        <w:rPr>
          <w:b/>
          <w:bCs/>
        </w:rPr>
      </w:pPr>
      <w:r>
        <w:rPr>
          <w:b/>
          <w:bCs/>
        </w:rPr>
        <w:t>3. Условия отгрузки и поставки товара</w:t>
      </w:r>
    </w:p>
    <w:p>
      <w:pPr>
        <w:pStyle w:val="Normal"/>
        <w:ind w:left="708" w:firstLine="143"/>
        <w:jc w:val="both"/>
        <w:rPr>
          <w:b/>
          <w:bCs/>
        </w:rPr>
      </w:pPr>
      <w:r>
        <w:rPr>
          <w:b/>
          <w:bCs/>
        </w:rPr>
        <w:t xml:space="preserve">- </w:t>
      </w:r>
      <w:r>
        <w:rPr/>
        <w:t>товар доставляется одной партией;</w:t>
      </w:r>
    </w:p>
    <w:p>
      <w:pPr>
        <w:pStyle w:val="Normal"/>
        <w:tabs>
          <w:tab w:val="clear" w:pos="708"/>
          <w:tab w:val="left" w:pos="916" w:leader="none"/>
          <w:tab w:val="left" w:pos="1080" w:leader="none"/>
        </w:tabs>
        <w:jc w:val="both"/>
        <w:rPr/>
      </w:pPr>
      <w:r>
        <w:rPr/>
        <w:tab/>
        <w:t xml:space="preserve">- поставка товаров осуществляется Поставщиком путем доставки, разгрузки и складирования товара в помещения Заказчика по адресу места доставки;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jc w:val="both"/>
        <w:rPr/>
      </w:pPr>
      <w:r>
        <w:rPr/>
        <w:t xml:space="preserve">- доставка товара к месту поставки, складирование товара в помещения Заказчика осуществляется силами и средствами Поставщика; </w:t>
      </w:r>
    </w:p>
    <w:p>
      <w:pPr>
        <w:pStyle w:val="Normal"/>
        <w:ind w:firstLine="708"/>
        <w:jc w:val="both"/>
        <w:rPr/>
      </w:pPr>
      <w:r>
        <w:rPr/>
        <w:t xml:space="preserve">- Поставщик обязан известить Заказчика о дате и времени поставки не менее чем за 1 рабочий день. </w:t>
      </w:r>
    </w:p>
    <w:p>
      <w:pPr>
        <w:pStyle w:val="Normal"/>
        <w:ind w:firstLine="708"/>
        <w:jc w:val="both"/>
        <w:rPr/>
      </w:pPr>
      <w:r>
        <w:rPr/>
        <w:t>- Порядок погрузки-разгрузки и транспортировки должны исключать возможность механических повреждений поставляемого товара.</w:t>
      </w:r>
    </w:p>
    <w:p>
      <w:pPr>
        <w:pStyle w:val="Normal"/>
        <w:tabs>
          <w:tab w:val="clear" w:pos="708"/>
          <w:tab w:val="left" w:pos="851" w:leader="none"/>
          <w:tab w:val="left" w:pos="1260" w:leader="none"/>
        </w:tabs>
        <w:jc w:val="both"/>
        <w:rPr/>
      </w:pPr>
      <w:r>
        <w:rPr/>
        <w:tab/>
        <w:t xml:space="preserve">- после доставки и складирования товара в помещение Заказчика при совместном присутствии сторон осуществляется вскрытие упаковки для проверки целостности товара,  отсутствия повреждений, загрязнений; </w:t>
      </w:r>
    </w:p>
    <w:p>
      <w:pPr>
        <w:pStyle w:val="Normal"/>
        <w:tabs>
          <w:tab w:val="clear" w:pos="708"/>
          <w:tab w:val="left" w:pos="1260" w:leader="none"/>
        </w:tabs>
        <w:ind w:firstLine="720"/>
        <w:jc w:val="both"/>
        <w:rPr/>
      </w:pPr>
      <w:r>
        <w:rPr/>
        <w:t>- Заказчик в присутствии уполномоченного представителя Поставщика осуществляет приемку товара,  при этом осматривает  и проверяет товар на соответствие требованиям Контракта о наименовании, количестве, характеристиках и упаковке;</w:t>
      </w:r>
    </w:p>
    <w:p>
      <w:pPr>
        <w:pStyle w:val="Normal"/>
        <w:tabs>
          <w:tab w:val="clear" w:pos="708"/>
          <w:tab w:val="left" w:pos="1260" w:leader="none"/>
        </w:tabs>
        <w:ind w:firstLine="720"/>
        <w:jc w:val="both"/>
        <w:rPr/>
      </w:pPr>
      <w:r>
        <w:rPr/>
        <w:t xml:space="preserve">- приемка товара Заказчиком осуществляется в срок до трех рабочих дней с момента складирования товара Поставщиком в помещения Заказчика.  </w:t>
      </w:r>
    </w:p>
    <w:p>
      <w:pPr>
        <w:pStyle w:val="Normal"/>
        <w:tabs>
          <w:tab w:val="clear" w:pos="708"/>
          <w:tab w:val="left" w:pos="0" w:leader="none"/>
          <w:tab w:val="left" w:pos="709" w:leader="none"/>
        </w:tabs>
        <w:jc w:val="both"/>
        <w:rPr/>
      </w:pPr>
      <w:r>
        <w:rPr/>
        <w:tab/>
        <w:t xml:space="preserve">При установлении соответствия поставленного товара требованиям Заказчика к наименованию, характеристикам, количеству и упаковке, Заказчик подписывает Акт приемки-передачи или  товарную накладную. С момента подписания Акта приемки-передачи или  товарной накладной товар считается принятым Заказчиком. </w:t>
      </w:r>
    </w:p>
    <w:p>
      <w:pPr>
        <w:pStyle w:val="Normal"/>
        <w:tabs>
          <w:tab w:val="clear" w:pos="708"/>
          <w:tab w:val="left" w:pos="709" w:leader="none"/>
          <w:tab w:val="left" w:pos="1260" w:leader="none"/>
          <w:tab w:val="left" w:pos="1957" w:leader="none"/>
        </w:tabs>
        <w:jc w:val="both"/>
        <w:rPr>
          <w:b/>
        </w:rPr>
      </w:pPr>
      <w:r>
        <w:rPr/>
        <w:tab/>
        <w:t xml:space="preserve">Заказчик вправе не принимать и не оплачивать товар, поставка которого осуществлена в нарушение установленного порядка. </w:t>
      </w:r>
    </w:p>
    <w:p>
      <w:pPr>
        <w:pStyle w:val="Normal"/>
        <w:ind w:firstLine="708"/>
        <w:jc w:val="both"/>
        <w:rPr>
          <w:b/>
          <w:bCs/>
        </w:rPr>
      </w:pPr>
      <w:r>
        <w:rPr>
          <w:b/>
          <w:bCs/>
        </w:rPr>
        <w:t>4. Требования, связанные с определением соответствия поставляемого товара потребностям Заказчика (приёмка товара)</w:t>
      </w:r>
    </w:p>
    <w:p>
      <w:pPr>
        <w:pStyle w:val="Normal"/>
        <w:widowControl w:val="false"/>
        <w:ind w:firstLine="708"/>
        <w:jc w:val="both"/>
        <w:rPr/>
      </w:pPr>
      <w:r>
        <w:rPr/>
        <w:t>Приемка товара осуществляется представителями Заказчика                        (с проверкой количества, ассортимента и соответствия технических характеристик, целостности предусмотренных товарных знаков, маркировок, соответствия идентификационных номеров на товаре и упаковке, отсутствия повреждений на товаре и упаковке и т.д.).</w:t>
      </w:r>
    </w:p>
    <w:p>
      <w:pPr>
        <w:pStyle w:val="Normal"/>
        <w:widowControl w:val="false"/>
        <w:ind w:firstLine="708"/>
        <w:jc w:val="both"/>
        <w:rPr/>
      </w:pPr>
      <w:r>
        <w:rPr>
          <w:b/>
          <w:bCs/>
        </w:rPr>
        <w:t>5. Гарантии</w:t>
      </w:r>
      <w:r>
        <w:rPr/>
        <w:t xml:space="preserve"> </w:t>
      </w:r>
      <w:r>
        <w:rPr>
          <w:b/>
          <w:bCs/>
        </w:rPr>
        <w:t>поставляемых товаров, выполняемых работ, оказываемых услуг:</w:t>
      </w:r>
    </w:p>
    <w:p>
      <w:pPr>
        <w:pStyle w:val="Normal"/>
        <w:widowControl w:val="false"/>
        <w:ind w:firstLine="708"/>
        <w:jc w:val="both"/>
        <w:rPr/>
      </w:pPr>
      <w:r>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pPr>
        <w:pStyle w:val="Normal"/>
        <w:widowControl w:val="false"/>
        <w:ind w:firstLine="708"/>
        <w:jc w:val="both"/>
        <w:rPr/>
      </w:pPr>
      <w:r>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pPr>
        <w:pStyle w:val="Normal"/>
        <w:widowControl w:val="false"/>
        <w:ind w:firstLine="708"/>
        <w:jc w:val="both"/>
        <w:rPr/>
      </w:pPr>
      <w:r>
        <w:rPr/>
        <w:t xml:space="preserve">Требования по сроку гарантии качества: не менее срока гарантии предоставляемой компанией-изготовителем, но не менее 12 месяцев. Началом срока гарантии считается день подписания заказчиком (получателем) товарной накладной и акта приема-передачи. </w:t>
      </w:r>
    </w:p>
    <w:p>
      <w:pPr>
        <w:pStyle w:val="Normal"/>
        <w:ind w:firstLine="708"/>
        <w:jc w:val="both"/>
        <w:rPr>
          <w:b/>
          <w:bCs/>
          <w:color w:val="000000" w:themeColor="text1"/>
        </w:rPr>
      </w:pPr>
      <w:r>
        <w:rPr>
          <w:b/>
          <w:bCs/>
          <w:color w:val="000000" w:themeColor="text1"/>
          <w:lang w:eastAsia="en-US"/>
        </w:rPr>
        <w:t xml:space="preserve">6. Характеристики и количество поставляемых товаров, </w:t>
      </w:r>
      <w:r>
        <w:rPr>
          <w:b/>
          <w:bCs/>
          <w:color w:val="000000" w:themeColor="text1"/>
        </w:rPr>
        <w:t>технические и функциональные характеристики товаров</w:t>
      </w:r>
    </w:p>
    <w:tbl>
      <w:tblPr>
        <w:tblW w:w="93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681"/>
        <w:gridCol w:w="2033"/>
        <w:gridCol w:w="3120"/>
        <w:gridCol w:w="1504"/>
        <w:gridCol w:w="2052"/>
      </w:tblGrid>
      <w:tr>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 xml:space="preserve">№ </w:t>
            </w:r>
            <w:r>
              <w:rPr>
                <w:color w:val="000000" w:themeColor="text1"/>
                <w:sz w:val="24"/>
                <w:szCs w:val="24"/>
              </w:rPr>
              <w:t>п/п</w:t>
            </w:r>
          </w:p>
        </w:tc>
        <w:tc>
          <w:tcPr>
            <w:tcW w:w="20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themeColor="text1"/>
                <w:sz w:val="24"/>
                <w:szCs w:val="24"/>
              </w:rPr>
            </w:pPr>
            <w:r>
              <w:rPr>
                <w:color w:val="000000" w:themeColor="text1"/>
                <w:sz w:val="24"/>
                <w:szCs w:val="24"/>
              </w:rPr>
              <w:t>Наименование</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themeColor="text1"/>
                <w:sz w:val="24"/>
                <w:szCs w:val="24"/>
              </w:rPr>
            </w:pPr>
            <w:r>
              <w:rPr>
                <w:color w:val="000000" w:themeColor="text1"/>
                <w:sz w:val="24"/>
                <w:szCs w:val="24"/>
              </w:rPr>
              <w:t>Характеристики товара</w:t>
            </w:r>
          </w:p>
        </w:tc>
        <w:tc>
          <w:tcPr>
            <w:tcW w:w="1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Ед. изм.</w:t>
            </w:r>
          </w:p>
        </w:tc>
        <w:tc>
          <w:tcPr>
            <w:tcW w:w="2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Кол-во</w:t>
            </w:r>
          </w:p>
        </w:tc>
      </w:tr>
      <w:tr>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1.</w:t>
            </w:r>
          </w:p>
        </w:tc>
        <w:tc>
          <w:tcPr>
            <w:tcW w:w="2033" w:type="dxa"/>
            <w:tcBorders>
              <w:top w:val="single" w:sz="4" w:space="0" w:color="000000"/>
              <w:left w:val="single" w:sz="4" w:space="0" w:color="000000"/>
              <w:bottom w:val="single" w:sz="4" w:space="0" w:color="000000"/>
              <w:right w:val="single" w:sz="4" w:space="0" w:color="000000"/>
            </w:tcBorders>
          </w:tcPr>
          <w:p>
            <w:pPr>
              <w:pStyle w:val="1"/>
              <w:widowControl w:val="false"/>
              <w:spacing w:before="480" w:after="0"/>
              <w:rPr>
                <w:rStyle w:val="Strong"/>
                <w:rFonts w:ascii="YS Text;apple-system" w:hAnsi="YS Text;apple-system" w:cs="YS Text;apple-system"/>
                <w:b w:val="false"/>
                <w:i w:val="false"/>
                <w:i w:val="false"/>
                <w:caps w:val="false"/>
                <w:smallCaps w:val="false"/>
                <w:color w:val="000000"/>
                <w:spacing w:val="0"/>
                <w:sz w:val="24"/>
                <w:szCs w:val="24"/>
              </w:rPr>
            </w:pPr>
            <w:r>
              <w:rPr>
                <w:rFonts w:cs="PT Astra Serif" w:ascii="PT Astra Serif" w:hAnsi="PT Astra Serif"/>
                <w:b w:val="false"/>
                <w:bCs w:val="false"/>
                <w:i w:val="false"/>
                <w:caps w:val="false"/>
                <w:smallCaps w:val="false"/>
                <w:strike w:val="false"/>
                <w:dstrike w:val="false"/>
                <w:color w:val="000000"/>
                <w:spacing w:val="0"/>
                <w:sz w:val="24"/>
                <w:szCs w:val="24"/>
                <w:u w:val="none"/>
              </w:rPr>
              <w:t xml:space="preserve">Драм-юнит Opticart </w:t>
            </w:r>
            <w:r>
              <w:rPr>
                <w:rFonts w:cs="Times New Roman"/>
                <w:b w:val="false"/>
                <w:bCs w:val="false"/>
                <w:i w:val="false"/>
                <w:caps w:val="false"/>
                <w:smallCaps w:val="false"/>
                <w:strike w:val="false"/>
                <w:dstrike w:val="false"/>
                <w:color w:val="000000"/>
                <w:spacing w:val="0"/>
                <w:sz w:val="24"/>
                <w:szCs w:val="24"/>
                <w:u w:val="none"/>
              </w:rPr>
              <w:t xml:space="preserve">Фотобарабан черный </w:t>
            </w:r>
            <w:r>
              <w:rPr>
                <w:rStyle w:val="Strong"/>
                <w:rFonts w:cs="PT Astra Serif" w:ascii="PT Astra Serif" w:hAnsi="PT Astra Serif"/>
                <w:b w:val="false"/>
                <w:i w:val="false"/>
                <w:caps w:val="false"/>
                <w:smallCaps w:val="false"/>
                <w:color w:val="000000"/>
                <w:spacing w:val="0"/>
                <w:sz w:val="24"/>
                <w:szCs w:val="24"/>
              </w:rPr>
              <w:t>C13S051206</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4"/>
                <w:szCs w:val="24"/>
              </w:rPr>
            </w:pPr>
            <w:r>
              <w:rPr>
                <w:color w:val="000000" w:themeColor="text1"/>
                <w:sz w:val="24"/>
                <w:szCs w:val="24"/>
              </w:rPr>
              <w:t xml:space="preserve">Драм-юнит C13S051206 Фотобарабан это часть двухкомпонетной системы печати для принтеров </w:t>
            </w:r>
            <w:r>
              <w:rPr>
                <w:rFonts w:ascii="PT Astra Serif" w:hAnsi="PT Astra Serif"/>
                <w:b w:val="false"/>
                <w:bCs w:val="false"/>
                <w:i w:val="false"/>
                <w:caps w:val="false"/>
                <w:smallCaps w:val="false"/>
                <w:strike w:val="false"/>
                <w:dstrike w:val="false"/>
                <w:color w:val="000000" w:themeColor="text1"/>
                <w:spacing w:val="0"/>
                <w:sz w:val="24"/>
                <w:szCs w:val="24"/>
                <w:u w:val="none"/>
                <w:effect w:val="none"/>
              </w:rPr>
              <w:t>Epson AcuLaser M2000/ M2400</w:t>
            </w:r>
            <w:r>
              <w:rPr>
                <w:color w:val="000000" w:themeColor="text1"/>
                <w:sz w:val="24"/>
                <w:szCs w:val="24"/>
              </w:rPr>
              <w:t xml:space="preserve"> черный</w:t>
            </w:r>
          </w:p>
          <w:p>
            <w:pPr>
              <w:pStyle w:val="Normal"/>
              <w:widowControl w:val="false"/>
              <w:rPr>
                <w:color w:val="000000" w:themeColor="text1"/>
                <w:sz w:val="24"/>
                <w:szCs w:val="24"/>
              </w:rPr>
            </w:pPr>
            <w:r>
              <w:rPr>
                <w:color w:val="000000" w:themeColor="text1"/>
                <w:sz w:val="24"/>
                <w:szCs w:val="24"/>
              </w:rPr>
              <w:t xml:space="preserve">Ресурс рассчитан на не менее </w:t>
            </w:r>
            <w:r>
              <w:rPr>
                <w:rFonts w:ascii="PT Astra Serif" w:hAnsi="PT Astra Serif"/>
                <w:b w:val="false"/>
                <w:i w:val="false"/>
                <w:caps w:val="false"/>
                <w:smallCaps w:val="false"/>
                <w:color w:val="000000" w:themeColor="text1"/>
                <w:spacing w:val="0"/>
                <w:sz w:val="24"/>
                <w:szCs w:val="24"/>
              </w:rPr>
              <w:t>100000</w:t>
            </w:r>
            <w:r>
              <w:rPr>
                <w:rFonts w:ascii="PT Astra Serif" w:hAnsi="PT Astra Serif"/>
                <w:color w:val="000000" w:themeColor="text1"/>
                <w:sz w:val="24"/>
                <w:szCs w:val="24"/>
              </w:rPr>
              <w:t xml:space="preserve"> страниц </w:t>
            </w:r>
            <w:r>
              <w:rPr>
                <w:rFonts w:ascii="PT Astra Serif" w:hAnsi="PT Astra Serif"/>
                <w:b w:val="false"/>
                <w:i w:val="false"/>
                <w:caps w:val="false"/>
                <w:smallCaps w:val="false"/>
                <w:color w:val="000000" w:themeColor="text1"/>
                <w:spacing w:val="0"/>
                <w:sz w:val="24"/>
                <w:szCs w:val="24"/>
              </w:rPr>
              <w:t>(при стандартном заполнении листа около 5%)</w:t>
            </w:r>
          </w:p>
        </w:tc>
        <w:tc>
          <w:tcPr>
            <w:tcW w:w="15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шт.</w:t>
            </w:r>
          </w:p>
        </w:tc>
        <w:tc>
          <w:tcPr>
            <w:tcW w:w="2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1</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4"/>
                <w:szCs w:val="24"/>
              </w:rPr>
            </w:pPr>
            <w:r>
              <w:rPr>
                <w:color w:val="000000" w:themeColor="text1"/>
                <w:sz w:val="24"/>
                <w:szCs w:val="24"/>
              </w:rPr>
            </w:r>
          </w:p>
        </w:tc>
        <w:tc>
          <w:tcPr>
            <w:tcW w:w="2033" w:type="dxa"/>
            <w:tcBorders>
              <w:top w:val="single" w:sz="4" w:space="0" w:color="000000"/>
              <w:bottom w:val="single" w:sz="4" w:space="0" w:color="000000"/>
            </w:tcBorders>
          </w:tcPr>
          <w:p>
            <w:pPr>
              <w:pStyle w:val="Normal"/>
              <w:widowControl w:val="false"/>
              <w:rPr>
                <w:color w:val="000000" w:themeColor="text1"/>
                <w:sz w:val="24"/>
                <w:szCs w:val="24"/>
              </w:rPr>
            </w:pPr>
            <w:r>
              <w:rPr>
                <w:color w:val="000000" w:themeColor="text1"/>
                <w:sz w:val="24"/>
                <w:szCs w:val="24"/>
              </w:rPr>
              <w:t>ИТОГО</w:t>
            </w:r>
          </w:p>
        </w:tc>
        <w:tc>
          <w:tcPr>
            <w:tcW w:w="3120" w:type="dxa"/>
            <w:tcBorders>
              <w:top w:val="single" w:sz="4" w:space="0" w:color="000000"/>
              <w:bottom w:val="single" w:sz="4" w:space="0" w:color="000000"/>
            </w:tcBorders>
          </w:tcPr>
          <w:p>
            <w:pPr>
              <w:pStyle w:val="Normal"/>
              <w:widowControl w:val="false"/>
              <w:rPr>
                <w:color w:val="000000" w:themeColor="text1"/>
                <w:sz w:val="24"/>
                <w:szCs w:val="24"/>
              </w:rPr>
            </w:pPr>
            <w:r>
              <w:rPr>
                <w:color w:val="000000" w:themeColor="text1"/>
                <w:sz w:val="24"/>
                <w:szCs w:val="24"/>
              </w:rPr>
            </w:r>
          </w:p>
        </w:tc>
        <w:tc>
          <w:tcPr>
            <w:tcW w:w="1504" w:type="dxa"/>
            <w:tcBorders>
              <w:top w:val="single" w:sz="4" w:space="0" w:color="000000"/>
              <w:bottom w:val="single" w:sz="4" w:space="0" w:color="000000"/>
              <w:right w:val="single" w:sz="4" w:space="0" w:color="000000"/>
            </w:tcBorders>
            <w:vAlign w:val="center"/>
          </w:tcPr>
          <w:p>
            <w:pPr>
              <w:pStyle w:val="Normal"/>
              <w:widowControl w:val="false"/>
              <w:jc w:val="center"/>
              <w:rPr>
                <w:b/>
                <w:color w:val="000000" w:themeColor="text1"/>
                <w:sz w:val="24"/>
                <w:szCs w:val="24"/>
              </w:rPr>
            </w:pPr>
            <w:r>
              <w:rPr>
                <w:b/>
                <w:color w:val="000000" w:themeColor="text1"/>
                <w:sz w:val="24"/>
                <w:szCs w:val="24"/>
              </w:rPr>
            </w:r>
          </w:p>
        </w:tc>
        <w:tc>
          <w:tcPr>
            <w:tcW w:w="2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color w:val="000000" w:themeColor="text1"/>
                <w:sz w:val="24"/>
                <w:szCs w:val="24"/>
              </w:rPr>
            </w:pPr>
            <w:r>
              <w:rPr>
                <w:b/>
                <w:color w:val="000000" w:themeColor="text1"/>
                <w:sz w:val="24"/>
                <w:szCs w:val="24"/>
              </w:rPr>
              <w:t>1</w:t>
            </w:r>
          </w:p>
        </w:tc>
      </w:tr>
    </w:tbl>
    <w:p>
      <w:pPr>
        <w:pStyle w:val="Normal"/>
        <w:ind w:firstLine="720"/>
        <w:jc w:val="both"/>
        <w:rPr>
          <w:b/>
          <w:color w:val="000000" w:themeColor="text1"/>
        </w:rPr>
      </w:pPr>
      <w:r>
        <w:rPr>
          <w:b/>
          <w:color w:val="000000" w:themeColor="text1"/>
        </w:rPr>
      </w:r>
    </w:p>
    <w:p>
      <w:pPr>
        <w:pStyle w:val="Normal"/>
        <w:ind w:firstLine="720"/>
        <w:jc w:val="both"/>
        <w:rPr>
          <w:kern w:val="2"/>
        </w:rPr>
      </w:pPr>
      <w:r>
        <w:rPr>
          <w:kern w:val="2"/>
        </w:rPr>
      </w:r>
    </w:p>
    <w:p>
      <w:pPr>
        <w:pStyle w:val="Normal"/>
        <w:ind w:firstLine="720"/>
        <w:jc w:val="both"/>
        <w:rPr>
          <w:kern w:val="2"/>
        </w:rPr>
      </w:pPr>
      <w:r>
        <w:rPr>
          <w:kern w:val="2"/>
        </w:rPr>
      </w:r>
      <w:bookmarkStart w:id="0" w:name="_GoBack"/>
      <w:bookmarkStart w:id="1" w:name="_GoBack"/>
      <w:bookmarkEnd w:id="1"/>
    </w:p>
    <w:sectPr>
      <w:type w:val="nextPage"/>
      <w:pgSz w:w="11906" w:h="16838"/>
      <w:pgMar w:left="1701" w:right="850" w:gutter="0" w:header="0" w:top="567"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 w:name="Courier New">
    <w:charset w:val="01"/>
    <w:family w:val="roman"/>
    <w:pitch w:val="default"/>
  </w:font>
  <w:font w:name="Calibri">
    <w:charset w:val="01"/>
    <w:family w:val="roman"/>
    <w:pitch w:val="default"/>
  </w:font>
  <w:font w:name="YS Text">
    <w:altName w:val="apple-system"/>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semiHidden="0" w:unhideWhenUsed="0" w:qFormat="1"/>
    <w:lsdException w:name="Default Paragraph Fon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4c14"/>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
    <w:name w:val="Heading 1"/>
    <w:basedOn w:val="Normal"/>
    <w:next w:val="Normal"/>
    <w:link w:val="11"/>
    <w:qFormat/>
    <w:locked/>
    <w:rsid w:val="00050197"/>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rPr>
  </w:style>
  <w:style w:type="paragraph" w:styleId="2">
    <w:name w:val="Heading 2"/>
    <w:basedOn w:val="Normal"/>
    <w:link w:val="21"/>
    <w:uiPriority w:val="9"/>
    <w:qFormat/>
    <w:locked/>
    <w:rsid w:val="004e4ae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Style12" w:customStyle="1">
    <w:name w:val="Текст сноски Знак"/>
    <w:basedOn w:val="DefaultParagraphFont"/>
    <w:uiPriority w:val="99"/>
    <w:semiHidden/>
    <w:qFormat/>
    <w:locked/>
    <w:rsid w:val="00484c14"/>
    <w:rPr>
      <w:rFonts w:cs="Times New Roman"/>
      <w:lang w:val="ru-RU" w:eastAsia="ru-RU" w:bidi="ar-SA"/>
    </w:rPr>
  </w:style>
  <w:style w:type="character" w:styleId="Style13">
    <w:name w:val="Символ сноски"/>
    <w:uiPriority w:val="99"/>
    <w:semiHidden/>
    <w:qFormat/>
    <w:rsid w:val="00484c14"/>
    <w:rPr>
      <w:rFonts w:cs="Times New Roman"/>
      <w:vertAlign w:val="superscript"/>
    </w:rPr>
  </w:style>
  <w:style w:type="character" w:styleId="Style14">
    <w:name w:val="Footnote Reference"/>
    <w:rPr>
      <w:rFonts w:cs="Times New Roman"/>
      <w:vertAlign w:val="superscript"/>
    </w:rPr>
  </w:style>
  <w:style w:type="character" w:styleId="Style15" w:customStyle="1">
    <w:name w:val="Основной текст Знак"/>
    <w:basedOn w:val="DefaultParagraphFont"/>
    <w:uiPriority w:val="99"/>
    <w:semiHidden/>
    <w:qFormat/>
    <w:locked/>
    <w:rsid w:val="00484c14"/>
    <w:rPr>
      <w:rFonts w:cs="Times New Roman"/>
      <w:sz w:val="28"/>
      <w:szCs w:val="28"/>
      <w:lang w:val="ru-RU" w:eastAsia="ru-RU" w:bidi="ar-SA"/>
    </w:rPr>
  </w:style>
  <w:style w:type="character" w:styleId="Strong">
    <w:name w:val="Strong"/>
    <w:qFormat/>
    <w:rPr>
      <w:b/>
      <w:bCs/>
    </w:rPr>
  </w:style>
  <w:style w:type="character" w:styleId="Style16" w:customStyle="1">
    <w:name w:val="Верхний колонтитул Знак"/>
    <w:basedOn w:val="DefaultParagraphFont"/>
    <w:uiPriority w:val="99"/>
    <w:semiHidden/>
    <w:qFormat/>
    <w:locked/>
    <w:rsid w:val="001349fc"/>
    <w:rPr>
      <w:rFonts w:cs="Times New Roman"/>
      <w:sz w:val="28"/>
      <w:szCs w:val="28"/>
    </w:rPr>
  </w:style>
  <w:style w:type="character" w:styleId="Style17" w:customStyle="1">
    <w:name w:val="Текст выноски Знак"/>
    <w:basedOn w:val="DefaultParagraphFont"/>
    <w:link w:val="BalloonText"/>
    <w:uiPriority w:val="99"/>
    <w:semiHidden/>
    <w:qFormat/>
    <w:locked/>
    <w:rsid w:val="001349fc"/>
    <w:rPr>
      <w:rFonts w:cs="Times New Roman"/>
      <w:sz w:val="2"/>
    </w:rPr>
  </w:style>
  <w:style w:type="character" w:styleId="-">
    <w:name w:val="Hyperlink"/>
    <w:basedOn w:val="DefaultParagraphFont"/>
    <w:uiPriority w:val="99"/>
    <w:rsid w:val="00313115"/>
    <w:rPr>
      <w:rFonts w:cs="Times New Roman"/>
      <w:color w:val="0000FF"/>
      <w:u w:val="single"/>
    </w:rPr>
  </w:style>
  <w:style w:type="character" w:styleId="Style18" w:customStyle="1">
    <w:name w:val="Название Знак"/>
    <w:basedOn w:val="DefaultParagraphFont"/>
    <w:uiPriority w:val="99"/>
    <w:qFormat/>
    <w:rsid w:val="00ac7e1e"/>
    <w:rPr>
      <w:b/>
      <w:bCs/>
      <w:sz w:val="24"/>
      <w:szCs w:val="24"/>
    </w:rPr>
  </w:style>
  <w:style w:type="character" w:styleId="11" w:customStyle="1">
    <w:name w:val="Заголовок 1 Знак"/>
    <w:basedOn w:val="DefaultParagraphFont"/>
    <w:qFormat/>
    <w:rsid w:val="00050197"/>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uiPriority w:val="9"/>
    <w:qFormat/>
    <w:rsid w:val="004e4ae7"/>
    <w:rPr>
      <w:b/>
      <w:bCs/>
      <w:sz w:val="36"/>
      <w:szCs w:val="36"/>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uiPriority w:val="99"/>
    <w:rsid w:val="00484c14"/>
    <w:pPr>
      <w:spacing w:before="0" w:after="120"/>
    </w:pPr>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Style24">
    <w:name w:val="Footnote Text"/>
    <w:basedOn w:val="Normal"/>
    <w:link w:val="Style12"/>
    <w:uiPriority w:val="99"/>
    <w:semiHidden/>
    <w:rsid w:val="00484c14"/>
    <w:pPr/>
    <w:rPr>
      <w:sz w:val="20"/>
      <w:szCs w:val="20"/>
    </w:rPr>
  </w:style>
  <w:style w:type="paragraph" w:styleId="Style25">
    <w:name w:val="Колонтитул"/>
    <w:basedOn w:val="Normal"/>
    <w:qFormat/>
    <w:pPr/>
    <w:rPr/>
  </w:style>
  <w:style w:type="paragraph" w:styleId="Style26">
    <w:name w:val="Header"/>
    <w:basedOn w:val="Normal"/>
    <w:link w:val="Style16"/>
    <w:uiPriority w:val="99"/>
    <w:rsid w:val="00484c14"/>
    <w:pPr>
      <w:tabs>
        <w:tab w:val="clear" w:pos="708"/>
        <w:tab w:val="center" w:pos="4677" w:leader="none"/>
        <w:tab w:val="right" w:pos="9355" w:leader="none"/>
      </w:tabs>
    </w:pPr>
    <w:rPr/>
  </w:style>
  <w:style w:type="paragraph" w:styleId="BalloonText">
    <w:name w:val="Balloon Text"/>
    <w:basedOn w:val="Normal"/>
    <w:link w:val="Style17"/>
    <w:uiPriority w:val="99"/>
    <w:semiHidden/>
    <w:qFormat/>
    <w:rsid w:val="00d83fc4"/>
    <w:pPr/>
    <w:rPr>
      <w:rFonts w:ascii="Tahoma" w:hAnsi="Tahoma" w:cs="Tahoma"/>
      <w:sz w:val="16"/>
      <w:szCs w:val="16"/>
    </w:rPr>
  </w:style>
  <w:style w:type="paragraph" w:styleId="12" w:customStyle="1">
    <w:name w:val="Знак1 Знак Знак Знак Знак Знак Знак Знак Знак Знак Знак Знак Знак"/>
    <w:basedOn w:val="Normal"/>
    <w:uiPriority w:val="99"/>
    <w:qFormat/>
    <w:rsid w:val="00f34e70"/>
    <w:pPr>
      <w:spacing w:beforeAutospacing="1" w:afterAutospacing="1"/>
      <w:jc w:val="both"/>
    </w:pPr>
    <w:rPr>
      <w:rFonts w:ascii="Tahoma" w:hAnsi="Tahoma"/>
      <w:sz w:val="20"/>
      <w:szCs w:val="20"/>
      <w:lang w:val="en-US" w:eastAsia="en-US"/>
    </w:rPr>
  </w:style>
  <w:style w:type="paragraph" w:styleId="Style27" w:customStyle="1">
    <w:name w:val="Знак"/>
    <w:basedOn w:val="Normal"/>
    <w:uiPriority w:val="99"/>
    <w:qFormat/>
    <w:rsid w:val="00f34e70"/>
    <w:pPr>
      <w:widowControl w:val="false"/>
      <w:spacing w:before="120" w:after="0"/>
      <w:ind w:firstLine="709"/>
      <w:jc w:val="both"/>
    </w:pPr>
    <w:rPr>
      <w:rFonts w:eastAsia="SimSun" w:cs="Arial"/>
      <w:kern w:val="2"/>
      <w:sz w:val="24"/>
      <w:szCs w:val="24"/>
      <w:lang w:eastAsia="zh-CN"/>
    </w:rPr>
  </w:style>
  <w:style w:type="paragraph" w:styleId="ConsNonformat" w:customStyle="1">
    <w:name w:val="ConsNonformat"/>
    <w:uiPriority w:val="99"/>
    <w:qFormat/>
    <w:rsid w:val="00155c8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ListParagraph">
    <w:name w:val="List Paragraph"/>
    <w:basedOn w:val="Normal"/>
    <w:uiPriority w:val="34"/>
    <w:qFormat/>
    <w:rsid w:val="00a50c09"/>
    <w:pPr>
      <w:spacing w:before="0" w:after="0"/>
      <w:ind w:left="720" w:hanging="0"/>
      <w:contextualSpacing/>
    </w:pPr>
    <w:rPr/>
  </w:style>
  <w:style w:type="paragraph" w:styleId="Style28">
    <w:name w:val="Title"/>
    <w:basedOn w:val="Normal"/>
    <w:link w:val="Style18"/>
    <w:uiPriority w:val="99"/>
    <w:qFormat/>
    <w:locked/>
    <w:rsid w:val="00ac7e1e"/>
    <w:pPr>
      <w:jc w:val="center"/>
    </w:pPr>
    <w:rPr>
      <w:b/>
      <w:bCs/>
      <w:sz w:val="24"/>
      <w:szCs w:val="24"/>
    </w:rPr>
  </w:style>
  <w:style w:type="paragraph" w:styleId="13" w:customStyle="1">
    <w:name w:val="Абзац списка1"/>
    <w:basedOn w:val="Normal"/>
    <w:qFormat/>
    <w:rsid w:val="00346d0a"/>
    <w:pPr>
      <w:ind w:left="720" w:hanging="0"/>
    </w:pPr>
    <w:rPr>
      <w:rFonts w:ascii="Calibri" w:hAnsi="Calibri" w:eastAsia="" w:cs="Calibri" w:eastAsiaTheme="minorEastAsia"/>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99"/>
    <w:rsid w:val="00484c1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D202E-EAD1-4C05-B663-D58914FA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LibreOffice/7.5.6.2$Linux_X86_64 LibreOffice_project/50$Build-2</Application>
  <AppVersion>15.0000</AppVersion>
  <Pages>2</Pages>
  <Words>595</Words>
  <Characters>4279</Characters>
  <CharactersWithSpaces>4882</CharactersWithSpaces>
  <Paragraphs>37</Paragraphs>
  <Company>Computer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2023-07-24T01:36:00Z</dcterms:created>
  <dc:creator>e.rizhkova</dc:creator>
  <dc:description/>
  <dc:language>ru-RU</dc:language>
  <cp:lastModifiedBy/>
  <cp:lastPrinted>2026-06-18T08:59:50Z</cp:lastPrinted>
  <dcterms:modified xsi:type="dcterms:W3CDTF">2026-06-18T09:06:17Z</dcterms:modified>
  <cp:revision>4</cp:revision>
  <dc:subject/>
  <dc:title>Начальнику</dc:title>
</cp:coreProperties>
</file>

<file path=docProps/custom.xml><?xml version="1.0" encoding="utf-8"?>
<Properties xmlns="http://schemas.openxmlformats.org/officeDocument/2006/custom-properties" xmlns:vt="http://schemas.openxmlformats.org/officeDocument/2006/docPropsVTypes"/>
</file>