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F43" w:rsidRPr="004D3466" w:rsidRDefault="00381F43" w:rsidP="00576C40">
      <w:pPr>
        <w:spacing w:line="233" w:lineRule="auto"/>
        <w:rPr>
          <w:rFonts w:ascii="PT Astra Serif" w:hAnsi="PT Astra Serif"/>
        </w:rPr>
      </w:pPr>
    </w:p>
    <w:p w:rsidR="00605101" w:rsidRPr="00922EC8" w:rsidRDefault="00605101" w:rsidP="00922EC8">
      <w:pPr>
        <w:pStyle w:val="23"/>
        <w:spacing w:line="233" w:lineRule="auto"/>
        <w:rPr>
          <w:rFonts w:ascii="PT Astra Serif" w:hAnsi="PT Astra Serif" w:cs="Times New Roman"/>
          <w:szCs w:val="24"/>
        </w:rPr>
      </w:pPr>
      <w:r w:rsidRPr="004D3466">
        <w:rPr>
          <w:rFonts w:ascii="PT Astra Serif" w:hAnsi="PT Astra Serif" w:cs="Times New Roman"/>
          <w:szCs w:val="24"/>
        </w:rPr>
        <w:t>Описание объекта закупки</w:t>
      </w:r>
    </w:p>
    <w:p w:rsidR="00922EC8" w:rsidRPr="004D3466" w:rsidRDefault="00922EC8" w:rsidP="00922EC8">
      <w:pPr>
        <w:autoSpaceDE w:val="0"/>
        <w:autoSpaceDN w:val="0"/>
        <w:adjustRightInd w:val="0"/>
        <w:spacing w:line="233" w:lineRule="auto"/>
        <w:jc w:val="both"/>
        <w:outlineLvl w:val="1"/>
        <w:rPr>
          <w:rFonts w:ascii="PT Astra Serif" w:hAnsi="PT Astra Serif"/>
        </w:rPr>
      </w:pPr>
    </w:p>
    <w:p w:rsidR="00922EC8" w:rsidRPr="004D3466" w:rsidRDefault="00922EC8" w:rsidP="00922EC8">
      <w:pPr>
        <w:autoSpaceDE w:val="0"/>
        <w:autoSpaceDN w:val="0"/>
        <w:adjustRightInd w:val="0"/>
        <w:spacing w:line="233" w:lineRule="auto"/>
        <w:ind w:firstLine="708"/>
        <w:jc w:val="both"/>
        <w:outlineLvl w:val="1"/>
        <w:rPr>
          <w:rFonts w:ascii="PT Astra Serif" w:hAnsi="PT Astra Serif"/>
        </w:rPr>
      </w:pPr>
      <w:r w:rsidRPr="004D3466">
        <w:rPr>
          <w:rFonts w:ascii="PT Astra Serif" w:hAnsi="PT Astra Serif"/>
        </w:rPr>
        <w:t xml:space="preserve">1. Государственный заказчик: ФКУ </w:t>
      </w:r>
      <w:proofErr w:type="spellStart"/>
      <w:r w:rsidRPr="004D3466">
        <w:rPr>
          <w:rFonts w:ascii="PT Astra Serif" w:hAnsi="PT Astra Serif"/>
        </w:rPr>
        <w:t>БМТиВС</w:t>
      </w:r>
      <w:proofErr w:type="spellEnd"/>
      <w:r w:rsidRPr="004D3466">
        <w:rPr>
          <w:rFonts w:ascii="PT Astra Serif" w:hAnsi="PT Astra Serif"/>
        </w:rPr>
        <w:t xml:space="preserve"> ГУФСИН России по Свердловской области.</w:t>
      </w:r>
    </w:p>
    <w:p w:rsidR="00922EC8" w:rsidRPr="004D3466" w:rsidRDefault="00922EC8" w:rsidP="00922EC8">
      <w:pPr>
        <w:autoSpaceDE w:val="0"/>
        <w:autoSpaceDN w:val="0"/>
        <w:adjustRightInd w:val="0"/>
        <w:spacing w:line="233" w:lineRule="auto"/>
        <w:ind w:firstLine="708"/>
        <w:jc w:val="both"/>
        <w:outlineLvl w:val="1"/>
        <w:rPr>
          <w:rFonts w:ascii="PT Astra Serif" w:hAnsi="PT Astra Serif"/>
        </w:rPr>
      </w:pPr>
      <w:r w:rsidRPr="004D3466">
        <w:rPr>
          <w:rFonts w:ascii="PT Astra Serif" w:hAnsi="PT Astra Serif"/>
        </w:rPr>
        <w:t xml:space="preserve">2. Описание объекта закупки: оказание услуг по метрологической </w:t>
      </w:r>
      <w:r w:rsidRPr="007C2C30">
        <w:rPr>
          <w:rFonts w:ascii="PT Astra Serif" w:hAnsi="PT Astra Serif"/>
        </w:rPr>
        <w:t>поверк</w:t>
      </w:r>
      <w:r>
        <w:rPr>
          <w:rFonts w:ascii="PT Astra Serif" w:hAnsi="PT Astra Serif"/>
        </w:rPr>
        <w:t>е</w:t>
      </w:r>
      <w:r w:rsidRPr="007C2C30">
        <w:rPr>
          <w:rFonts w:ascii="PT Astra Serif" w:hAnsi="PT Astra Serif"/>
        </w:rPr>
        <w:t xml:space="preserve"> приборов учета холодного</w:t>
      </w:r>
      <w:r>
        <w:rPr>
          <w:rFonts w:ascii="PT Astra Serif" w:hAnsi="PT Astra Serif"/>
        </w:rPr>
        <w:t xml:space="preserve"> </w:t>
      </w:r>
      <w:r w:rsidRPr="007C2C30">
        <w:rPr>
          <w:rFonts w:ascii="PT Astra Serif" w:hAnsi="PT Astra Serif"/>
        </w:rPr>
        <w:t>водоснабжения</w:t>
      </w:r>
      <w:r w:rsidRPr="004D3466">
        <w:rPr>
          <w:rFonts w:ascii="PT Astra Serif" w:hAnsi="PT Astra Serif"/>
        </w:rPr>
        <w:t>.</w:t>
      </w:r>
    </w:p>
    <w:p w:rsidR="00922EC8" w:rsidRPr="004D3466" w:rsidRDefault="00922EC8" w:rsidP="00922EC8">
      <w:pPr>
        <w:autoSpaceDE w:val="0"/>
        <w:autoSpaceDN w:val="0"/>
        <w:adjustRightInd w:val="0"/>
        <w:spacing w:line="233" w:lineRule="auto"/>
        <w:ind w:firstLine="708"/>
        <w:jc w:val="both"/>
        <w:outlineLvl w:val="1"/>
        <w:rPr>
          <w:rFonts w:ascii="PT Astra Serif" w:hAnsi="PT Astra Serif"/>
          <w:b/>
          <w:color w:val="auto"/>
        </w:rPr>
      </w:pPr>
      <w:r>
        <w:rPr>
          <w:rFonts w:ascii="PT Astra Serif" w:hAnsi="PT Astra Serif"/>
        </w:rPr>
        <w:t xml:space="preserve">3. Место оказания услуг: </w:t>
      </w:r>
      <w:proofErr w:type="gramStart"/>
      <w:r w:rsidRPr="004D3466">
        <w:rPr>
          <w:rFonts w:ascii="PT Astra Serif" w:hAnsi="PT Astra Serif"/>
        </w:rPr>
        <w:t xml:space="preserve">Свердловская область, г. Екатеринбург, ул. </w:t>
      </w:r>
      <w:r>
        <w:rPr>
          <w:rFonts w:ascii="PT Astra Serif" w:hAnsi="PT Astra Serif"/>
        </w:rPr>
        <w:t xml:space="preserve">Чкалова д.231 кв. 394 и </w:t>
      </w:r>
      <w:r w:rsidRPr="00B77E58">
        <w:rPr>
          <w:rFonts w:ascii="PT Astra Serif" w:hAnsi="PT Astra Serif"/>
        </w:rPr>
        <w:t xml:space="preserve">Свердловская область, </w:t>
      </w:r>
      <w:r w:rsidR="0051692F">
        <w:rPr>
          <w:rFonts w:ascii="PT Astra Serif" w:hAnsi="PT Astra Serif"/>
        </w:rPr>
        <w:t xml:space="preserve">г. </w:t>
      </w:r>
      <w:r w:rsidRPr="00B77E58">
        <w:rPr>
          <w:rFonts w:ascii="PT Astra Serif" w:hAnsi="PT Astra Serif"/>
        </w:rPr>
        <w:t>Камышлов, ул. Заводская, д.51</w:t>
      </w:r>
      <w:r w:rsidRPr="004D3466">
        <w:rPr>
          <w:rFonts w:ascii="PT Astra Serif" w:hAnsi="PT Astra Serif"/>
          <w:color w:val="auto"/>
        </w:rPr>
        <w:t>.</w:t>
      </w:r>
      <w:proofErr w:type="gramEnd"/>
      <w:r w:rsidRPr="004D3466">
        <w:rPr>
          <w:rFonts w:ascii="PT Astra Serif" w:hAnsi="PT Astra Serif"/>
          <w:color w:val="auto"/>
        </w:rPr>
        <w:t> </w:t>
      </w:r>
      <w:r w:rsidRPr="004D3466">
        <w:rPr>
          <w:rFonts w:ascii="PT Astra Serif" w:hAnsi="PT Astra Serif"/>
          <w:bCs/>
          <w:color w:val="auto"/>
        </w:rPr>
        <w:t>Срок оказания услуг:</w:t>
      </w:r>
      <w:r w:rsidRPr="004D3466">
        <w:rPr>
          <w:rFonts w:ascii="PT Astra Serif" w:hAnsi="PT Astra Serif"/>
          <w:lang w:eastAsia="en-US"/>
        </w:rPr>
        <w:t xml:space="preserve"> </w:t>
      </w:r>
      <w:r w:rsidR="0051692F">
        <w:rPr>
          <w:rFonts w:ascii="PT Astra Serif" w:hAnsi="PT Astra Serif"/>
          <w:lang w:eastAsia="en-US"/>
        </w:rPr>
        <w:br/>
      </w:r>
      <w:bookmarkStart w:id="0" w:name="_GoBack"/>
      <w:bookmarkEnd w:id="0"/>
      <w:r w:rsidRPr="004D3466">
        <w:rPr>
          <w:rFonts w:ascii="PT Astra Serif" w:hAnsi="PT Astra Serif"/>
          <w:lang w:eastAsia="en-US"/>
        </w:rPr>
        <w:t xml:space="preserve">в течение </w:t>
      </w:r>
      <w:r>
        <w:rPr>
          <w:rFonts w:ascii="PT Astra Serif" w:hAnsi="PT Astra Serif"/>
          <w:lang w:eastAsia="en-US"/>
        </w:rPr>
        <w:t>30</w:t>
      </w:r>
      <w:r w:rsidRPr="00D60EEA">
        <w:rPr>
          <w:rFonts w:ascii="PT Astra Serif" w:hAnsi="PT Astra Serif"/>
          <w:lang w:eastAsia="en-US"/>
        </w:rPr>
        <w:t xml:space="preserve"> (</w:t>
      </w:r>
      <w:r>
        <w:rPr>
          <w:rFonts w:ascii="PT Astra Serif" w:hAnsi="PT Astra Serif"/>
          <w:lang w:eastAsia="en-US"/>
        </w:rPr>
        <w:t>тридцати</w:t>
      </w:r>
      <w:r w:rsidRPr="00D60EEA">
        <w:rPr>
          <w:rFonts w:ascii="PT Astra Serif" w:hAnsi="PT Astra Serif"/>
          <w:lang w:eastAsia="en-US"/>
        </w:rPr>
        <w:t>)</w:t>
      </w:r>
      <w:r w:rsidRPr="004D3466">
        <w:rPr>
          <w:rFonts w:ascii="PT Astra Serif" w:hAnsi="PT Astra Serif"/>
          <w:lang w:eastAsia="en-US"/>
        </w:rPr>
        <w:t xml:space="preserve"> календарных дней, с даты заключения Контракта</w:t>
      </w:r>
      <w:bookmarkStart w:id="1" w:name="_Hlk83039338"/>
      <w:r w:rsidRPr="004D3466">
        <w:rPr>
          <w:rFonts w:ascii="PT Astra Serif" w:hAnsi="PT Astra Serif"/>
          <w:lang w:eastAsia="en-US"/>
        </w:rPr>
        <w:t>.</w:t>
      </w:r>
      <w:bookmarkEnd w:id="1"/>
      <w:r>
        <w:rPr>
          <w:rFonts w:ascii="PT Astra Serif" w:hAnsi="PT Astra Serif"/>
          <w:lang w:eastAsia="en-US"/>
        </w:rPr>
        <w:t xml:space="preserve"> </w:t>
      </w:r>
      <w:r w:rsidRPr="004D3466">
        <w:rPr>
          <w:rFonts w:ascii="PT Astra Serif" w:hAnsi="PT Astra Serif"/>
          <w:bCs/>
          <w:color w:val="auto"/>
        </w:rPr>
        <w:t xml:space="preserve">Обязательства Исполнителя по настоящему Государственному контракту </w:t>
      </w:r>
      <w:r w:rsidRPr="004D3466">
        <w:rPr>
          <w:rFonts w:ascii="PT Astra Serif" w:hAnsi="PT Astra Serif"/>
        </w:rPr>
        <w:t>считаются исполненными после подписания Сторонами документа о приемке.</w:t>
      </w:r>
    </w:p>
    <w:p w:rsidR="00922EC8" w:rsidRPr="004D3466" w:rsidRDefault="00922EC8" w:rsidP="00922EC8">
      <w:pPr>
        <w:pStyle w:val="23"/>
        <w:spacing w:line="233" w:lineRule="auto"/>
        <w:ind w:firstLine="708"/>
        <w:jc w:val="both"/>
        <w:rPr>
          <w:rFonts w:ascii="PT Astra Serif" w:hAnsi="PT Astra Serif" w:cs="Times New Roman"/>
          <w:b w:val="0"/>
          <w:bCs/>
          <w:color w:val="auto"/>
          <w:szCs w:val="24"/>
        </w:rPr>
      </w:pPr>
      <w:bookmarkStart w:id="2" w:name="_Hlk94781603"/>
      <w:r w:rsidRPr="004D3466">
        <w:rPr>
          <w:rFonts w:ascii="PT Astra Serif" w:hAnsi="PT Astra Serif" w:cs="Times New Roman"/>
          <w:b w:val="0"/>
          <w:bCs/>
          <w:color w:val="auto"/>
          <w:szCs w:val="24"/>
        </w:rPr>
        <w:t>5. </w:t>
      </w:r>
      <w:bookmarkEnd w:id="2"/>
      <w:r w:rsidRPr="004D3466">
        <w:rPr>
          <w:rFonts w:ascii="PT Astra Serif" w:hAnsi="PT Astra Serif" w:cs="Times New Roman"/>
          <w:b w:val="0"/>
          <w:szCs w:val="24"/>
        </w:rPr>
        <w:t>Требования к объему и качеству оказания услуг:</w:t>
      </w:r>
    </w:p>
    <w:p w:rsidR="00922EC8" w:rsidRPr="00BF0431" w:rsidRDefault="00E21F66" w:rsidP="00922EC8">
      <w:pPr>
        <w:pStyle w:val="a9"/>
        <w:numPr>
          <w:ilvl w:val="0"/>
          <w:numId w:val="5"/>
        </w:numPr>
        <w:tabs>
          <w:tab w:val="left" w:pos="-108"/>
          <w:tab w:val="left" w:pos="319"/>
          <w:tab w:val="left" w:pos="993"/>
        </w:tabs>
        <w:spacing w:line="233" w:lineRule="auto"/>
        <w:ind w:left="0" w:firstLine="709"/>
        <w:jc w:val="both"/>
        <w:rPr>
          <w:rFonts w:ascii="PT Astra Serif" w:hAnsi="PT Astra Serif" w:cs="Times New Roman"/>
          <w:sz w:val="24"/>
          <w:szCs w:val="24"/>
        </w:rPr>
      </w:pPr>
      <w:hyperlink r:id="rId9" w:tgtFrame="_blank" w:history="1">
        <w:r w:rsidR="00922EC8" w:rsidRPr="00BF0431">
          <w:rPr>
            <w:rFonts w:ascii="PT Astra Serif" w:hAnsi="PT Astra Serif" w:cs="Times New Roman"/>
            <w:sz w:val="24"/>
            <w:szCs w:val="24"/>
          </w:rPr>
          <w:t>Порядок проведения поверки средств измерений</w:t>
        </w:r>
      </w:hyperlink>
      <w:r w:rsidR="00922EC8">
        <w:rPr>
          <w:rFonts w:ascii="PT Astra Serif" w:hAnsi="PT Astra Serif" w:cs="Times New Roman"/>
          <w:sz w:val="24"/>
          <w:szCs w:val="24"/>
        </w:rPr>
        <w:t xml:space="preserve"> </w:t>
      </w:r>
      <w:r w:rsidR="00922EC8" w:rsidRPr="00BF0431">
        <w:rPr>
          <w:rFonts w:ascii="PT Astra Serif" w:hAnsi="PT Astra Serif" w:cs="Times New Roman"/>
          <w:sz w:val="24"/>
          <w:szCs w:val="24"/>
        </w:rPr>
        <w:t xml:space="preserve">утвержденный Приказом </w:t>
      </w:r>
      <w:proofErr w:type="spellStart"/>
      <w:r w:rsidR="00922EC8" w:rsidRPr="00BF0431">
        <w:rPr>
          <w:rFonts w:ascii="PT Astra Serif" w:hAnsi="PT Astra Serif" w:cs="Times New Roman"/>
          <w:sz w:val="24"/>
          <w:szCs w:val="24"/>
        </w:rPr>
        <w:t>Минпромто</w:t>
      </w:r>
      <w:r w:rsidR="00922EC8">
        <w:rPr>
          <w:rFonts w:ascii="PT Astra Serif" w:hAnsi="PT Astra Serif" w:cs="Times New Roman"/>
          <w:sz w:val="24"/>
          <w:szCs w:val="24"/>
        </w:rPr>
        <w:t>рга</w:t>
      </w:r>
      <w:proofErr w:type="spellEnd"/>
      <w:r w:rsidR="00922EC8">
        <w:rPr>
          <w:rFonts w:ascii="PT Astra Serif" w:hAnsi="PT Astra Serif" w:cs="Times New Roman"/>
          <w:sz w:val="24"/>
          <w:szCs w:val="24"/>
        </w:rPr>
        <w:t xml:space="preserve"> России от 02.07.2015 № 1815</w:t>
      </w:r>
    </w:p>
    <w:p w:rsidR="00922EC8" w:rsidRPr="00D60EEA" w:rsidRDefault="00922EC8" w:rsidP="00922EC8">
      <w:pPr>
        <w:pStyle w:val="a9"/>
        <w:numPr>
          <w:ilvl w:val="0"/>
          <w:numId w:val="5"/>
        </w:numPr>
        <w:tabs>
          <w:tab w:val="left" w:pos="-108"/>
          <w:tab w:val="left" w:pos="319"/>
          <w:tab w:val="left" w:pos="993"/>
        </w:tabs>
        <w:spacing w:line="233" w:lineRule="auto"/>
        <w:ind w:left="0" w:firstLine="709"/>
        <w:jc w:val="both"/>
        <w:rPr>
          <w:rFonts w:ascii="PT Astra Serif" w:hAnsi="PT Astra Serif" w:cs="Times New Roman"/>
          <w:sz w:val="24"/>
          <w:szCs w:val="24"/>
        </w:rPr>
      </w:pPr>
      <w:r w:rsidRPr="00D60EEA">
        <w:rPr>
          <w:rFonts w:ascii="PT Astra Serif" w:hAnsi="PT Astra Serif" w:cs="Times New Roman"/>
          <w:sz w:val="24"/>
          <w:szCs w:val="24"/>
        </w:rPr>
        <w:t xml:space="preserve">Использование национального стандарта. С 1 ноября 2022 года действует ГОСТ </w:t>
      </w:r>
      <w:proofErr w:type="gramStart"/>
      <w:r w:rsidRPr="00D60EEA">
        <w:rPr>
          <w:rFonts w:ascii="PT Astra Serif" w:hAnsi="PT Astra Serif" w:cs="Times New Roman"/>
          <w:sz w:val="24"/>
          <w:szCs w:val="24"/>
        </w:rPr>
        <w:t>Р</w:t>
      </w:r>
      <w:proofErr w:type="gramEnd"/>
      <w:r w:rsidRPr="00D60EEA">
        <w:rPr>
          <w:rFonts w:ascii="PT Astra Serif" w:hAnsi="PT Astra Serif" w:cs="Times New Roman"/>
          <w:sz w:val="24"/>
          <w:szCs w:val="24"/>
        </w:rPr>
        <w:t xml:space="preserve"> 8.1012-2022 «Государственная система обеспечения единства измерений. Счётчики воды. Методика поверки». В нём прописаны требования к процедуре поверки, средствам </w:t>
      </w:r>
      <w:r>
        <w:rPr>
          <w:rFonts w:ascii="PT Astra Serif" w:hAnsi="PT Astra Serif" w:cs="Times New Roman"/>
          <w:sz w:val="24"/>
          <w:szCs w:val="24"/>
        </w:rPr>
        <w:br/>
      </w:r>
      <w:r w:rsidRPr="00D60EEA">
        <w:rPr>
          <w:rFonts w:ascii="PT Astra Serif" w:hAnsi="PT Astra Serif" w:cs="Times New Roman"/>
          <w:sz w:val="24"/>
          <w:szCs w:val="24"/>
        </w:rPr>
        <w:t>и условиям поверки, её периодичности и оформлению результатов.</w:t>
      </w:r>
    </w:p>
    <w:p w:rsidR="00922EC8" w:rsidRPr="00D60EEA" w:rsidRDefault="00922EC8" w:rsidP="00922EC8">
      <w:pPr>
        <w:pStyle w:val="a9"/>
        <w:numPr>
          <w:ilvl w:val="0"/>
          <w:numId w:val="5"/>
        </w:numPr>
        <w:tabs>
          <w:tab w:val="left" w:pos="-108"/>
          <w:tab w:val="left" w:pos="319"/>
          <w:tab w:val="left" w:pos="993"/>
        </w:tabs>
        <w:spacing w:line="233" w:lineRule="auto"/>
        <w:ind w:left="0" w:firstLine="709"/>
        <w:jc w:val="both"/>
        <w:rPr>
          <w:rFonts w:ascii="PT Astra Serif" w:hAnsi="PT Astra Serif" w:cs="Times New Roman"/>
          <w:sz w:val="24"/>
          <w:szCs w:val="24"/>
        </w:rPr>
      </w:pPr>
      <w:r w:rsidRPr="00D60EEA">
        <w:rPr>
          <w:rFonts w:ascii="PT Astra Serif" w:hAnsi="PT Astra Serif" w:cs="Times New Roman"/>
          <w:sz w:val="24"/>
          <w:szCs w:val="24"/>
        </w:rPr>
        <w:t>Использование автоматизированных способов. Исполнитель услуги должен применять автоматизированные способы синхронизации с индивидуальным прибором учёта и современные методы цифровой передачи данных во ФГИС «Аршин».</w:t>
      </w:r>
    </w:p>
    <w:p w:rsidR="00922EC8" w:rsidRPr="00D60EEA" w:rsidRDefault="00922EC8" w:rsidP="00922EC8">
      <w:pPr>
        <w:pStyle w:val="a9"/>
        <w:numPr>
          <w:ilvl w:val="0"/>
          <w:numId w:val="5"/>
        </w:numPr>
        <w:tabs>
          <w:tab w:val="left" w:pos="-108"/>
          <w:tab w:val="left" w:pos="319"/>
          <w:tab w:val="left" w:pos="993"/>
        </w:tabs>
        <w:spacing w:after="0" w:line="233" w:lineRule="auto"/>
        <w:ind w:left="0" w:firstLine="709"/>
        <w:contextualSpacing w:val="0"/>
        <w:jc w:val="both"/>
        <w:rPr>
          <w:rFonts w:ascii="PT Astra Serif" w:hAnsi="PT Astra Serif" w:cs="Times New Roman"/>
          <w:spacing w:val="2"/>
          <w:sz w:val="24"/>
          <w:szCs w:val="24"/>
        </w:rPr>
      </w:pPr>
      <w:r w:rsidRPr="00D60EEA">
        <w:rPr>
          <w:rFonts w:ascii="PT Astra Serif" w:hAnsi="PT Astra Serif" w:cs="Times New Roman"/>
          <w:sz w:val="24"/>
          <w:szCs w:val="24"/>
        </w:rPr>
        <w:t>Выдача свидетельства о поверке. После проведённых работ организация должна выдать свидетельство о поверке каждого прибора.</w:t>
      </w:r>
    </w:p>
    <w:p w:rsidR="00922EC8" w:rsidRPr="004D3466" w:rsidRDefault="00922EC8" w:rsidP="00922EC8">
      <w:pPr>
        <w:pStyle w:val="a9"/>
        <w:tabs>
          <w:tab w:val="left" w:pos="-108"/>
          <w:tab w:val="left" w:pos="319"/>
          <w:tab w:val="left" w:pos="993"/>
        </w:tabs>
        <w:spacing w:after="0" w:line="233" w:lineRule="auto"/>
        <w:ind w:left="709"/>
        <w:contextualSpacing w:val="0"/>
        <w:jc w:val="both"/>
        <w:rPr>
          <w:rFonts w:ascii="PT Astra Serif" w:hAnsi="PT Astra Serif" w:cs="Times New Roman"/>
          <w:spacing w:val="2"/>
          <w:sz w:val="24"/>
          <w:szCs w:val="24"/>
        </w:rPr>
      </w:pPr>
    </w:p>
    <w:tbl>
      <w:tblPr>
        <w:tblW w:w="9615" w:type="dxa"/>
        <w:tblInd w:w="40" w:type="dxa"/>
        <w:tblLayout w:type="fixed"/>
        <w:tblCellMar>
          <w:left w:w="40" w:type="dxa"/>
          <w:right w:w="40" w:type="dxa"/>
        </w:tblCellMar>
        <w:tblLook w:val="04A0" w:firstRow="1" w:lastRow="0" w:firstColumn="1" w:lastColumn="0" w:noHBand="0" w:noVBand="1"/>
      </w:tblPr>
      <w:tblGrid>
        <w:gridCol w:w="709"/>
        <w:gridCol w:w="2125"/>
        <w:gridCol w:w="5101"/>
        <w:gridCol w:w="851"/>
        <w:gridCol w:w="829"/>
      </w:tblGrid>
      <w:tr w:rsidR="00922EC8" w:rsidRPr="004F1D02" w:rsidTr="00644BC4">
        <w:trPr>
          <w:trHeight w:val="91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22EC8" w:rsidRPr="00171D5D" w:rsidRDefault="00922EC8" w:rsidP="00644BC4">
            <w:pPr>
              <w:shd w:val="clear" w:color="auto" w:fill="FFFFFF"/>
              <w:autoSpaceDE w:val="0"/>
              <w:autoSpaceDN w:val="0"/>
              <w:adjustRightInd w:val="0"/>
              <w:spacing w:line="232" w:lineRule="auto"/>
              <w:jc w:val="center"/>
              <w:rPr>
                <w:rFonts w:ascii="PT Astra Serif" w:hAnsi="PT Astra Serif"/>
              </w:rPr>
            </w:pPr>
            <w:r w:rsidRPr="00171D5D">
              <w:rPr>
                <w:rFonts w:ascii="PT Astra Serif" w:hAnsi="PT Astra Serif"/>
              </w:rPr>
              <w:t xml:space="preserve">№ </w:t>
            </w:r>
            <w:proofErr w:type="gramStart"/>
            <w:r w:rsidRPr="00171D5D">
              <w:rPr>
                <w:rFonts w:ascii="PT Astra Serif" w:hAnsi="PT Astra Serif"/>
              </w:rPr>
              <w:t>п</w:t>
            </w:r>
            <w:proofErr w:type="gramEnd"/>
            <w:r w:rsidRPr="00171D5D">
              <w:rPr>
                <w:rFonts w:ascii="PT Astra Serif" w:hAnsi="PT Astra Serif"/>
              </w:rPr>
              <w:t>/п</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22EC8" w:rsidRPr="00171D5D" w:rsidRDefault="00922EC8" w:rsidP="00644BC4">
            <w:pPr>
              <w:shd w:val="clear" w:color="auto" w:fill="FFFFFF"/>
              <w:autoSpaceDE w:val="0"/>
              <w:autoSpaceDN w:val="0"/>
              <w:adjustRightInd w:val="0"/>
              <w:spacing w:line="232" w:lineRule="auto"/>
              <w:jc w:val="center"/>
              <w:rPr>
                <w:rFonts w:ascii="PT Astra Serif" w:hAnsi="PT Astra Serif"/>
              </w:rPr>
            </w:pPr>
            <w:r w:rsidRPr="00171D5D">
              <w:rPr>
                <w:rFonts w:ascii="PT Astra Serif" w:hAnsi="PT Astra Serif"/>
              </w:rPr>
              <w:t xml:space="preserve">Вид услуг/ОКПД 2 </w:t>
            </w: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22EC8" w:rsidRPr="00171D5D" w:rsidRDefault="00922EC8" w:rsidP="00644BC4">
            <w:pPr>
              <w:shd w:val="clear" w:color="auto" w:fill="FFFFFF"/>
              <w:autoSpaceDE w:val="0"/>
              <w:autoSpaceDN w:val="0"/>
              <w:adjustRightInd w:val="0"/>
              <w:spacing w:line="232" w:lineRule="auto"/>
              <w:jc w:val="center"/>
              <w:rPr>
                <w:rFonts w:ascii="PT Astra Serif" w:hAnsi="PT Astra Serif"/>
              </w:rPr>
            </w:pPr>
            <w:r w:rsidRPr="00171D5D">
              <w:rPr>
                <w:rFonts w:ascii="PT Astra Serif" w:hAnsi="PT Astra Serif"/>
              </w:rPr>
              <w:t>Характеристика оказываемых услуг</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22EC8" w:rsidRPr="00171D5D" w:rsidRDefault="00922EC8" w:rsidP="00644BC4">
            <w:pPr>
              <w:shd w:val="clear" w:color="auto" w:fill="FFFFFF"/>
              <w:autoSpaceDE w:val="0"/>
              <w:autoSpaceDN w:val="0"/>
              <w:adjustRightInd w:val="0"/>
              <w:spacing w:line="232" w:lineRule="auto"/>
              <w:jc w:val="center"/>
              <w:rPr>
                <w:rFonts w:ascii="PT Astra Serif" w:hAnsi="PT Astra Serif"/>
              </w:rPr>
            </w:pPr>
            <w:r w:rsidRPr="00171D5D">
              <w:rPr>
                <w:rFonts w:ascii="PT Astra Serif" w:hAnsi="PT Astra Serif"/>
              </w:rPr>
              <w:t>Кол-во</w:t>
            </w:r>
          </w:p>
        </w:tc>
        <w:tc>
          <w:tcPr>
            <w:tcW w:w="8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22EC8" w:rsidRPr="00171D5D" w:rsidRDefault="00922EC8" w:rsidP="00644BC4">
            <w:pPr>
              <w:shd w:val="clear" w:color="auto" w:fill="FFFFFF"/>
              <w:autoSpaceDE w:val="0"/>
              <w:autoSpaceDN w:val="0"/>
              <w:adjustRightInd w:val="0"/>
              <w:spacing w:line="232" w:lineRule="auto"/>
              <w:jc w:val="center"/>
              <w:rPr>
                <w:rFonts w:ascii="PT Astra Serif" w:hAnsi="PT Astra Serif"/>
              </w:rPr>
            </w:pPr>
            <w:r w:rsidRPr="00171D5D">
              <w:rPr>
                <w:rFonts w:ascii="PT Astra Serif" w:hAnsi="PT Astra Serif"/>
              </w:rPr>
              <w:t>Ед. изм.</w:t>
            </w:r>
          </w:p>
        </w:tc>
      </w:tr>
      <w:tr w:rsidR="00922EC8" w:rsidRPr="004F1D02" w:rsidTr="00644BC4">
        <w:trPr>
          <w:trHeight w:val="28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22EC8" w:rsidRPr="00171D5D" w:rsidRDefault="00922EC8" w:rsidP="00644BC4">
            <w:pPr>
              <w:shd w:val="clear" w:color="auto" w:fill="FFFFFF"/>
              <w:autoSpaceDE w:val="0"/>
              <w:autoSpaceDN w:val="0"/>
              <w:adjustRightInd w:val="0"/>
              <w:spacing w:line="232" w:lineRule="auto"/>
              <w:jc w:val="center"/>
              <w:rPr>
                <w:rFonts w:ascii="PT Astra Serif" w:hAnsi="PT Astra Serif"/>
              </w:rPr>
            </w:pPr>
            <w:r w:rsidRPr="00171D5D">
              <w:rPr>
                <w:rFonts w:ascii="PT Astra Serif" w:hAnsi="PT Astra Serif"/>
              </w:rPr>
              <w:t>1</w:t>
            </w:r>
          </w:p>
        </w:tc>
        <w:tc>
          <w:tcPr>
            <w:tcW w:w="2126" w:type="dxa"/>
            <w:tcBorders>
              <w:top w:val="single" w:sz="2" w:space="0" w:color="000000"/>
              <w:left w:val="single" w:sz="2" w:space="0" w:color="000000"/>
              <w:bottom w:val="single" w:sz="2" w:space="0" w:color="000000"/>
              <w:right w:val="single" w:sz="2" w:space="0" w:color="000000"/>
            </w:tcBorders>
            <w:vAlign w:val="center"/>
          </w:tcPr>
          <w:p w:rsidR="00922EC8" w:rsidRPr="00171D5D" w:rsidRDefault="00922EC8" w:rsidP="00644BC4">
            <w:pPr>
              <w:spacing w:line="232" w:lineRule="auto"/>
              <w:rPr>
                <w:rFonts w:ascii="PT Astra Serif" w:hAnsi="PT Astra Serif"/>
              </w:rPr>
            </w:pPr>
            <w:r w:rsidRPr="00171D5D">
              <w:rPr>
                <w:rFonts w:ascii="PT Astra Serif" w:hAnsi="PT Astra Serif"/>
              </w:rPr>
              <w:t xml:space="preserve">Услуги по ремонту </w:t>
            </w:r>
            <w:r w:rsidRPr="00171D5D">
              <w:rPr>
                <w:rFonts w:ascii="PT Astra Serif" w:hAnsi="PT Astra Serif"/>
              </w:rPr>
              <w:br/>
              <w:t>и поверке контрольно-измерительных приборов</w:t>
            </w:r>
          </w:p>
          <w:p w:rsidR="00922EC8" w:rsidRPr="00171D5D" w:rsidRDefault="00922EC8" w:rsidP="00644BC4">
            <w:pPr>
              <w:spacing w:line="232" w:lineRule="auto"/>
              <w:rPr>
                <w:rFonts w:ascii="PT Astra Serif" w:hAnsi="PT Astra Serif"/>
              </w:rPr>
            </w:pPr>
            <w:r w:rsidRPr="00171D5D">
              <w:rPr>
                <w:rFonts w:ascii="PT Astra Serif" w:hAnsi="PT Astra Serif"/>
              </w:rPr>
              <w:t>ОКПД 2: 45.20.21.222</w:t>
            </w:r>
          </w:p>
          <w:p w:rsidR="00922EC8" w:rsidRPr="00171D5D" w:rsidRDefault="00922EC8" w:rsidP="00644BC4">
            <w:pPr>
              <w:spacing w:line="232" w:lineRule="auto"/>
              <w:jc w:val="both"/>
              <w:rPr>
                <w:rFonts w:ascii="PT Astra Serif" w:hAnsi="PT Astra Serif"/>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rsidR="0053724A" w:rsidRPr="00171D5D" w:rsidRDefault="0053724A" w:rsidP="0053724A">
            <w:pPr>
              <w:spacing w:line="232" w:lineRule="auto"/>
              <w:jc w:val="both"/>
              <w:rPr>
                <w:rFonts w:ascii="PT Astra Serif" w:hAnsi="PT Astra Serif"/>
              </w:rPr>
            </w:pPr>
            <w:r w:rsidRPr="00171D5D">
              <w:rPr>
                <w:rFonts w:ascii="PT Astra Serif" w:hAnsi="PT Astra Serif"/>
              </w:rPr>
              <w:t>Оказание услуг по адресу Свердловская область, г. Екатеринбург, ул. Чкалова 231, д 394</w:t>
            </w:r>
          </w:p>
          <w:p w:rsidR="0053724A" w:rsidRPr="00171D5D" w:rsidRDefault="0053724A" w:rsidP="0053724A">
            <w:pPr>
              <w:spacing w:line="232" w:lineRule="auto"/>
              <w:jc w:val="both"/>
              <w:rPr>
                <w:rFonts w:ascii="PT Astra Serif" w:hAnsi="PT Astra Serif"/>
              </w:rPr>
            </w:pPr>
            <w:r w:rsidRPr="00171D5D">
              <w:rPr>
                <w:rFonts w:ascii="PT Astra Serif" w:hAnsi="PT Astra Serif"/>
              </w:rPr>
              <w:t>Поверка квартирного прибора учета холодного водоснабжения.</w:t>
            </w:r>
          </w:p>
          <w:p w:rsidR="0053724A" w:rsidRPr="00171D5D" w:rsidRDefault="0053724A" w:rsidP="0053724A">
            <w:pPr>
              <w:spacing w:line="232" w:lineRule="auto"/>
              <w:jc w:val="both"/>
              <w:rPr>
                <w:rFonts w:ascii="PT Astra Serif" w:hAnsi="PT Astra Serif"/>
              </w:rPr>
            </w:pPr>
          </w:p>
          <w:p w:rsidR="0053724A" w:rsidRPr="00171D5D" w:rsidRDefault="0053724A" w:rsidP="0053724A">
            <w:pPr>
              <w:spacing w:line="232" w:lineRule="auto"/>
              <w:jc w:val="both"/>
              <w:rPr>
                <w:rFonts w:ascii="PT Astra Serif" w:hAnsi="PT Astra Serif"/>
              </w:rPr>
            </w:pPr>
            <w:r w:rsidRPr="00171D5D">
              <w:rPr>
                <w:rFonts w:ascii="PT Astra Serif" w:hAnsi="PT Astra Serif"/>
              </w:rPr>
              <w:t>Свердловская область, г. Камышлов, ул. Заводская, д.51</w:t>
            </w:r>
          </w:p>
          <w:p w:rsidR="0053724A" w:rsidRPr="00171D5D" w:rsidRDefault="0053724A" w:rsidP="0053724A">
            <w:pPr>
              <w:spacing w:line="232" w:lineRule="auto"/>
              <w:jc w:val="both"/>
              <w:rPr>
                <w:rFonts w:ascii="PT Astra Serif" w:hAnsi="PT Astra Serif"/>
              </w:rPr>
            </w:pPr>
            <w:r w:rsidRPr="00171D5D">
              <w:rPr>
                <w:rFonts w:ascii="PT Astra Serif" w:hAnsi="PT Astra Serif"/>
              </w:rPr>
              <w:t xml:space="preserve">Тип счетчика: ХН–65 </w:t>
            </w:r>
          </w:p>
          <w:p w:rsidR="0053724A" w:rsidRPr="00171D5D" w:rsidRDefault="0053724A" w:rsidP="0053724A">
            <w:pPr>
              <w:spacing w:line="232" w:lineRule="auto"/>
              <w:jc w:val="both"/>
              <w:rPr>
                <w:rFonts w:ascii="PT Astra Serif" w:hAnsi="PT Astra Serif"/>
              </w:rPr>
            </w:pPr>
            <w:r w:rsidRPr="00171D5D">
              <w:rPr>
                <w:rFonts w:ascii="PT Astra Serif" w:hAnsi="PT Astra Serif"/>
              </w:rPr>
              <w:t>заводской номер: 20309052</w:t>
            </w:r>
          </w:p>
          <w:p w:rsidR="00922EC8" w:rsidRPr="00171D5D" w:rsidRDefault="0053724A" w:rsidP="0053724A">
            <w:pPr>
              <w:spacing w:line="232" w:lineRule="auto"/>
              <w:jc w:val="both"/>
              <w:rPr>
                <w:rFonts w:ascii="PT Astra Serif" w:hAnsi="PT Astra Serif"/>
              </w:rPr>
            </w:pPr>
            <w:r w:rsidRPr="00171D5D">
              <w:rPr>
                <w:rFonts w:ascii="PT Astra Serif" w:hAnsi="PT Astra Serif"/>
              </w:rPr>
              <w:t>поверка в лаборатории, без демонтажа и транспортировки</w:t>
            </w:r>
          </w:p>
        </w:tc>
        <w:tc>
          <w:tcPr>
            <w:tcW w:w="851" w:type="dxa"/>
            <w:tcBorders>
              <w:top w:val="single" w:sz="2" w:space="0" w:color="000000"/>
              <w:left w:val="single" w:sz="2" w:space="0" w:color="000000"/>
              <w:bottom w:val="single" w:sz="2" w:space="0" w:color="000000"/>
              <w:right w:val="single" w:sz="2" w:space="0" w:color="000000"/>
            </w:tcBorders>
            <w:vAlign w:val="center"/>
            <w:hideMark/>
          </w:tcPr>
          <w:p w:rsidR="00922EC8" w:rsidRPr="00171D5D" w:rsidRDefault="00922EC8" w:rsidP="00644BC4">
            <w:pPr>
              <w:spacing w:line="232" w:lineRule="auto"/>
              <w:jc w:val="center"/>
              <w:rPr>
                <w:rFonts w:ascii="PT Astra Serif" w:hAnsi="PT Astra Serif"/>
              </w:rPr>
            </w:pPr>
            <w:r w:rsidRPr="00171D5D">
              <w:rPr>
                <w:rFonts w:ascii="PT Astra Serif" w:hAnsi="PT Astra Serif"/>
              </w:rPr>
              <w:t>2</w:t>
            </w:r>
          </w:p>
        </w:tc>
        <w:tc>
          <w:tcPr>
            <w:tcW w:w="8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22EC8" w:rsidRPr="00171D5D" w:rsidRDefault="00922EC8" w:rsidP="00644BC4">
            <w:pPr>
              <w:spacing w:line="232" w:lineRule="auto"/>
              <w:jc w:val="center"/>
              <w:rPr>
                <w:rFonts w:ascii="PT Astra Serif" w:hAnsi="PT Astra Serif"/>
              </w:rPr>
            </w:pPr>
            <w:proofErr w:type="spellStart"/>
            <w:r w:rsidRPr="00171D5D">
              <w:rPr>
                <w:rFonts w:ascii="PT Astra Serif" w:hAnsi="PT Astra Serif"/>
              </w:rPr>
              <w:t>Усл</w:t>
            </w:r>
            <w:proofErr w:type="spellEnd"/>
            <w:r w:rsidRPr="00171D5D">
              <w:rPr>
                <w:rFonts w:ascii="PT Astra Serif" w:hAnsi="PT Astra Serif"/>
              </w:rPr>
              <w:t>. ед.</w:t>
            </w:r>
          </w:p>
        </w:tc>
      </w:tr>
    </w:tbl>
    <w:p w:rsidR="00922EC8" w:rsidRPr="004D3466" w:rsidRDefault="00922EC8" w:rsidP="00922EC8">
      <w:pPr>
        <w:pStyle w:val="a9"/>
        <w:tabs>
          <w:tab w:val="left" w:pos="-108"/>
          <w:tab w:val="left" w:pos="319"/>
        </w:tabs>
        <w:spacing w:after="0" w:line="233" w:lineRule="auto"/>
        <w:ind w:left="0"/>
        <w:contextualSpacing w:val="0"/>
        <w:jc w:val="both"/>
        <w:rPr>
          <w:rFonts w:ascii="PT Astra Serif" w:hAnsi="PT Astra Serif" w:cs="Times New Roman"/>
          <w:spacing w:val="2"/>
          <w:sz w:val="24"/>
          <w:szCs w:val="24"/>
        </w:rPr>
      </w:pPr>
    </w:p>
    <w:p w:rsidR="00922EC8" w:rsidRPr="004D3466" w:rsidRDefault="00922EC8" w:rsidP="00922EC8">
      <w:pPr>
        <w:pStyle w:val="4"/>
        <w:spacing w:line="233" w:lineRule="auto"/>
        <w:ind w:firstLine="708"/>
        <w:rPr>
          <w:rFonts w:ascii="PT Astra Serif" w:eastAsia="Calibri" w:hAnsi="PT Astra Serif"/>
          <w:szCs w:val="24"/>
        </w:rPr>
      </w:pPr>
      <w:r w:rsidRPr="004D3466">
        <w:rPr>
          <w:rFonts w:ascii="PT Astra Serif" w:eastAsia="Calibri" w:hAnsi="PT Astra Serif"/>
          <w:szCs w:val="24"/>
        </w:rPr>
        <w:t xml:space="preserve">6. Исполнитель несет ответственность за соблюдение правил техники безопасности. Во время оказания услуг Исполнитель должен обеспечить соблюдение необходимых противопожарных мероприятий, охраны окружающей среды. Исполнитель несет ответственность за соблюдение своими работниками правил по охране труда </w:t>
      </w:r>
      <w:r w:rsidRPr="004D3466">
        <w:rPr>
          <w:rFonts w:ascii="PT Astra Serif" w:eastAsia="Calibri" w:hAnsi="PT Astra Serif"/>
          <w:szCs w:val="24"/>
        </w:rPr>
        <w:br/>
        <w:t>и технике безопасности при оказании услуг на объекте.</w:t>
      </w:r>
    </w:p>
    <w:p w:rsidR="00922EC8" w:rsidRPr="004D3466" w:rsidRDefault="00922EC8" w:rsidP="00922EC8">
      <w:pPr>
        <w:pStyle w:val="4"/>
        <w:spacing w:line="233" w:lineRule="auto"/>
        <w:ind w:firstLine="708"/>
        <w:rPr>
          <w:rFonts w:ascii="PT Astra Serif" w:eastAsia="Calibri" w:hAnsi="PT Astra Serif"/>
          <w:szCs w:val="24"/>
        </w:rPr>
      </w:pPr>
      <w:r w:rsidRPr="004D3466">
        <w:rPr>
          <w:rFonts w:ascii="PT Astra Serif" w:eastAsia="Calibri" w:hAnsi="PT Astra Serif"/>
          <w:szCs w:val="24"/>
        </w:rPr>
        <w:t>7. Работы должны соответствовать обязательным требованиям, предъявляемым законодательством РФ к услугам такого рода, в том числе:</w:t>
      </w:r>
    </w:p>
    <w:p w:rsidR="00922EC8" w:rsidRPr="004D3466" w:rsidRDefault="00E21F66" w:rsidP="00922EC8">
      <w:pPr>
        <w:pStyle w:val="4"/>
        <w:spacing w:line="233" w:lineRule="auto"/>
        <w:ind w:firstLine="708"/>
        <w:rPr>
          <w:rStyle w:val="ab"/>
          <w:rFonts w:ascii="PT Astra Serif" w:hAnsi="PT Astra Serif"/>
          <w:color w:val="auto"/>
          <w:u w:val="none"/>
        </w:rPr>
      </w:pPr>
      <w:hyperlink r:id="rId10" w:history="1">
        <w:r w:rsidR="00922EC8" w:rsidRPr="004D3466">
          <w:rPr>
            <w:rStyle w:val="ab"/>
            <w:rFonts w:ascii="PT Astra Serif" w:hAnsi="PT Astra Serif"/>
            <w:color w:val="auto"/>
            <w:szCs w:val="24"/>
            <w:u w:val="none"/>
          </w:rPr>
          <w:t>Постановлением Правительства РФ от 20.04.2010 г. № 250 «О перечне средств измерений,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w:t>
        </w:r>
      </w:hyperlink>
    </w:p>
    <w:p w:rsidR="00922EC8" w:rsidRPr="004D3466" w:rsidRDefault="00922EC8" w:rsidP="00922EC8">
      <w:pPr>
        <w:pStyle w:val="4"/>
        <w:spacing w:line="233" w:lineRule="auto"/>
        <w:ind w:firstLine="708"/>
        <w:rPr>
          <w:rStyle w:val="ab"/>
          <w:rFonts w:ascii="PT Astra Serif" w:hAnsi="PT Astra Serif"/>
          <w:color w:val="auto"/>
          <w:u w:val="none"/>
        </w:rPr>
      </w:pPr>
      <w:r w:rsidRPr="004D3466">
        <w:rPr>
          <w:rStyle w:val="ab"/>
          <w:rFonts w:ascii="PT Astra Serif" w:hAnsi="PT Astra Serif"/>
          <w:color w:val="auto"/>
          <w:u w:val="none"/>
        </w:rPr>
        <w:t>Федеральным Законом РФ от 05.04.2013 № 44-ФЗ «О контрактной системе в сфере закупок товаров, работ и услуг для обеспечения государственных и муниципальных услуг для обеспечения государственных и муниципальных нужд;</w:t>
      </w:r>
    </w:p>
    <w:p w:rsidR="00381F43" w:rsidRPr="004D3466" w:rsidRDefault="00381F43" w:rsidP="00922EC8">
      <w:pPr>
        <w:autoSpaceDE w:val="0"/>
        <w:autoSpaceDN w:val="0"/>
        <w:adjustRightInd w:val="0"/>
        <w:spacing w:line="233" w:lineRule="auto"/>
        <w:ind w:firstLine="708"/>
        <w:jc w:val="both"/>
        <w:outlineLvl w:val="1"/>
        <w:rPr>
          <w:rFonts w:ascii="PT Astra Serif" w:hAnsi="PT Astra Serif"/>
        </w:rPr>
      </w:pPr>
    </w:p>
    <w:sectPr w:rsidR="00381F43" w:rsidRPr="004D3466" w:rsidSect="00576C40">
      <w:headerReference w:type="default" r:id="rId11"/>
      <w:pgSz w:w="11906" w:h="16838"/>
      <w:pgMar w:top="567" w:right="566" w:bottom="567" w:left="1701" w:header="720" w:footer="720"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F66" w:rsidRDefault="00E21F66" w:rsidP="00D60EEA">
      <w:r>
        <w:separator/>
      </w:r>
    </w:p>
  </w:endnote>
  <w:endnote w:type="continuationSeparator" w:id="0">
    <w:p w:rsidR="00E21F66" w:rsidRDefault="00E21F66" w:rsidP="00D6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F66" w:rsidRDefault="00E21F66" w:rsidP="00D60EEA">
      <w:r>
        <w:separator/>
      </w:r>
    </w:p>
  </w:footnote>
  <w:footnote w:type="continuationSeparator" w:id="0">
    <w:p w:rsidR="00E21F66" w:rsidRDefault="00E21F66" w:rsidP="00D60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625262"/>
      <w:docPartObj>
        <w:docPartGallery w:val="Page Numbers (Top of Page)"/>
        <w:docPartUnique/>
      </w:docPartObj>
    </w:sdtPr>
    <w:sdtEndPr>
      <w:rPr>
        <w:rFonts w:ascii="PT Astra Serif" w:hAnsi="PT Astra Serif"/>
      </w:rPr>
    </w:sdtEndPr>
    <w:sdtContent>
      <w:p w:rsidR="00576C40" w:rsidRPr="00576C40" w:rsidRDefault="008B37ED">
        <w:pPr>
          <w:pStyle w:val="af0"/>
          <w:jc w:val="center"/>
          <w:rPr>
            <w:rFonts w:ascii="PT Astra Serif" w:hAnsi="PT Astra Serif"/>
          </w:rPr>
        </w:pPr>
        <w:r w:rsidRPr="00576C40">
          <w:rPr>
            <w:rFonts w:ascii="PT Astra Serif" w:hAnsi="PT Astra Serif"/>
          </w:rPr>
          <w:fldChar w:fldCharType="begin"/>
        </w:r>
        <w:r w:rsidR="00576C40" w:rsidRPr="00576C40">
          <w:rPr>
            <w:rFonts w:ascii="PT Astra Serif" w:hAnsi="PT Astra Serif"/>
          </w:rPr>
          <w:instrText>PAGE   \* MERGEFORMAT</w:instrText>
        </w:r>
        <w:r w:rsidRPr="00576C40">
          <w:rPr>
            <w:rFonts w:ascii="PT Astra Serif" w:hAnsi="PT Astra Serif"/>
          </w:rPr>
          <w:fldChar w:fldCharType="separate"/>
        </w:r>
        <w:r w:rsidR="0053724A">
          <w:rPr>
            <w:rFonts w:ascii="PT Astra Serif" w:hAnsi="PT Astra Serif"/>
            <w:noProof/>
          </w:rPr>
          <w:t>2</w:t>
        </w:r>
        <w:r w:rsidRPr="00576C40">
          <w:rPr>
            <w:rFonts w:ascii="PT Astra Serif" w:hAnsi="PT Astra Serif"/>
          </w:rPr>
          <w:fldChar w:fldCharType="end"/>
        </w:r>
      </w:p>
    </w:sdtContent>
  </w:sdt>
  <w:p w:rsidR="00576C40" w:rsidRPr="00576C40" w:rsidRDefault="00576C40">
    <w:pPr>
      <w:pStyle w:val="af0"/>
      <w:rPr>
        <w:rFonts w:ascii="PT Astra Serif" w:hAnsi="PT Astra Seri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9244D"/>
    <w:multiLevelType w:val="hybridMultilevel"/>
    <w:tmpl w:val="C2FE2342"/>
    <w:lvl w:ilvl="0" w:tplc="93EC72BE">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28225F52"/>
    <w:multiLevelType w:val="hybridMultilevel"/>
    <w:tmpl w:val="175CAA48"/>
    <w:lvl w:ilvl="0" w:tplc="E39A1014">
      <w:start w:val="1"/>
      <w:numFmt w:val="bullet"/>
      <w:suff w:val="space"/>
      <w:lvlText w:val=""/>
      <w:lvlJc w:val="left"/>
      <w:pPr>
        <w:ind w:left="1778" w:hanging="360"/>
      </w:pPr>
      <w:rPr>
        <w:rFonts w:ascii="Symbol" w:hAnsi="Symbol"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2">
    <w:nsid w:val="306B43B8"/>
    <w:multiLevelType w:val="hybridMultilevel"/>
    <w:tmpl w:val="700CF82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57569749"/>
    <w:multiLevelType w:val="multilevel"/>
    <w:tmpl w:val="57569749"/>
    <w:name w:val="Нумерованный список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
    <w:nsid w:val="5756974A"/>
    <w:multiLevelType w:val="singleLevel"/>
    <w:tmpl w:val="5756974A"/>
    <w:name w:val="Нумерованный список 2"/>
    <w:lvl w:ilvl="0">
      <w:start w:val="1"/>
      <w:numFmt w:val="bullet"/>
      <w:lvlText w:val=""/>
      <w:lvlJc w:val="left"/>
      <w:rPr>
        <w:rFonts w:ascii="Wingdings" w:hAnsi="Wingdings"/>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8E5F3E"/>
    <w:rsid w:val="00015467"/>
    <w:rsid w:val="00063BD8"/>
    <w:rsid w:val="00075D86"/>
    <w:rsid w:val="00096B0D"/>
    <w:rsid w:val="000A7756"/>
    <w:rsid w:val="000D3501"/>
    <w:rsid w:val="000D4B85"/>
    <w:rsid w:val="000E53C4"/>
    <w:rsid w:val="001062D2"/>
    <w:rsid w:val="00122BB0"/>
    <w:rsid w:val="00130915"/>
    <w:rsid w:val="00137031"/>
    <w:rsid w:val="00163B5D"/>
    <w:rsid w:val="00171D5D"/>
    <w:rsid w:val="00194454"/>
    <w:rsid w:val="001A1045"/>
    <w:rsid w:val="001B4680"/>
    <w:rsid w:val="001C3295"/>
    <w:rsid w:val="001C3785"/>
    <w:rsid w:val="001E44C4"/>
    <w:rsid w:val="001F4431"/>
    <w:rsid w:val="00211A98"/>
    <w:rsid w:val="002204E8"/>
    <w:rsid w:val="002227EE"/>
    <w:rsid w:val="002378D4"/>
    <w:rsid w:val="0024071B"/>
    <w:rsid w:val="00243877"/>
    <w:rsid w:val="00247C7B"/>
    <w:rsid w:val="00264C29"/>
    <w:rsid w:val="0027181B"/>
    <w:rsid w:val="00276632"/>
    <w:rsid w:val="002949F3"/>
    <w:rsid w:val="002E5B14"/>
    <w:rsid w:val="002E62EF"/>
    <w:rsid w:val="0030399B"/>
    <w:rsid w:val="00304DBB"/>
    <w:rsid w:val="0030508C"/>
    <w:rsid w:val="00305B90"/>
    <w:rsid w:val="0030797E"/>
    <w:rsid w:val="00307B95"/>
    <w:rsid w:val="003467BB"/>
    <w:rsid w:val="0035608B"/>
    <w:rsid w:val="00356511"/>
    <w:rsid w:val="00357F21"/>
    <w:rsid w:val="003640F6"/>
    <w:rsid w:val="00381F43"/>
    <w:rsid w:val="00396407"/>
    <w:rsid w:val="003E7CBA"/>
    <w:rsid w:val="004025F3"/>
    <w:rsid w:val="0041541E"/>
    <w:rsid w:val="0043230C"/>
    <w:rsid w:val="004410DF"/>
    <w:rsid w:val="00451A1F"/>
    <w:rsid w:val="00457583"/>
    <w:rsid w:val="00467E8E"/>
    <w:rsid w:val="004742D5"/>
    <w:rsid w:val="0048420B"/>
    <w:rsid w:val="00485D1C"/>
    <w:rsid w:val="004B7ACC"/>
    <w:rsid w:val="004C092F"/>
    <w:rsid w:val="004C3752"/>
    <w:rsid w:val="004D3466"/>
    <w:rsid w:val="004E5C11"/>
    <w:rsid w:val="005130A3"/>
    <w:rsid w:val="0051692F"/>
    <w:rsid w:val="0052496B"/>
    <w:rsid w:val="0052635E"/>
    <w:rsid w:val="0053724A"/>
    <w:rsid w:val="00544DD7"/>
    <w:rsid w:val="005726F5"/>
    <w:rsid w:val="00576C40"/>
    <w:rsid w:val="00582381"/>
    <w:rsid w:val="00586910"/>
    <w:rsid w:val="0059534D"/>
    <w:rsid w:val="005961BC"/>
    <w:rsid w:val="005B542E"/>
    <w:rsid w:val="005C6CA7"/>
    <w:rsid w:val="005D51FC"/>
    <w:rsid w:val="005D7280"/>
    <w:rsid w:val="005F6F7E"/>
    <w:rsid w:val="00605101"/>
    <w:rsid w:val="006128C7"/>
    <w:rsid w:val="0062200B"/>
    <w:rsid w:val="00625A4A"/>
    <w:rsid w:val="00630384"/>
    <w:rsid w:val="006321E1"/>
    <w:rsid w:val="0065500E"/>
    <w:rsid w:val="00661507"/>
    <w:rsid w:val="006673CA"/>
    <w:rsid w:val="00673A79"/>
    <w:rsid w:val="006B00D0"/>
    <w:rsid w:val="006B0A96"/>
    <w:rsid w:val="006B3679"/>
    <w:rsid w:val="006C66DE"/>
    <w:rsid w:val="006D0CF6"/>
    <w:rsid w:val="006F245F"/>
    <w:rsid w:val="00704D50"/>
    <w:rsid w:val="00712858"/>
    <w:rsid w:val="0071402C"/>
    <w:rsid w:val="007214ED"/>
    <w:rsid w:val="007370CD"/>
    <w:rsid w:val="00747652"/>
    <w:rsid w:val="00751C40"/>
    <w:rsid w:val="00766D96"/>
    <w:rsid w:val="00780F42"/>
    <w:rsid w:val="00782898"/>
    <w:rsid w:val="00792DE3"/>
    <w:rsid w:val="00794BCC"/>
    <w:rsid w:val="007C2C30"/>
    <w:rsid w:val="007E2F6F"/>
    <w:rsid w:val="008037D0"/>
    <w:rsid w:val="008100D1"/>
    <w:rsid w:val="008131D2"/>
    <w:rsid w:val="00813A65"/>
    <w:rsid w:val="00827DB3"/>
    <w:rsid w:val="00831BCD"/>
    <w:rsid w:val="00835790"/>
    <w:rsid w:val="00847D8B"/>
    <w:rsid w:val="00853E62"/>
    <w:rsid w:val="008566D5"/>
    <w:rsid w:val="008566EF"/>
    <w:rsid w:val="0087572C"/>
    <w:rsid w:val="008963D6"/>
    <w:rsid w:val="008A295C"/>
    <w:rsid w:val="008A36E9"/>
    <w:rsid w:val="008A637E"/>
    <w:rsid w:val="008B37ED"/>
    <w:rsid w:val="008C4D87"/>
    <w:rsid w:val="008C61C3"/>
    <w:rsid w:val="008C75C3"/>
    <w:rsid w:val="008E5F3E"/>
    <w:rsid w:val="008F7523"/>
    <w:rsid w:val="00905AC5"/>
    <w:rsid w:val="00922EC8"/>
    <w:rsid w:val="00937A84"/>
    <w:rsid w:val="00942012"/>
    <w:rsid w:val="0094478D"/>
    <w:rsid w:val="00944E89"/>
    <w:rsid w:val="00950D5F"/>
    <w:rsid w:val="009748E6"/>
    <w:rsid w:val="00976F9A"/>
    <w:rsid w:val="0098019B"/>
    <w:rsid w:val="009D01E8"/>
    <w:rsid w:val="009D25F7"/>
    <w:rsid w:val="009E4F9C"/>
    <w:rsid w:val="009F2FB8"/>
    <w:rsid w:val="00A23DE8"/>
    <w:rsid w:val="00A32060"/>
    <w:rsid w:val="00A3539C"/>
    <w:rsid w:val="00A529F6"/>
    <w:rsid w:val="00A76A4C"/>
    <w:rsid w:val="00A837CB"/>
    <w:rsid w:val="00A842D1"/>
    <w:rsid w:val="00A871B9"/>
    <w:rsid w:val="00A94F75"/>
    <w:rsid w:val="00A954EE"/>
    <w:rsid w:val="00AA1D15"/>
    <w:rsid w:val="00AB5F1C"/>
    <w:rsid w:val="00AC640E"/>
    <w:rsid w:val="00AD0EF5"/>
    <w:rsid w:val="00AD6C8D"/>
    <w:rsid w:val="00AE0BCE"/>
    <w:rsid w:val="00AE45EB"/>
    <w:rsid w:val="00B13E3C"/>
    <w:rsid w:val="00B3479C"/>
    <w:rsid w:val="00B644A8"/>
    <w:rsid w:val="00B72D03"/>
    <w:rsid w:val="00B761ED"/>
    <w:rsid w:val="00BC0BEA"/>
    <w:rsid w:val="00BC7501"/>
    <w:rsid w:val="00BE0C9F"/>
    <w:rsid w:val="00BE70FB"/>
    <w:rsid w:val="00C04F67"/>
    <w:rsid w:val="00C06F20"/>
    <w:rsid w:val="00C11C18"/>
    <w:rsid w:val="00C449B5"/>
    <w:rsid w:val="00C52C9F"/>
    <w:rsid w:val="00C815BB"/>
    <w:rsid w:val="00C84CA7"/>
    <w:rsid w:val="00C94205"/>
    <w:rsid w:val="00CC37FC"/>
    <w:rsid w:val="00CF73CC"/>
    <w:rsid w:val="00D030FA"/>
    <w:rsid w:val="00D07BA3"/>
    <w:rsid w:val="00D3022F"/>
    <w:rsid w:val="00D60EEA"/>
    <w:rsid w:val="00D63C17"/>
    <w:rsid w:val="00D80F4F"/>
    <w:rsid w:val="00D8443B"/>
    <w:rsid w:val="00D923F2"/>
    <w:rsid w:val="00DA7E0F"/>
    <w:rsid w:val="00DC3054"/>
    <w:rsid w:val="00DC48E2"/>
    <w:rsid w:val="00E20833"/>
    <w:rsid w:val="00E21F66"/>
    <w:rsid w:val="00E23264"/>
    <w:rsid w:val="00E46DEF"/>
    <w:rsid w:val="00E7214C"/>
    <w:rsid w:val="00E85271"/>
    <w:rsid w:val="00E97410"/>
    <w:rsid w:val="00EA0EBE"/>
    <w:rsid w:val="00EB4404"/>
    <w:rsid w:val="00EC62B6"/>
    <w:rsid w:val="00ED3202"/>
    <w:rsid w:val="00ED34AF"/>
    <w:rsid w:val="00EE4116"/>
    <w:rsid w:val="00EE4AF8"/>
    <w:rsid w:val="00EE5F63"/>
    <w:rsid w:val="00EE7C7F"/>
    <w:rsid w:val="00EF146C"/>
    <w:rsid w:val="00EF7CC1"/>
    <w:rsid w:val="00F035CA"/>
    <w:rsid w:val="00F10AE9"/>
    <w:rsid w:val="00F22F7E"/>
    <w:rsid w:val="00F44EB3"/>
    <w:rsid w:val="00F61756"/>
    <w:rsid w:val="00F63449"/>
    <w:rsid w:val="00F65433"/>
    <w:rsid w:val="00F835C5"/>
    <w:rsid w:val="00F8373C"/>
    <w:rsid w:val="00FA0826"/>
    <w:rsid w:val="00FA0D88"/>
    <w:rsid w:val="00FB4A73"/>
    <w:rsid w:val="00FC0455"/>
    <w:rsid w:val="00FD56BB"/>
    <w:rsid w:val="00FE5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0E"/>
    <w:rPr>
      <w:color w:val="000000"/>
      <w:sz w:val="24"/>
      <w:szCs w:val="24"/>
    </w:rPr>
  </w:style>
  <w:style w:type="paragraph" w:styleId="3">
    <w:name w:val="heading 3"/>
    <w:basedOn w:val="a"/>
    <w:next w:val="a"/>
    <w:qFormat/>
    <w:rsid w:val="0065500E"/>
    <w:pPr>
      <w:keepNext/>
      <w:widowControl w:val="0"/>
      <w:outlineLvl w:val="2"/>
    </w:pPr>
    <w:rPr>
      <w:b/>
      <w:szCs w:val="20"/>
    </w:rPr>
  </w:style>
  <w:style w:type="paragraph" w:styleId="5">
    <w:name w:val="heading 5"/>
    <w:basedOn w:val="a"/>
    <w:next w:val="a"/>
    <w:qFormat/>
    <w:rsid w:val="0065500E"/>
    <w:pPr>
      <w:keepNext/>
      <w:ind w:left="709" w:hanging="709"/>
      <w:outlineLvl w:val="4"/>
    </w:pPr>
    <w:rPr>
      <w:szCs w:val="20"/>
    </w:rPr>
  </w:style>
  <w:style w:type="paragraph" w:styleId="7">
    <w:name w:val="heading 7"/>
    <w:basedOn w:val="a"/>
    <w:next w:val="a"/>
    <w:link w:val="70"/>
    <w:uiPriority w:val="9"/>
    <w:semiHidden/>
    <w:unhideWhenUsed/>
    <w:qFormat/>
    <w:rsid w:val="0041541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65500E"/>
    <w:rPr>
      <w:rFonts w:ascii="Tahoma" w:hAnsi="Tahoma" w:cs="Tahoma"/>
      <w:sz w:val="16"/>
      <w:szCs w:val="16"/>
    </w:rPr>
  </w:style>
  <w:style w:type="paragraph" w:styleId="a4">
    <w:name w:val="Document Map"/>
    <w:basedOn w:val="a"/>
    <w:rsid w:val="0065500E"/>
    <w:pPr>
      <w:shd w:val="clear" w:color="000000" w:fill="00007F"/>
    </w:pPr>
    <w:rPr>
      <w:rFonts w:ascii="Tahoma" w:hAnsi="Tahoma" w:cs="Tahoma"/>
      <w:sz w:val="20"/>
      <w:szCs w:val="20"/>
    </w:rPr>
  </w:style>
  <w:style w:type="paragraph" w:customStyle="1" w:styleId="1">
    <w:name w:val="Заголовок1"/>
    <w:basedOn w:val="a"/>
    <w:qFormat/>
    <w:rsid w:val="0065500E"/>
    <w:pPr>
      <w:jc w:val="center"/>
    </w:pPr>
    <w:rPr>
      <w:sz w:val="28"/>
      <w:lang w:val="en-US"/>
    </w:rPr>
  </w:style>
  <w:style w:type="paragraph" w:styleId="a5">
    <w:name w:val="Subtitle"/>
    <w:basedOn w:val="a"/>
    <w:qFormat/>
    <w:rsid w:val="0065500E"/>
    <w:pPr>
      <w:jc w:val="center"/>
    </w:pPr>
    <w:rPr>
      <w:b/>
    </w:rPr>
  </w:style>
  <w:style w:type="paragraph" w:styleId="a6">
    <w:name w:val="Body Text"/>
    <w:basedOn w:val="a"/>
    <w:rsid w:val="0065500E"/>
    <w:pPr>
      <w:jc w:val="both"/>
    </w:pPr>
  </w:style>
  <w:style w:type="paragraph" w:customStyle="1" w:styleId="ConsNonformat">
    <w:name w:val="ConsNonformat"/>
    <w:rsid w:val="0065500E"/>
    <w:pPr>
      <w:widowControl w:val="0"/>
    </w:pPr>
    <w:rPr>
      <w:rFonts w:ascii="Courier New" w:hAnsi="Courier New" w:cs="Courier New"/>
      <w:color w:val="000000"/>
      <w:sz w:val="28"/>
      <w:szCs w:val="28"/>
    </w:rPr>
  </w:style>
  <w:style w:type="paragraph" w:styleId="a7">
    <w:name w:val="No Spacing"/>
    <w:aliases w:val="для таблиц,No Spacing"/>
    <w:link w:val="a8"/>
    <w:uiPriority w:val="1"/>
    <w:qFormat/>
    <w:rsid w:val="0065500E"/>
    <w:rPr>
      <w:rFonts w:ascii="Calibri" w:hAnsi="Calibri" w:cs="Calibri"/>
      <w:color w:val="000000"/>
      <w:sz w:val="22"/>
      <w:szCs w:val="22"/>
    </w:rPr>
  </w:style>
  <w:style w:type="paragraph" w:customStyle="1" w:styleId="10">
    <w:name w:val="Обычный1"/>
    <w:rsid w:val="0065500E"/>
    <w:pPr>
      <w:widowControl w:val="0"/>
      <w:spacing w:line="300" w:lineRule="auto"/>
      <w:ind w:firstLine="720"/>
      <w:jc w:val="both"/>
    </w:pPr>
    <w:rPr>
      <w:color w:val="000000"/>
      <w:sz w:val="24"/>
    </w:rPr>
  </w:style>
  <w:style w:type="paragraph" w:styleId="30">
    <w:name w:val="Body Text Indent 3"/>
    <w:basedOn w:val="a"/>
    <w:rsid w:val="0065500E"/>
    <w:pPr>
      <w:spacing w:after="120"/>
      <w:ind w:left="283"/>
    </w:pPr>
    <w:rPr>
      <w:sz w:val="16"/>
      <w:szCs w:val="16"/>
    </w:rPr>
  </w:style>
  <w:style w:type="paragraph" w:customStyle="1" w:styleId="2">
    <w:name w:val="Обычный2"/>
    <w:rsid w:val="0065500E"/>
    <w:pPr>
      <w:widowControl w:val="0"/>
      <w:spacing w:line="300" w:lineRule="auto"/>
      <w:ind w:firstLine="720"/>
      <w:jc w:val="both"/>
    </w:pPr>
    <w:rPr>
      <w:color w:val="000000"/>
      <w:sz w:val="24"/>
    </w:rPr>
  </w:style>
  <w:style w:type="paragraph" w:customStyle="1" w:styleId="NoSpacing1">
    <w:name w:val="No Spacing1"/>
    <w:rsid w:val="0065500E"/>
    <w:rPr>
      <w:rFonts w:ascii="Calibri" w:eastAsia="Calibri" w:hAnsi="Calibri" w:cs="Calibri"/>
      <w:color w:val="000000"/>
      <w:sz w:val="22"/>
      <w:szCs w:val="22"/>
    </w:rPr>
  </w:style>
  <w:style w:type="paragraph" w:styleId="a9">
    <w:name w:val="List Paragraph"/>
    <w:aliases w:val="Маркер,название,Bullet List,FooterText,numbered,SL_Абзац списка,List Paragraph,Нумерованый список,Нумерованный спиков,it_List1,Абзац списка литеральный,lp1,Paragraphe de liste1,Абзац списка для документа,Абзац списка15,4.2.2"/>
    <w:basedOn w:val="a"/>
    <w:link w:val="aa"/>
    <w:uiPriority w:val="34"/>
    <w:qFormat/>
    <w:rsid w:val="0065500E"/>
    <w:pPr>
      <w:spacing w:after="200" w:line="276" w:lineRule="auto"/>
      <w:ind w:left="720"/>
      <w:contextualSpacing/>
    </w:pPr>
    <w:rPr>
      <w:rFonts w:ascii="Calibri" w:hAnsi="Calibri" w:cs="Calibri"/>
      <w:sz w:val="22"/>
      <w:szCs w:val="22"/>
    </w:rPr>
  </w:style>
  <w:style w:type="paragraph" w:customStyle="1" w:styleId="11">
    <w:name w:val="Без интервала1"/>
    <w:rsid w:val="0065500E"/>
    <w:rPr>
      <w:rFonts w:ascii="Calibri" w:eastAsia="Calibri" w:hAnsi="Calibri" w:cs="Calibri"/>
      <w:color w:val="000000"/>
      <w:sz w:val="22"/>
      <w:szCs w:val="22"/>
    </w:rPr>
  </w:style>
  <w:style w:type="character" w:styleId="ab">
    <w:name w:val="Hyperlink"/>
    <w:rsid w:val="0065500E"/>
    <w:rPr>
      <w:color w:val="0000FF"/>
      <w:u w:val="single"/>
    </w:rPr>
  </w:style>
  <w:style w:type="character" w:customStyle="1" w:styleId="20">
    <w:name w:val="Знак Знак2"/>
    <w:rsid w:val="0065500E"/>
    <w:rPr>
      <w:sz w:val="28"/>
      <w:szCs w:val="24"/>
      <w:lang w:val="en-US"/>
    </w:rPr>
  </w:style>
  <w:style w:type="character" w:customStyle="1" w:styleId="12">
    <w:name w:val="Знак Знак1"/>
    <w:rsid w:val="0065500E"/>
    <w:rPr>
      <w:b/>
      <w:bCs w:val="0"/>
      <w:sz w:val="24"/>
      <w:szCs w:val="24"/>
    </w:rPr>
  </w:style>
  <w:style w:type="character" w:customStyle="1" w:styleId="ac">
    <w:name w:val="Знак Знак"/>
    <w:rsid w:val="0065500E"/>
    <w:rPr>
      <w:sz w:val="24"/>
      <w:szCs w:val="24"/>
    </w:rPr>
  </w:style>
  <w:style w:type="paragraph" w:styleId="21">
    <w:name w:val="Body Text Indent 2"/>
    <w:basedOn w:val="a"/>
    <w:link w:val="22"/>
    <w:uiPriority w:val="99"/>
    <w:semiHidden/>
    <w:unhideWhenUsed/>
    <w:rsid w:val="00304DBB"/>
    <w:pPr>
      <w:spacing w:after="120" w:line="480" w:lineRule="auto"/>
      <w:ind w:left="283"/>
    </w:pPr>
  </w:style>
  <w:style w:type="character" w:customStyle="1" w:styleId="22">
    <w:name w:val="Основной текст с отступом 2 Знак"/>
    <w:basedOn w:val="a0"/>
    <w:link w:val="21"/>
    <w:uiPriority w:val="99"/>
    <w:semiHidden/>
    <w:rsid w:val="00304DBB"/>
    <w:rPr>
      <w:color w:val="000000"/>
      <w:sz w:val="24"/>
      <w:szCs w:val="24"/>
    </w:rPr>
  </w:style>
  <w:style w:type="paragraph" w:styleId="ad">
    <w:name w:val="Title"/>
    <w:basedOn w:val="a"/>
    <w:link w:val="ae"/>
    <w:qFormat/>
    <w:rsid w:val="00780F42"/>
    <w:pPr>
      <w:jc w:val="center"/>
    </w:pPr>
    <w:rPr>
      <w:rFonts w:ascii="Calibri" w:eastAsia="Calibri" w:hAnsi="Calibri" w:cs="Calibri"/>
      <w:b/>
      <w:szCs w:val="20"/>
    </w:rPr>
  </w:style>
  <w:style w:type="character" w:customStyle="1" w:styleId="ae">
    <w:name w:val="Название Знак"/>
    <w:basedOn w:val="a0"/>
    <w:link w:val="ad"/>
    <w:rsid w:val="00780F42"/>
    <w:rPr>
      <w:rFonts w:ascii="Calibri" w:eastAsia="Calibri" w:hAnsi="Calibri" w:cs="Calibri"/>
      <w:b/>
      <w:color w:val="000000"/>
      <w:sz w:val="24"/>
    </w:rPr>
  </w:style>
  <w:style w:type="character" w:customStyle="1" w:styleId="70">
    <w:name w:val="Заголовок 7 Знак"/>
    <w:basedOn w:val="a0"/>
    <w:link w:val="7"/>
    <w:uiPriority w:val="99"/>
    <w:rsid w:val="0041541E"/>
    <w:rPr>
      <w:rFonts w:asciiTheme="majorHAnsi" w:eastAsiaTheme="majorEastAsia" w:hAnsiTheme="majorHAnsi" w:cstheme="majorBidi"/>
      <w:i/>
      <w:iCs/>
      <w:color w:val="243F60" w:themeColor="accent1" w:themeShade="7F"/>
      <w:sz w:val="24"/>
      <w:szCs w:val="24"/>
    </w:rPr>
  </w:style>
  <w:style w:type="table" w:styleId="af">
    <w:name w:val="Table Grid"/>
    <w:basedOn w:val="a1"/>
    <w:uiPriority w:val="39"/>
    <w:rsid w:val="00C9420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pytarget">
    <w:name w:val="copy_target"/>
    <w:basedOn w:val="a0"/>
    <w:rsid w:val="00794BCC"/>
  </w:style>
  <w:style w:type="character" w:customStyle="1" w:styleId="ConsPlusNormal">
    <w:name w:val="ConsPlusNormal Знак"/>
    <w:link w:val="ConsPlusNormal0"/>
    <w:uiPriority w:val="99"/>
    <w:semiHidden/>
    <w:locked/>
    <w:rsid w:val="00163B5D"/>
    <w:rPr>
      <w:rFonts w:asciiTheme="minorHAnsi" w:eastAsiaTheme="minorHAnsi" w:hAnsiTheme="minorHAnsi" w:cstheme="minorBidi"/>
      <w:sz w:val="22"/>
      <w:szCs w:val="22"/>
      <w:lang w:eastAsia="en-US"/>
    </w:rPr>
  </w:style>
  <w:style w:type="paragraph" w:customStyle="1" w:styleId="ConsPlusNormal0">
    <w:name w:val="ConsPlusNormal"/>
    <w:link w:val="ConsPlusNormal"/>
    <w:uiPriority w:val="99"/>
    <w:rsid w:val="00163B5D"/>
    <w:pPr>
      <w:widowControl w:val="0"/>
      <w:autoSpaceDE w:val="0"/>
      <w:autoSpaceDN w:val="0"/>
    </w:pPr>
    <w:rPr>
      <w:rFonts w:asciiTheme="minorHAnsi" w:eastAsiaTheme="minorHAnsi" w:hAnsiTheme="minorHAnsi" w:cstheme="minorBidi"/>
      <w:sz w:val="22"/>
      <w:szCs w:val="22"/>
      <w:lang w:eastAsia="en-US"/>
    </w:rPr>
  </w:style>
  <w:style w:type="character" w:customStyle="1" w:styleId="a8">
    <w:name w:val="Без интервала Знак"/>
    <w:aliases w:val="для таблиц Знак,No Spacing Знак"/>
    <w:link w:val="a7"/>
    <w:uiPriority w:val="1"/>
    <w:locked/>
    <w:rsid w:val="001A1045"/>
    <w:rPr>
      <w:rFonts w:ascii="Calibri" w:hAnsi="Calibri" w:cs="Calibri"/>
      <w:color w:val="000000"/>
      <w:sz w:val="22"/>
      <w:szCs w:val="22"/>
    </w:rPr>
  </w:style>
  <w:style w:type="paragraph" w:customStyle="1" w:styleId="ConsTitle">
    <w:name w:val="ConsTitle"/>
    <w:rsid w:val="00BE0C9F"/>
    <w:pPr>
      <w:widowControl w:val="0"/>
      <w:ind w:right="19772"/>
    </w:pPr>
    <w:rPr>
      <w:rFonts w:ascii="Arial" w:hAnsi="Arial" w:cs="Arial"/>
      <w:b/>
      <w:color w:val="000000"/>
    </w:rPr>
  </w:style>
  <w:style w:type="paragraph" w:customStyle="1" w:styleId="23">
    <w:name w:val="Заголовок2"/>
    <w:basedOn w:val="a"/>
    <w:qFormat/>
    <w:rsid w:val="00381F43"/>
    <w:pPr>
      <w:jc w:val="center"/>
    </w:pPr>
    <w:rPr>
      <w:rFonts w:ascii="Calibri" w:eastAsia="Calibri" w:hAnsi="Calibri" w:cs="Calibri"/>
      <w:b/>
      <w:szCs w:val="20"/>
    </w:rPr>
  </w:style>
  <w:style w:type="paragraph" w:customStyle="1" w:styleId="4">
    <w:name w:val="Обычный4"/>
    <w:rsid w:val="00381F43"/>
    <w:pPr>
      <w:widowControl w:val="0"/>
      <w:spacing w:line="300" w:lineRule="auto"/>
      <w:ind w:firstLine="720"/>
      <w:jc w:val="both"/>
    </w:pPr>
    <w:rPr>
      <w:color w:val="000000"/>
      <w:sz w:val="24"/>
    </w:rPr>
  </w:style>
  <w:style w:type="paragraph" w:customStyle="1" w:styleId="Standarduser">
    <w:name w:val="Standard (user)"/>
    <w:rsid w:val="00381F43"/>
    <w:pPr>
      <w:widowControl w:val="0"/>
      <w:suppressAutoHyphens/>
      <w:autoSpaceDN w:val="0"/>
      <w:textAlignment w:val="baseline"/>
    </w:pPr>
    <w:rPr>
      <w:color w:val="000000"/>
      <w:sz w:val="24"/>
    </w:rPr>
  </w:style>
  <w:style w:type="character" w:customStyle="1" w:styleId="aa">
    <w:name w:val="Абзац списка Знак"/>
    <w:aliases w:val="Маркер Знак,название Знак,Bullet List Знак,FooterText Знак,numbered Знак,SL_Абзац списка Знак,List Paragraph Знак,Нумерованый список Знак,Нумерованный спиков Знак,it_List1 Знак,Абзац списка литеральный Знак,lp1 Знак,Абзац списка15 Знак"/>
    <w:link w:val="a9"/>
    <w:uiPriority w:val="34"/>
    <w:locked/>
    <w:rsid w:val="00381F43"/>
    <w:rPr>
      <w:rFonts w:ascii="Calibri" w:hAnsi="Calibri" w:cs="Calibri"/>
      <w:color w:val="000000"/>
      <w:sz w:val="22"/>
      <w:szCs w:val="22"/>
    </w:rPr>
  </w:style>
  <w:style w:type="table" w:customStyle="1" w:styleId="13">
    <w:name w:val="Сетка таблицы светлая1"/>
    <w:basedOn w:val="a1"/>
    <w:uiPriority w:val="40"/>
    <w:rsid w:val="00A23DE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0">
    <w:name w:val="header"/>
    <w:basedOn w:val="a"/>
    <w:link w:val="af1"/>
    <w:uiPriority w:val="99"/>
    <w:unhideWhenUsed/>
    <w:rsid w:val="00D60EEA"/>
    <w:pPr>
      <w:tabs>
        <w:tab w:val="center" w:pos="4677"/>
        <w:tab w:val="right" w:pos="9355"/>
      </w:tabs>
    </w:pPr>
  </w:style>
  <w:style w:type="character" w:customStyle="1" w:styleId="af1">
    <w:name w:val="Верхний колонтитул Знак"/>
    <w:basedOn w:val="a0"/>
    <w:link w:val="af0"/>
    <w:uiPriority w:val="99"/>
    <w:rsid w:val="00D60EEA"/>
    <w:rPr>
      <w:color w:val="000000"/>
      <w:sz w:val="24"/>
      <w:szCs w:val="24"/>
    </w:rPr>
  </w:style>
  <w:style w:type="paragraph" w:styleId="af2">
    <w:name w:val="footer"/>
    <w:basedOn w:val="a"/>
    <w:link w:val="af3"/>
    <w:uiPriority w:val="99"/>
    <w:unhideWhenUsed/>
    <w:rsid w:val="00D60EEA"/>
    <w:pPr>
      <w:tabs>
        <w:tab w:val="center" w:pos="4677"/>
        <w:tab w:val="right" w:pos="9355"/>
      </w:tabs>
    </w:pPr>
  </w:style>
  <w:style w:type="character" w:customStyle="1" w:styleId="af3">
    <w:name w:val="Нижний колонтитул Знак"/>
    <w:basedOn w:val="a0"/>
    <w:link w:val="af2"/>
    <w:uiPriority w:val="99"/>
    <w:rsid w:val="00D60EEA"/>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63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ntc-navitest.ru/f/postanovleniye_pravitelstva_rf_ot_20042010_g_no_250_o_perechne_sredstv_izmereniy.pdf" TargetMode="External"/><Relationship Id="rId4" Type="http://schemas.microsoft.com/office/2007/relationships/stylesWithEffects" Target="stylesWithEffects.xml"/><Relationship Id="rId9" Type="http://schemas.openxmlformats.org/officeDocument/2006/relationships/hyperlink" Target="https://minpromtorg.gov.ru/storage/797ced43-043d-4b4e-b72b-3d36984adbc7/documents/c6dc7cb0-39ae-40ee-919c-a9b03e5b0d1a/21c8e43b-457f-4e1a-b840-125c5019912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6C24A-9BC3-4A1B-BFF2-EDD08C763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469</Words>
  <Characters>2678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Договор на оказание транспортных  услуг</vt:lpstr>
    </vt:vector>
  </TitlesOfParts>
  <Company>SPecialiST RePack</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транспортных  услуг</dc:title>
  <dc:creator>===</dc:creator>
  <cp:lastModifiedBy>K411</cp:lastModifiedBy>
  <cp:revision>36</cp:revision>
  <cp:lastPrinted>2025-03-31T04:19:00Z</cp:lastPrinted>
  <dcterms:created xsi:type="dcterms:W3CDTF">2024-05-20T09:31:00Z</dcterms:created>
  <dcterms:modified xsi:type="dcterms:W3CDTF">2026-06-16T09:24:00Z</dcterms:modified>
</cp:coreProperties>
</file>