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right"/>
        <w:keepNext w:val="0"/>
        <w:spacing w:before="0" w:after="0"/>
        <w:widowControl w:val="off"/>
        <w:rPr>
          <w:rFonts w:ascii="Times New Roman" w:hAnsi="Times New Roman"/>
          <w:caps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Приложение 2</w:t>
      </w:r>
      <w:r>
        <w:rPr>
          <w:rFonts w:ascii="Times New Roman" w:hAnsi="Times New Roman"/>
          <w:caps/>
          <w:szCs w:val="24"/>
          <w:lang w:val="ru-RU"/>
        </w:rPr>
      </w:r>
      <w:r>
        <w:rPr>
          <w:rFonts w:ascii="Times New Roman" w:hAnsi="Times New Roman"/>
          <w:caps/>
          <w:szCs w:val="24"/>
          <w:lang w:val="ru-RU"/>
        </w:rPr>
      </w:r>
    </w:p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caps/>
          <w:szCs w:val="24"/>
          <w:lang w:val="ru-RU"/>
        </w:rPr>
      </w:pPr>
      <w:r>
        <w:rPr>
          <w:rFonts w:ascii="Times New Roman" w:hAnsi="Times New Roman"/>
          <w:b/>
          <w:caps/>
          <w:szCs w:val="24"/>
          <w:lang w:val="ru-RU"/>
        </w:rPr>
      </w:r>
      <w:r>
        <w:rPr>
          <w:rFonts w:ascii="Times New Roman" w:hAnsi="Times New Roman"/>
          <w:b/>
          <w:caps/>
          <w:szCs w:val="24"/>
          <w:lang w:val="ru-RU"/>
        </w:rPr>
      </w:r>
      <w:r>
        <w:rPr>
          <w:rFonts w:ascii="Times New Roman" w:hAnsi="Times New Roman"/>
          <w:b/>
          <w:caps/>
          <w:szCs w:val="24"/>
          <w:lang w:val="ru-RU"/>
        </w:rPr>
      </w:r>
    </w:p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 xml:space="preserve">ОБОСНОВАНИЕ НАЧАЛЬНОЙ (МАКСИМАЛЬНОЙ) ЦЕНЫ КОНТРАКТА</w:t>
      </w:r>
      <w:r>
        <w:rPr>
          <w:rFonts w:ascii="Times New Roman" w:hAnsi="Times New Roman"/>
          <w:b/>
          <w:caps/>
          <w:szCs w:val="24"/>
        </w:rPr>
      </w:r>
      <w:r>
        <w:rPr>
          <w:rFonts w:ascii="Times New Roman" w:hAnsi="Times New Roman"/>
          <w:b/>
          <w:caps/>
          <w:szCs w:val="24"/>
        </w:rPr>
      </w:r>
    </w:p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bCs/>
          <w:caps/>
          <w:sz w:val="10"/>
          <w:szCs w:val="10"/>
        </w:rPr>
      </w:pPr>
      <w:r>
        <w:rPr>
          <w:rFonts w:ascii="Times New Roman" w:hAnsi="Times New Roman"/>
          <w:b/>
          <w:bCs/>
          <w:caps/>
          <w:sz w:val="10"/>
          <w:szCs w:val="10"/>
          <w:lang w:val="ru-RU"/>
        </w:rPr>
      </w:r>
      <w:r>
        <w:rPr>
          <w:rFonts w:ascii="Times New Roman" w:hAnsi="Times New Roman"/>
          <w:b/>
          <w:bCs/>
          <w:caps/>
          <w:sz w:val="10"/>
          <w:szCs w:val="10"/>
        </w:rPr>
      </w:r>
      <w:r>
        <w:rPr>
          <w:rFonts w:ascii="Times New Roman" w:hAnsi="Times New Roman"/>
          <w:b/>
          <w:bCs/>
          <w:caps/>
          <w:sz w:val="10"/>
          <w:szCs w:val="10"/>
        </w:rPr>
      </w:r>
    </w:p>
    <w:p>
      <w:pPr>
        <w:jc w:val="center"/>
        <w:shd w:val="clear" w:color="auto" w:fill="ffffff"/>
        <w:tabs>
          <w:tab w:val="left" w:pos="0" w:leader="none"/>
          <w:tab w:val="left" w:pos="439" w:leader="none"/>
        </w:tabs>
        <w:rPr>
          <w:b/>
          <w:bCs/>
        </w:rPr>
      </w:pPr>
      <w:r>
        <w:rPr>
          <w:b/>
          <w:bCs/>
        </w:rPr>
        <w:t xml:space="preserve">Поставка  аккумуляторных батарей (батарея аккумуляторная свинцово-кислотная стационарная) для источников бесперебойного питания, входящих в состав автоматизированных рабочих станций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tabs>
          <w:tab w:val="left" w:pos="0" w:leader="none"/>
          <w:tab w:val="left" w:pos="439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shd w:val="clear" w:color="auto" w:fill="ffffff"/>
        <w:tabs>
          <w:tab w:val="left" w:pos="0" w:leader="none"/>
          <w:tab w:val="left" w:pos="439" w:leader="none"/>
        </w:tabs>
      </w:pPr>
      <w:r>
        <w:t xml:space="preserve">Начальная (максимальная) цена контракта, начальная сумма цен единиц товара, работ, услуг (далее - НМЦК) определена в соответствии с</w:t>
      </w:r>
      <w:r>
        <w:t xml:space="preserve">о статьей 22</w:t>
      </w:r>
      <w:r>
        <w:t xml:space="preserve"> Федеральн</w:t>
      </w:r>
      <w:r>
        <w:t xml:space="preserve">ого закона</w:t>
      </w:r>
      <w: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(далее – Закон № 44-ФЗ)</w:t>
      </w:r>
      <w:r>
        <w:t xml:space="preserve">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</w:t>
      </w:r>
      <w:r>
        <w:t xml:space="preserve"> контракта, цены контракта, заключаемого с единственным поставщиком (подрядчиком, исполнителем)» (далее – Методические рекомендации).</w:t>
      </w:r>
      <w:r/>
    </w:p>
    <w:p>
      <w:pPr>
        <w:shd w:val="clear" w:color="auto" w:fill="ffffff"/>
        <w:tabs>
          <w:tab w:val="left" w:pos="0" w:leader="none"/>
          <w:tab w:val="left" w:pos="439" w:leader="none"/>
        </w:tabs>
      </w:pPr>
      <w:r>
        <w:tab/>
        <w:t xml:space="preserve">Метод определения НМЦК: метод сопостави</w:t>
      </w:r>
      <w:r>
        <w:t xml:space="preserve">мых рыночных цен (анализ рынка), нормативный метод.</w:t>
      </w:r>
      <w:r/>
    </w:p>
    <w:p>
      <w:pPr>
        <w:tabs>
          <w:tab w:val="right" w:pos="2840" w:leader="none"/>
        </w:tabs>
      </w:pPr>
      <w:r>
        <w:t xml:space="preserve">В целях определения НМЦК был осуществлен сбор ценовой информации среди 3 поставщиков, осуществляющих поставку товара, являющегося объектом закупки.</w:t>
      </w:r>
      <w:r/>
    </w:p>
    <w:p>
      <w:pPr>
        <w:tabs>
          <w:tab w:val="right" w:pos="2840" w:leader="none"/>
        </w:tabs>
      </w:pPr>
      <w:r/>
      <w:r/>
    </w:p>
    <w:tbl>
      <w:tblPr>
        <w:tblW w:w="147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02"/>
        <w:gridCol w:w="851"/>
        <w:gridCol w:w="850"/>
        <w:gridCol w:w="1984"/>
        <w:gridCol w:w="1560"/>
        <w:gridCol w:w="1559"/>
        <w:gridCol w:w="1272"/>
        <w:gridCol w:w="1563"/>
        <w:gridCol w:w="1134"/>
        <w:gridCol w:w="1418"/>
      </w:tblGrid>
      <w:tr>
        <w:tblPrEx/>
        <w:trPr>
          <w:trHeight w:val="330"/>
        </w:trPr>
        <w:tc>
          <w:tcPr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5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Таблица цен для определения начальной (максимальной) цены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товара, работы,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 </w:t>
            </w:r>
            <w:r>
              <w:rPr>
                <w:sz w:val="20"/>
                <w:szCs w:val="20"/>
              </w:rPr>
              <w:t xml:space="preserve">измер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информации и цена за единицу,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однородности и средних значений цен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5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2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https://www.vseinstrumenti.ru/cart-checkout/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</w:t>
            </w:r>
            <w:r>
              <w:rPr>
                <w:sz w:val="20"/>
                <w:szCs w:val="20"/>
              </w:rPr>
              <w:t xml:space="preserve">.№ </w:t>
            </w:r>
            <w:r>
              <w:rPr>
                <w:sz w:val="20"/>
                <w:szCs w:val="20"/>
              </w:rPr>
              <w:t xml:space="preserve">14098</w:t>
            </w:r>
            <w:r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 xml:space="preserve">07.05.2026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</w:t>
            </w:r>
            <w:r>
              <w:rPr>
                <w:sz w:val="20"/>
                <w:szCs w:val="20"/>
              </w:rPr>
              <w:t xml:space="preserve">.№ </w:t>
            </w:r>
            <w:r>
              <w:rPr>
                <w:sz w:val="20"/>
                <w:szCs w:val="20"/>
              </w:rPr>
              <w:t xml:space="preserve">14099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07.05.2026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</w:t>
            </w:r>
            <w:r>
              <w:rPr>
                <w:sz w:val="20"/>
                <w:szCs w:val="20"/>
              </w:rPr>
              <w:t xml:space="preserve">. вариации (V),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</w:t>
            </w:r>
            <w:r>
              <w:rPr>
                <w:sz w:val="20"/>
                <w:szCs w:val="20"/>
              </w:rPr>
              <w:t xml:space="preserve">. значений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Сред. цена за </w:t>
            </w:r>
            <w:r>
              <w:rPr>
                <w:sz w:val="20"/>
                <w:szCs w:val="20"/>
              </w:rPr>
              <w:t xml:space="preserve">ед</w:t>
            </w:r>
            <w:r>
              <w:rPr>
                <w:sz w:val="20"/>
                <w:szCs w:val="20"/>
              </w:rPr>
              <w:t xml:space="preserve">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Стоимость,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2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Батарея аккумуляторная свинцово-кислотная стационарная</w:t>
            </w:r>
            <w:r>
              <w:rPr>
                <w:color w:val="000000"/>
                <w:sz w:val="20"/>
                <w:szCs w:val="20"/>
                <w14:ligatures w14:val="none"/>
              </w:rPr>
            </w:r>
            <w:r>
              <w:rPr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шт.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1301,00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8,43%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Однородная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1367,00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2734,00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40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2734,00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tabs>
          <w:tab w:val="right" w:pos="2840" w:leader="none"/>
        </w:tabs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/>
          <w:sz w:val="24"/>
          <w:szCs w:val="24"/>
          <w:u w:val="none"/>
        </w:rPr>
      </w:pPr>
      <w:r>
        <w:rPr>
          <w:b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u w:val="none"/>
          <w:vertAlign w:val="baseline"/>
        </w:rPr>
        <w:t xml:space="preserve">Проведенные исследования позволяют определить начальную (максимальную) контракта единицы  в размере: 2734,00 руб (две тысячи семьсот тридцать четыре рубля 00 копеек).</w:t>
      </w:r>
      <w:r>
        <w:rPr>
          <w:b/>
          <w:highlight w:val="none"/>
        </w:rPr>
      </w:r>
    </w:p>
    <w:p>
      <w:pPr>
        <w:rPr>
          <w:b/>
          <w:bCs/>
          <w:highlight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u w:val="none"/>
        </w:rPr>
        <w:t xml:space="preserve">Вместе с тем, руководствуясь п. 2 ст. 72, п. 3 ст. 219 БК РФ и принимая во внимание доведенные ЛБО, с учетом примененного понижающего коэффициента , НМЦК устанавливается в размере: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u w:val="none"/>
        </w:rPr>
        <w:t xml:space="preserve">2 634,38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u w:val="none"/>
        </w:rPr>
        <w:t xml:space="preserve">  руб. (две тысячи шестьсот тридцать четыре рубля 38 копеек)</w:t>
      </w:r>
      <w:r>
        <w:rPr>
          <w:b/>
          <w:highlight w:val="none"/>
        </w:rPr>
      </w:r>
      <w:r/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834"/>
    <w:link w:val="833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4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4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4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4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3">
    <w:name w:val="Heading 4"/>
    <w:basedOn w:val="832"/>
    <w:next w:val="832"/>
    <w:link w:val="837"/>
    <w:semiHidden/>
    <w:unhideWhenUsed/>
    <w:qFormat/>
    <w:pPr>
      <w:keepNext/>
      <w:spacing w:before="240" w:after="60"/>
      <w:outlineLvl w:val="3"/>
    </w:pPr>
    <w:rPr>
      <w:rFonts w:ascii="Arial" w:hAnsi="Arial"/>
      <w:szCs w:val="20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4 Знак"/>
    <w:basedOn w:val="834"/>
    <w:link w:val="833"/>
    <w:semiHidden/>
    <w:rPr>
      <w:rFonts w:ascii="Arial" w:hAnsi="Arial" w:eastAsia="Times New Roman" w:cs="Times New Roman"/>
      <w:sz w:val="24"/>
      <w:szCs w:val="20"/>
    </w:rPr>
  </w:style>
  <w:style w:type="paragraph" w:styleId="838">
    <w:name w:val="Balloon Text"/>
    <w:basedOn w:val="832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0">
    <w:name w:val="List Paragraph"/>
    <w:basedOn w:val="832"/>
    <w:uiPriority w:val="34"/>
    <w:qFormat/>
    <w:pPr>
      <w:contextualSpacing/>
      <w:ind w:left="720"/>
    </w:pPr>
  </w:style>
  <w:style w:type="paragraph" w:styleId="841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Управление Росреестра по Владимирской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Чорнаморян Ирина Сережовна</dc:creator>
  <cp:revision>19</cp:revision>
  <dcterms:created xsi:type="dcterms:W3CDTF">2023-09-14T08:29:00Z</dcterms:created>
  <dcterms:modified xsi:type="dcterms:W3CDTF">2026-06-23T13:31:41Z</dcterms:modified>
</cp:coreProperties>
</file>