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/>
      <w:r/>
    </w:p>
    <w:p>
      <w:pPr>
        <w:jc w:val="center"/>
      </w:pPr>
      <w:r/>
      <w:r/>
    </w:p>
    <w:p>
      <w:pPr>
        <w:jc w:val="center"/>
        <w:rPr>
          <w:b/>
        </w:rPr>
      </w:pPr>
      <w:r>
        <w:rPr>
          <w:b/>
        </w:rPr>
        <w:t xml:space="preserve">Обоснование начальной (максимальной) цены контракта</w:t>
      </w:r>
      <w:r>
        <w:rPr>
          <w:b/>
        </w:rPr>
      </w:r>
      <w:r>
        <w:rPr>
          <w:b/>
        </w:rPr>
      </w:r>
    </w:p>
    <w:p>
      <w:pPr>
        <w:jc w:val="center"/>
      </w:pPr>
      <w:r/>
      <w:r/>
    </w:p>
    <w:p>
      <w:pPr>
        <w:ind w:firstLine="708"/>
      </w:pPr>
      <w:r>
        <w:t xml:space="preserve">В соответствии со ст. 22</w:t>
      </w:r>
      <w:r>
        <w:rPr>
          <w:bCs/>
          <w:vertAlign w:val="superscript"/>
        </w:rPr>
        <w:t xml:space="preserve"> </w:t>
      </w:r>
      <w:r>
        <w:t xml:space="preserve">Федерального закона от 05.04.2013 № 44-ФЗ </w:t>
      </w:r>
      <w:r>
        <w:br/>
        <w:t xml:space="preserve">«О контрактной системе в сфере закупок товаров, работ, услуг для госуд</w:t>
      </w:r>
      <w:r>
        <w:t xml:space="preserve">арственных и муниципальных нужд» Заказчиком приводится обоснование начальной (максимальной) цены контракта посредством применения метода сопоставимых рыночных цен, включающее расчет начальной (максимальной) цены контракта и источники информации о ценах на </w:t>
      </w:r>
      <w:r>
        <w:t xml:space="preserve">приобретение </w:t>
      </w:r>
      <w:r>
        <w:t xml:space="preserve">канцелярских товаров </w:t>
      </w:r>
      <w:r>
        <w:t xml:space="preserve">(далее–</w:t>
      </w:r>
      <w:r>
        <w:t xml:space="preserve">товар</w:t>
      </w:r>
      <w:r>
        <w:t xml:space="preserve">), на основании которых произведен данный расчет. </w:t>
      </w:r>
      <w:r/>
    </w:p>
    <w:p>
      <w:r/>
      <w:r/>
    </w:p>
    <w:p>
      <w:pPr>
        <w:jc w:val="both"/>
      </w:pPr>
      <w:r>
        <w:tab/>
        <w:t xml:space="preserve">Источниками информации о ценах на </w:t>
      </w:r>
      <w:r>
        <w:t xml:space="preserve">Товар</w:t>
      </w:r>
      <w:r>
        <w:t xml:space="preserve">, на основании которых произведен расчет начальной (максимальной) цены контракта, являются данные полученные </w:t>
      </w:r>
      <w:r>
        <w:br/>
      </w:r>
      <w:r>
        <w:t xml:space="preserve">из коммерческих предложений на </w:t>
      </w:r>
      <w:r>
        <w:t xml:space="preserve">приобретение товара:</w:t>
      </w:r>
      <w:r/>
    </w:p>
    <w:p>
      <w:pPr>
        <w:jc w:val="both"/>
      </w:pPr>
      <w:r/>
      <w:r/>
    </w:p>
    <w:p>
      <w:pPr>
        <w:numPr>
          <w:ilvl w:val="0"/>
          <w:numId w:val="1"/>
        </w:numPr>
        <w:jc w:val="both"/>
        <w:rPr>
          <w:u w:val="single"/>
        </w:rPr>
      </w:pPr>
      <w:r>
        <w:t xml:space="preserve">Поставщик № 1 </w:t>
      </w:r>
      <w:r>
        <w:t xml:space="preserve"> </w:t>
      </w:r>
      <w:r>
        <w:rPr>
          <w:u w:val="single"/>
        </w:rPr>
      </w:r>
      <w:r>
        <w:rPr>
          <w:u w:val="single"/>
        </w:rPr>
      </w:r>
    </w:p>
    <w:p>
      <w:pPr>
        <w:numPr>
          <w:ilvl w:val="0"/>
          <w:numId w:val="1"/>
        </w:numPr>
        <w:jc w:val="both"/>
        <w:rPr>
          <w:u w:val="single"/>
        </w:rPr>
      </w:pPr>
      <w:r>
        <w:t xml:space="preserve">Поставщик № 2</w:t>
      </w:r>
      <w:r>
        <w:t xml:space="preserve"> </w:t>
      </w:r>
      <w:r>
        <w:rPr>
          <w:u w:val="single"/>
        </w:rPr>
      </w:r>
      <w:r>
        <w:rPr>
          <w:u w:val="single"/>
        </w:rPr>
      </w:r>
    </w:p>
    <w:p>
      <w:pPr>
        <w:pStyle w:val="840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Поставщик № 3 </w:t>
      </w: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</w:r>
    </w:p>
    <w:p>
      <w:pPr>
        <w:ind w:firstLine="708"/>
        <w:jc w:val="both"/>
      </w:pPr>
      <w:r>
        <w:t xml:space="preserve">Согласно данным, полученным из указанных </w:t>
      </w:r>
      <w:r>
        <w:t xml:space="preserve">источников, </w:t>
      </w:r>
      <w:r>
        <w:t xml:space="preserve">Услуга</w:t>
      </w:r>
      <w:r>
        <w:t xml:space="preserve"> </w:t>
      </w:r>
      <w:r>
        <w:t xml:space="preserve">оказывается</w:t>
      </w:r>
      <w:r>
        <w:t xml:space="preserve"> </w:t>
      </w:r>
      <w:r>
        <w:br/>
      </w:r>
      <w:r>
        <w:t xml:space="preserve">по ценам:</w:t>
      </w:r>
      <w:r/>
    </w:p>
    <w:p>
      <w:pPr>
        <w:ind w:firstLine="708"/>
        <w:jc w:val="both"/>
      </w:pPr>
      <w:r/>
      <w:r/>
    </w:p>
    <w:tbl>
      <w:tblPr>
        <w:tblW w:w="10773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985"/>
        <w:gridCol w:w="1559"/>
        <w:gridCol w:w="1418"/>
        <w:gridCol w:w="1559"/>
        <w:gridCol w:w="1701"/>
      </w:tblGrid>
      <w:tr>
        <w:tblPrEx/>
        <w:trPr>
          <w:trHeight w:val="720"/>
        </w:trPr>
        <w:tc>
          <w:tcPr>
            <w:shd w:val="clear" w:color="auto" w:fill="auto"/>
            <w:tcW w:w="2551" w:type="dxa"/>
            <w:vAlign w:val="center"/>
            <w:textDirection w:val="lrTb"/>
            <w:noWrap w:val="false"/>
          </w:tcPr>
          <w:p>
            <w:pPr>
              <w:ind w:left="-108" w:hanging="34"/>
              <w:jc w:val="center"/>
            </w:pPr>
            <w:r/>
            <w:bookmarkStart w:id="0" w:name="OLE_LINK2"/>
            <w:r>
              <w:rPr>
                <w:sz w:val="22"/>
                <w:szCs w:val="22"/>
              </w:rPr>
              <w:t xml:space="preserve"> Наименование </w:t>
            </w:r>
            <w:r>
              <w:rPr>
                <w:sz w:val="22"/>
                <w:szCs w:val="22"/>
              </w:rPr>
              <w:t xml:space="preserve">товара</w:t>
            </w:r>
            <w:r/>
          </w:p>
        </w:tc>
        <w:tc>
          <w:tcPr>
            <w:shd w:val="clear" w:color="auto" w:fill="auto"/>
            <w:tcW w:w="19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Поставщик </w:t>
            </w:r>
            <w:r/>
          </w:p>
          <w:p>
            <w:pPr>
              <w:jc w:val="center"/>
            </w:pPr>
            <w:r>
              <w:rPr>
                <w:sz w:val="22"/>
                <w:szCs w:val="22"/>
              </w:rPr>
              <w:t xml:space="preserve">№ 1</w:t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Поставщик № 2</w:t>
            </w:r>
            <w:r/>
          </w:p>
        </w:tc>
        <w:tc>
          <w:tcPr>
            <w:shd w:val="clear" w:color="auto" w:fill="auto"/>
            <w:tcW w:w="141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Поставщик № 3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Среднеквадратичное отклонение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Коэффициент вариации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/>
            <w:bookmarkStart w:id="1" w:name="_Hlk207088996"/>
            <w:r>
              <w:t xml:space="preserve">Бумага офисная А4, 80 г/м2, 500 л., марка С, SVETOCOPY CLASSIC, Россия, 146% (CIE)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340,00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r/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345,00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347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3.60555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1,05%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Карандаш </w:t>
            </w:r>
            <w:r>
              <w:t xml:space="preserve">чернографитный ,</w:t>
            </w:r>
            <w:r>
              <w:t xml:space="preserve"> 1 шт., НВ, пластиковый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17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17,50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18,00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0,5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2,86%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Карандаши цветные 24 цвета, шестигранные, 2,8 мм, натуральное дерево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597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600,00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605,00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4.04145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0,67%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Клей канцелярский 125 мл, с силиконовым аппликатором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87.5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88,00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90,00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1.32288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1,49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Корректирующая жидкость, быстросохнущая, 20 мл, с кисточкой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30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32,00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35,00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2.51661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7.78%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Ластик  41</w:t>
            </w:r>
            <w:r>
              <w:t xml:space="preserve">х14х8 мм,  натуральный каучук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25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28,00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30,00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2.51661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9,1%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Ластик  41</w:t>
            </w:r>
            <w:r>
              <w:t xml:space="preserve">х14х8 мм,  натуральный каучук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25.47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26,00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26,50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0.51507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1.98%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Линейка деревянная 40 </w:t>
            </w:r>
            <w:r>
              <w:t xml:space="preserve">см,  канадская</w:t>
            </w:r>
            <w:r>
              <w:t xml:space="preserve"> сосна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40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42,00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45,00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2.51661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5,94%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Набор </w:t>
            </w:r>
            <w:r>
              <w:t xml:space="preserve">текстовыделителей</w:t>
            </w:r>
            <w:r>
              <w:t xml:space="preserve"> 4 ЦВЕТА, линия письма 1-5 мм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200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205,00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210,00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2,44%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Папка для бумаг с завязками картонная мелованная, 280 г/м2, до 200 листов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29.37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30,00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32,00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1.37318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4,51%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Папка-конверт с кнопкой, до 100 листов, прозрачная, 0,15 мм,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57.33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58,00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60,00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1.38911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2,38%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Папки-файлы перфорированные А4 КОМПЛЕКТ 100 шт., гладкие, 30 мкм,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142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145,00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147,00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2.51661</w:t>
            </w:r>
            <w:bookmarkStart w:id="2" w:name="_GoBack"/>
            <w:r/>
            <w:bookmarkEnd w:id="2"/>
            <w:r/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1.74%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Папки-файлы перфорированные А4 КОМПЛЕКТ 100 шт., матовые, 35 мкм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308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310,00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312,00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0,65%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Ручка </w:t>
            </w:r>
            <w:r>
              <w:t xml:space="preserve">шариковая ,</w:t>
            </w:r>
            <w:r>
              <w:t xml:space="preserve"> письмо 750 метров, СИНЯЯ, длина корпуса 14 см, узел 1 мм,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6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t xml:space="preserve">6,50</w:t>
            </w:r>
            <w:r>
              <w:rPr>
                <w:highlight w:val="none"/>
              </w:rPr>
            </w:r>
          </w:p>
          <w:p>
            <w:pPr>
              <w:jc w:val="center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0,5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t xml:space="preserve">7,69%</w:t>
            </w:r>
            <w:r>
              <w:rPr>
                <w:highlight w:val="none"/>
              </w:rPr>
            </w:r>
          </w:p>
          <w:p>
            <w:pPr>
              <w:jc w:val="center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Скоросшиватель картонный, гарантированная плотность 220 г/м2, до 200 л.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17.25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18,00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18,50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0.62915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3,51%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Скоросшиватель пластиковый А4, 130/180 мкм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15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16,00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16,50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0.76376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4,82%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Скобы для степлера №10, 1000 </w:t>
            </w:r>
            <w:r>
              <w:t xml:space="preserve">штук,  до</w:t>
            </w:r>
            <w:r>
              <w:t xml:space="preserve"> 20 листов,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37.56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38,00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38,50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0.47032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1,24%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Скрепки  28</w:t>
            </w:r>
            <w:r>
              <w:t xml:space="preserve"> мм, оцинкованные, 100 шт., в картонной коробке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48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49,00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49,50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0.76376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1,56%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Тетрадь А5, 48 </w:t>
            </w:r>
            <w:r>
              <w:t xml:space="preserve">л.скоба</w:t>
            </w:r>
            <w:r>
              <w:t xml:space="preserve">, клетка, офсет №2 , обложка картон,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31.65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32,00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32,50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0.4272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1,33%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Тетрадь </w:t>
            </w:r>
            <w:r>
              <w:t xml:space="preserve">однотонная  обложка</w:t>
            </w:r>
            <w:r>
              <w:t xml:space="preserve"> 18 л., клетка с полями, офсет №2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10.14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11,00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11,50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0.6879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6,32%</w:t>
            </w:r>
            <w:r/>
          </w:p>
        </w:tc>
      </w:tr>
      <w:tr>
        <w:tblPrEx/>
        <w:trPr/>
        <w:tc>
          <w:tcPr>
            <w:shd w:val="clear" w:color="auto" w:fill="auto"/>
            <w:tcW w:w="2551" w:type="dxa"/>
            <w:textDirection w:val="lrTb"/>
            <w:noWrap w:val="false"/>
          </w:tcPr>
          <w:p>
            <w:r>
              <w:t xml:space="preserve">Тетрадь однотонная обложка 24 л., клетка с полями, офсет №2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12.26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13,00</w:t>
            </w:r>
            <w:r/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13,50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0.62386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4,83%</w:t>
            </w:r>
            <w:bookmarkEnd w:id="0"/>
            <w:r/>
            <w:bookmarkEnd w:id="1"/>
            <w:r/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r>
              <w:t xml:space="preserve">Калькулятор настольный (153х103 мм), 12 разрядов, двойное питание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430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shd w:val="clear" w:color="ffffff" w:fill="ffffff"/>
            <w:tcW w:w="1559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450</w:t>
            </w:r>
            <w:r/>
          </w:p>
        </w:tc>
        <w:tc>
          <w:tcPr>
            <w:shd w:val="clear" w:color="ffffff" w:fill="ffffff"/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t xml:space="preserve">470</w:t>
            </w:r>
            <w:r>
              <w:rPr>
                <w:highlight w:val="none"/>
              </w:rPr>
            </w:r>
          </w:p>
          <w:p>
            <w:pPr>
              <w:jc w:val="center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20</w:t>
            </w:r>
            <w:r/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4,44%</w:t>
            </w:r>
            <w:r/>
          </w:p>
        </w:tc>
      </w:tr>
    </w:tbl>
    <w:p>
      <w:pPr>
        <w:ind w:firstLine="709"/>
      </w:pPr>
      <w:r>
        <w:t xml:space="preserve">Значение коэффициента вариации не превышает 33%, что подтверждает однородность выборки. Следовательно, данные цены можно использовать для расчета НМЦК.</w:t>
      </w:r>
      <w:r/>
    </w:p>
    <w:p>
      <w:pPr>
        <w:rPr>
          <w:highlight w:val="none"/>
        </w:rPr>
      </w:pPr>
      <w:r>
        <w:t xml:space="preserve">Учитывая, что при изучении рынка в сопоставимых экономических условиях на момент оказания Услуги минимальной ценой за </w:t>
      </w:r>
      <w:r>
        <w:t xml:space="preserve">товар</w:t>
      </w:r>
      <w:r>
        <w:t xml:space="preserve"> является цена за</w:t>
      </w:r>
      <w:r>
        <w:t xml:space="preserve"> </w:t>
      </w:r>
      <w:r>
        <w:t xml:space="preserve">единицу </w:t>
      </w:r>
      <w:r>
        <w:t xml:space="preserve">:</w:t>
      </w:r>
      <w:r>
        <w:t xml:space="preserve"> </w:t>
      </w:r>
      <w:r>
        <w:rPr>
          <w:highlight w:val="none"/>
        </w:rPr>
      </w:r>
    </w:p>
    <w:p>
      <w:r/>
      <w:r/>
    </w:p>
    <w:tbl>
      <w:tblPr>
        <w:tblW w:w="10773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985"/>
      </w:tblGrid>
      <w:tr>
        <w:tblPrEx/>
        <w:trPr>
          <w:trHeight w:val="720"/>
        </w:trPr>
        <w:tc>
          <w:tcPr>
            <w:shd w:val="clear" w:color="ffffff" w:fill="ffffff"/>
            <w:tcW w:w="2551" w:type="dxa"/>
            <w:vAlign w:val="center"/>
            <w:textDirection w:val="lrTb"/>
            <w:noWrap w:val="false"/>
          </w:tcPr>
          <w:p>
            <w:pPr>
              <w:ind w:left="-108" w:hanging="34"/>
              <w:jc w:val="center"/>
            </w:pPr>
            <w:r>
              <w:rPr>
                <w:sz w:val="22"/>
                <w:szCs w:val="22"/>
              </w:rPr>
              <w:t xml:space="preserve"> Наименование </w:t>
            </w:r>
            <w:r>
              <w:rPr>
                <w:sz w:val="22"/>
                <w:szCs w:val="22"/>
              </w:rPr>
              <w:t xml:space="preserve">товара</w:t>
            </w:r>
            <w:r/>
          </w:p>
        </w:tc>
        <w:tc>
          <w:tcPr>
            <w:shd w:val="clear" w:color="ffffff" w:fill="ffffff"/>
            <w:tcW w:w="19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Цена за единицу товара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Бумага офисная А4, 80 г/м2, 500 л., марка С, SVETOCOPY CLASSIC, Россия, 146% (CIE)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340,00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Карандаш </w:t>
            </w:r>
            <w:r>
              <w:t xml:space="preserve">чернографитный ,</w:t>
            </w:r>
            <w:r>
              <w:t xml:space="preserve"> 1 шт., НВ, пластиковый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17,00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Карандаши цветные 24 цвета, шестигранные, 2,8 мм, натуральное дерево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597,00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Клей канцелярский 125 мл, с силиконовым аппликатором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87.5</w:t>
            </w:r>
            <w:r/>
          </w:p>
        </w:tc>
      </w:tr>
      <w:tr>
        <w:tblPrEx/>
        <w:trPr>
          <w:trHeight w:val="566"/>
        </w:trPr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Корректирующая жидкость, быстросохнущая, 20 мл, с кисточкой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30,00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Ластик  41</w:t>
            </w:r>
            <w:r>
              <w:t xml:space="preserve">х14х8 мм,  натуральный каучук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25,00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Ластик  41</w:t>
            </w:r>
            <w:r>
              <w:t xml:space="preserve">х14х8 мм,  натуральный каучук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25.47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Линейка деревянная 40 </w:t>
            </w:r>
            <w:r>
              <w:t xml:space="preserve">см,  канадская</w:t>
            </w:r>
            <w:r>
              <w:t xml:space="preserve"> сосна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40,00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Набор </w:t>
            </w:r>
            <w:r>
              <w:t xml:space="preserve">текстовыделителей</w:t>
            </w:r>
            <w:r>
              <w:t xml:space="preserve"> 4 ЦВЕТА, линия письма 1-5 мм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200,00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Папка для бумаг с завязками картонная мелованная, 280 г/м2, до 200 листов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29.37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Папка-конверт с кнопкой, до 100 листов, прозрачная, 0,15 мм,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57.33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Папки-файлы перфорированные А4 КОМПЛЕКТ 100 шт., гладкие, 30 мкм,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142,00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Папки-файлы перфорированные А4 КОМПЛЕКТ 100 шт., матовые, 35 мкм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308,00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Ручка </w:t>
            </w:r>
            <w:r>
              <w:t xml:space="preserve">шариковая ,</w:t>
            </w:r>
            <w:r>
              <w:t xml:space="preserve"> письмо 750 метров, СИНЯЯ, длина корпуса 14 см, узел 1 мм,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6,00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Скоросшиватель картонный, гарантированная плотность 220 г/м2, до 200 л.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17.25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Скоросшиватель пластиковый А4, 130/180 мкм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15,00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Скобы для степлера №10, 1000 </w:t>
            </w:r>
            <w:r>
              <w:t xml:space="preserve">штук,  до</w:t>
            </w:r>
            <w:r>
              <w:t xml:space="preserve"> 20 листов,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37.56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Скрепки  28</w:t>
            </w:r>
            <w:r>
              <w:t xml:space="preserve"> мм, оцинкованные, 100 шт., в картонной коробке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48,00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Тетрадь А5, 48 </w:t>
            </w:r>
            <w:r>
              <w:t xml:space="preserve">л.скоба</w:t>
            </w:r>
            <w:r>
              <w:t xml:space="preserve">, клетка, офсет №2 , обложка картон,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31.65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Тетрадь </w:t>
            </w:r>
            <w:r>
              <w:t xml:space="preserve">однотонная  обложка</w:t>
            </w:r>
            <w:r>
              <w:t xml:space="preserve"> 18 л., клетка с полями, офсет №2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10.14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r>
              <w:t xml:space="preserve">Тетрадь однотонная обложка 24 л., клетка с полями, офсет №2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12.26</w:t>
            </w:r>
            <w:r/>
          </w:p>
        </w:tc>
      </w:tr>
      <w:tr>
        <w:tblPrEx/>
        <w:trPr/>
        <w:tc>
          <w:tcPr>
            <w:shd w:val="clear" w:color="ffffff" w:fill="ffffff"/>
            <w:tcW w:w="2551" w:type="dxa"/>
            <w:vMerge w:val="restart"/>
            <w:textDirection w:val="lrTb"/>
            <w:noWrap w:val="false"/>
          </w:tcPr>
          <w:p>
            <w:r>
              <w:t xml:space="preserve">Калькулятор настольный (153х103 мм), 12 разрядов, двойное питание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457,00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</w:tbl>
    <w:p>
      <w:r/>
      <w:r/>
    </w:p>
    <w:p>
      <w:r/>
      <w:r/>
    </w:p>
    <w:p>
      <w:r>
        <w:rPr>
          <w:highlight w:val="none"/>
        </w:rPr>
      </w:r>
      <w:r>
        <w:rPr>
          <w:highlight w:val="none"/>
        </w:rPr>
      </w:r>
      <w:r/>
    </w:p>
    <w:p>
      <w:r>
        <w:t xml:space="preserve">Эти цены принимаются для расчета начальной (максимальной) цены контракта:</w:t>
      </w:r>
      <w:r/>
    </w:p>
    <w:p>
      <w:pPr>
        <w:rPr>
          <w:b/>
          <w:bCs/>
        </w:rPr>
      </w:pPr>
      <w:r>
        <w:rPr>
          <w:highlight w:val="white"/>
        </w:rPr>
        <w:t xml:space="preserve">(</w:t>
      </w:r>
      <w:r>
        <w:rPr>
          <w:highlight w:val="white"/>
        </w:rPr>
        <w:t xml:space="preserve">340</w:t>
      </w:r>
      <w:r>
        <w:rPr>
          <w:highlight w:val="white"/>
        </w:rPr>
        <w:t xml:space="preserve">руб./шт.*51</w:t>
      </w:r>
      <w:r>
        <w:rPr>
          <w:highlight w:val="white"/>
        </w:rPr>
        <w:t xml:space="preserve"> </w:t>
      </w:r>
      <w:r>
        <w:rPr>
          <w:highlight w:val="white"/>
        </w:rPr>
        <w:t xml:space="preserve">шт.) </w:t>
      </w:r>
      <w:r>
        <w:rPr>
          <w:highlight w:val="white"/>
        </w:rPr>
        <w:t xml:space="preserve">+</w:t>
      </w:r>
      <w:r>
        <w:rPr>
          <w:highlight w:val="white"/>
        </w:rPr>
        <w:t xml:space="preserve">(17</w:t>
      </w:r>
      <w:r>
        <w:rPr>
          <w:highlight w:val="white"/>
        </w:rPr>
        <w:t xml:space="preserve"> руб./шт.*24</w:t>
      </w:r>
      <w:r>
        <w:rPr>
          <w:highlight w:val="white"/>
        </w:rPr>
        <w:t xml:space="preserve"> шт.) +(597</w:t>
      </w:r>
      <w:r>
        <w:rPr>
          <w:highlight w:val="white"/>
        </w:rPr>
        <w:t xml:space="preserve"> руб./шт.*2</w:t>
      </w:r>
      <w:r>
        <w:rPr>
          <w:highlight w:val="white"/>
        </w:rPr>
        <w:t xml:space="preserve"> </w:t>
      </w:r>
      <w:r>
        <w:rPr>
          <w:highlight w:val="white"/>
        </w:rPr>
        <w:t xml:space="preserve">шт.)</w:t>
      </w:r>
      <w:r>
        <w:rPr>
          <w:highlight w:val="white"/>
        </w:rPr>
        <w:t xml:space="preserve"> </w:t>
      </w:r>
      <w:r>
        <w:rPr>
          <w:highlight w:val="white"/>
        </w:rPr>
        <w:t xml:space="preserve">+</w:t>
      </w:r>
      <w:r>
        <w:rPr>
          <w:highlight w:val="white"/>
        </w:rPr>
        <w:t xml:space="preserve">(87,50</w:t>
      </w:r>
      <w:r>
        <w:rPr>
          <w:highlight w:val="white"/>
        </w:rPr>
        <w:t xml:space="preserve">руб./</w:t>
      </w:r>
      <w:r>
        <w:rPr>
          <w:highlight w:val="white"/>
        </w:rPr>
        <w:t xml:space="preserve">шт.</w:t>
      </w:r>
      <w:r>
        <w:rPr>
          <w:highlight w:val="white"/>
        </w:rPr>
        <w:t xml:space="preserve">*10</w:t>
      </w:r>
      <w:r>
        <w:rPr>
          <w:highlight w:val="white"/>
        </w:rPr>
        <w:t xml:space="preserve"> шт.)</w:t>
      </w:r>
      <w:r>
        <w:rPr>
          <w:highlight w:val="white"/>
        </w:rPr>
        <w:t xml:space="preserve"> + </w:t>
      </w:r>
      <w:r>
        <w:rPr>
          <w:highlight w:val="white"/>
        </w:rPr>
        <w:t xml:space="preserve">(</w:t>
      </w:r>
      <w:r>
        <w:rPr>
          <w:highlight w:val="white"/>
        </w:rPr>
        <w:t xml:space="preserve">30</w:t>
      </w:r>
      <w:r>
        <w:rPr>
          <w:highlight w:val="white"/>
        </w:rPr>
        <w:t xml:space="preserve"> руб./</w:t>
      </w:r>
      <w:r>
        <w:rPr>
          <w:highlight w:val="white"/>
        </w:rPr>
        <w:t xml:space="preserve">шт</w:t>
      </w:r>
      <w:r>
        <w:rPr>
          <w:highlight w:val="white"/>
        </w:rPr>
        <w:t xml:space="preserve">* 12</w:t>
      </w:r>
      <w:r>
        <w:rPr>
          <w:highlight w:val="white"/>
        </w:rPr>
        <w:t xml:space="preserve">шт.</w:t>
      </w:r>
      <w:r>
        <w:rPr>
          <w:highlight w:val="white"/>
        </w:rPr>
        <w:t xml:space="preserve">) +</w:t>
      </w:r>
      <w:r>
        <w:rPr>
          <w:highlight w:val="white"/>
        </w:rPr>
        <w:t xml:space="preserve">(25</w:t>
      </w:r>
      <w:r>
        <w:rPr>
          <w:highlight w:val="white"/>
        </w:rPr>
        <w:t xml:space="preserve"> </w:t>
      </w:r>
      <w:r>
        <w:rPr>
          <w:highlight w:val="white"/>
        </w:rPr>
        <w:t xml:space="preserve">руб./шт</w:t>
      </w:r>
      <w:r>
        <w:rPr>
          <w:highlight w:val="white"/>
        </w:rPr>
        <w:t xml:space="preserve">.</w:t>
      </w:r>
      <w:r>
        <w:rPr>
          <w:highlight w:val="white"/>
        </w:rPr>
        <w:t xml:space="preserve">*13</w:t>
      </w:r>
      <w:r>
        <w:rPr>
          <w:highlight w:val="white"/>
        </w:rPr>
        <w:t xml:space="preserve"> </w:t>
      </w:r>
      <w:r>
        <w:rPr>
          <w:highlight w:val="white"/>
        </w:rPr>
        <w:t xml:space="preserve">шт.) </w:t>
      </w:r>
      <w:r>
        <w:rPr>
          <w:highlight w:val="white"/>
        </w:rPr>
        <w:t xml:space="preserve">+</w:t>
      </w:r>
      <w:r>
        <w:rPr>
          <w:highlight w:val="white"/>
        </w:rPr>
        <w:t xml:space="preserve"> </w:t>
      </w:r>
      <w:r>
        <w:rPr>
          <w:highlight w:val="white"/>
        </w:rPr>
        <w:t xml:space="preserve">(</w:t>
      </w:r>
      <w:r>
        <w:rPr>
          <w:highlight w:val="white"/>
        </w:rPr>
        <w:t xml:space="preserve">25,47</w:t>
      </w:r>
      <w:r>
        <w:rPr>
          <w:highlight w:val="white"/>
        </w:rPr>
        <w:t xml:space="preserve"> руб./шт.*1</w:t>
      </w:r>
      <w:r>
        <w:rPr>
          <w:highlight w:val="white"/>
        </w:rPr>
        <w:t xml:space="preserve"> шт.)</w:t>
      </w:r>
      <w:r>
        <w:rPr>
          <w:highlight w:val="white"/>
        </w:rPr>
        <w:t xml:space="preserve">+</w:t>
      </w:r>
      <w:r>
        <w:rPr>
          <w:highlight w:val="white"/>
        </w:rPr>
        <w:t xml:space="preserve"> </w:t>
      </w:r>
      <w:r>
        <w:rPr>
          <w:highlight w:val="white"/>
        </w:rPr>
        <w:t xml:space="preserve">(40</w:t>
      </w:r>
      <w:r>
        <w:rPr>
          <w:highlight w:val="white"/>
        </w:rPr>
        <w:t xml:space="preserve"> </w:t>
      </w:r>
      <w:r>
        <w:rPr>
          <w:highlight w:val="white"/>
        </w:rPr>
        <w:t xml:space="preserve">руб./шт.*14</w:t>
      </w:r>
      <w:r>
        <w:rPr>
          <w:highlight w:val="white"/>
        </w:rPr>
        <w:t xml:space="preserve"> шт</w:t>
      </w:r>
      <w:r>
        <w:rPr>
          <w:highlight w:val="white"/>
        </w:rPr>
        <w:t xml:space="preserve">.</w:t>
      </w:r>
      <w:r>
        <w:rPr>
          <w:highlight w:val="white"/>
        </w:rPr>
        <w:t xml:space="preserve">)+</w:t>
      </w:r>
      <w:r>
        <w:rPr>
          <w:highlight w:val="white"/>
        </w:rPr>
        <w:t xml:space="preserve"> </w:t>
      </w:r>
      <w:r>
        <w:rPr>
          <w:highlight w:val="white"/>
        </w:rPr>
        <w:t xml:space="preserve">(</w:t>
      </w:r>
      <w:r>
        <w:rPr>
          <w:highlight w:val="white"/>
        </w:rPr>
        <w:t xml:space="preserve">200</w:t>
      </w:r>
      <w:r>
        <w:rPr>
          <w:highlight w:val="white"/>
        </w:rPr>
        <w:t xml:space="preserve">руб./шт.* 2</w:t>
      </w:r>
      <w:r>
        <w:rPr>
          <w:highlight w:val="white"/>
        </w:rPr>
        <w:t xml:space="preserve"> шт</w:t>
      </w:r>
      <w:r>
        <w:rPr>
          <w:highlight w:val="white"/>
        </w:rPr>
        <w:t xml:space="preserve">.</w:t>
      </w:r>
      <w:r>
        <w:rPr>
          <w:highlight w:val="white"/>
        </w:rPr>
        <w:t xml:space="preserve">)</w:t>
      </w:r>
      <w:r>
        <w:rPr>
          <w:highlight w:val="white"/>
        </w:rPr>
        <w:t xml:space="preserve">+ </w:t>
      </w:r>
      <w:r>
        <w:rPr>
          <w:highlight w:val="white"/>
        </w:rPr>
        <w:t xml:space="preserve">(29,37</w:t>
      </w:r>
      <w:r>
        <w:rPr>
          <w:highlight w:val="white"/>
        </w:rPr>
        <w:t xml:space="preserve"> руб./шт.*50</w:t>
      </w:r>
      <w:r>
        <w:rPr>
          <w:highlight w:val="white"/>
        </w:rPr>
        <w:t xml:space="preserve"> шт</w:t>
      </w:r>
      <w:r>
        <w:rPr>
          <w:highlight w:val="white"/>
        </w:rPr>
        <w:t xml:space="preserve">.</w:t>
      </w:r>
      <w:r>
        <w:rPr>
          <w:highlight w:val="white"/>
        </w:rPr>
        <w:t xml:space="preserve">)</w:t>
      </w:r>
      <w:r>
        <w:rPr>
          <w:highlight w:val="white"/>
        </w:rPr>
        <w:t xml:space="preserve">+</w:t>
      </w:r>
      <w:r>
        <w:rPr>
          <w:highlight w:val="white"/>
        </w:rPr>
        <w:t xml:space="preserve">(57,33 руб./шт.*10шт.)+</w:t>
      </w:r>
      <w:r>
        <w:rPr>
          <w:highlight w:val="white"/>
        </w:rPr>
        <w:t xml:space="preserve">(142 руб./шт*3 шт</w:t>
      </w:r>
      <w:r>
        <w:rPr>
          <w:highlight w:val="white"/>
        </w:rPr>
        <w:t xml:space="preserve">)+</w:t>
      </w:r>
      <w:r>
        <w:rPr>
          <w:highlight w:val="white"/>
        </w:rPr>
        <w:t xml:space="preserve">(</w:t>
      </w:r>
      <w:r>
        <w:rPr>
          <w:highlight w:val="white"/>
        </w:rPr>
        <w:t xml:space="preserve">308руб./шт*3 шт)+</w:t>
      </w:r>
      <w:r>
        <w:rPr>
          <w:highlight w:val="white"/>
        </w:rPr>
        <w:t xml:space="preserve">(6 руб./шт*50 </w:t>
      </w:r>
      <w:r>
        <w:rPr>
          <w:highlight w:val="white"/>
        </w:rPr>
        <w:t xml:space="preserve">шт)+</w:t>
      </w:r>
      <w:r>
        <w:rPr>
          <w:highlight w:val="white"/>
        </w:rPr>
        <w:t xml:space="preserve">(17,25 руб./шт*20 шт)</w:t>
      </w:r>
      <w:r>
        <w:rPr>
          <w:highlight w:val="white"/>
        </w:rPr>
        <w:t xml:space="preserve">+</w:t>
      </w:r>
      <w:r>
        <w:rPr>
          <w:highlight w:val="white"/>
        </w:rPr>
        <w:t xml:space="preserve">(</w:t>
      </w:r>
      <w:r>
        <w:rPr>
          <w:highlight w:val="white"/>
        </w:rPr>
        <w:t xml:space="preserve">15 руб./шт*20 шт)+</w:t>
      </w:r>
      <w:r>
        <w:rPr>
          <w:highlight w:val="white"/>
        </w:rPr>
        <w:t xml:space="preserve">(37,56 руб./шт*5 шт</w:t>
      </w:r>
      <w:r>
        <w:rPr>
          <w:highlight w:val="white"/>
        </w:rPr>
        <w:t xml:space="preserve">)+</w:t>
      </w:r>
      <w:r>
        <w:rPr>
          <w:highlight w:val="white"/>
        </w:rPr>
        <w:t xml:space="preserve">(</w:t>
      </w:r>
      <w:r>
        <w:rPr>
          <w:highlight w:val="white"/>
        </w:rPr>
        <w:t xml:space="preserve">48 руб./шт*10 </w:t>
      </w:r>
      <w:r>
        <w:t xml:space="preserve">шт)+</w:t>
      </w:r>
      <w:r>
        <w:t xml:space="preserve">(31,65руб./шт*160 шт)+</w:t>
      </w:r>
      <w:r>
        <w:t xml:space="preserve">(10,14руб./шт*320 шт)+</w:t>
      </w:r>
      <w:r>
        <w:t xml:space="preserve">(12,26руб./шт*480 шт)+</w:t>
      </w:r>
      <w:r>
        <w:t xml:space="preserve">(457руб./шт*1 шт)=17340,00+</w:t>
      </w:r>
      <w:r>
        <w:t xml:space="preserve">408,00+1194,00+875,00+360,00+325,00+25,47+560,00+400,00+1468,50+573,30+426,00+924,00+300,00+345,00+300,00+187,80+480,00+5064,00+3244,80+5884,80+457,00=</w:t>
      </w:r>
      <w:r>
        <w:rPr>
          <w:b/>
          <w:bCs/>
        </w:rPr>
        <w:t xml:space="preserve">41 142,67</w:t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highlight w:val="none"/>
        </w:rPr>
      </w:r>
      <w:r>
        <w:rPr>
          <w:highlight w:val="none"/>
        </w:rPr>
      </w:r>
      <w:r>
        <w:rPr>
          <w:b/>
          <w:bCs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t xml:space="preserve">Таким образом, начальная (максимал</w:t>
      </w:r>
      <w:r>
        <w:t xml:space="preserve">ьная) цена контракта составляет 41 142</w:t>
      </w:r>
      <w:r>
        <w:t xml:space="preserve"> </w:t>
      </w:r>
      <w:r>
        <w:t xml:space="preserve">рублей </w:t>
      </w:r>
      <w:r>
        <w:t xml:space="preserve">67 </w:t>
      </w:r>
      <w:r>
        <w:t xml:space="preserve">копеек</w:t>
      </w:r>
      <w:r>
        <w:rPr>
          <w:b/>
        </w:rPr>
      </w:r>
      <w:r>
        <w:rPr>
          <w:highlight w:val="none"/>
        </w:rPr>
      </w:r>
    </w:p>
    <w:p>
      <w:pPr>
        <w:ind w:firstLine="708"/>
        <w:jc w:val="both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>
        <w:instrText xml:space="preserve">Excel.Sheet.12 "D:\\Бухгалтерия\\Договора 2021 года\\Книги\\Счет.xlsx" TDSheet!R18C3:R28C3 </w:instrText>
      </w:r>
      <w:r>
        <w:instrText xml:space="preserve">\a \f 5 \h  \* MERGEFORMAT </w:instrText>
      </w:r>
      <w:r>
        <w:fldChar w:fldCharType="separate"/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</w:p>
    <w:p>
      <w:pPr>
        <w:ind w:firstLine="708"/>
        <w:jc w:val="both"/>
      </w:pPr>
      <w:r>
        <w:fldChar w:fldCharType="end"/>
      </w:r>
      <w:r>
        <w:t xml:space="preserve"> </w:t>
      </w:r>
      <w:r/>
    </w:p>
    <w:sectPr>
      <w:footnotePr/>
      <w:endnotePr/>
      <w:type w:val="nextPage"/>
      <w:pgSz w:w="11906" w:h="16838" w:orient="portrait"/>
      <w:pgMar w:top="284" w:right="424" w:bottom="1134" w:left="70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3"/>
    <w:next w:val="833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5"/>
    <w:link w:val="658"/>
    <w:uiPriority w:val="9"/>
    <w:rPr>
      <w:rFonts w:ascii="Arial" w:hAnsi="Arial" w:eastAsia="Arial" w:cs="Arial"/>
      <w:sz w:val="40"/>
      <w:szCs w:val="40"/>
    </w:rPr>
  </w:style>
  <w:style w:type="character" w:styleId="660">
    <w:name w:val="Heading 2 Char"/>
    <w:basedOn w:val="835"/>
    <w:link w:val="834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basedOn w:val="835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basedOn w:val="835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basedOn w:val="835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basedOn w:val="835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basedOn w:val="835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basedOn w:val="835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basedOn w:val="835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5"/>
    <w:link w:val="684"/>
    <w:uiPriority w:val="99"/>
  </w:style>
  <w:style w:type="paragraph" w:styleId="686">
    <w:name w:val="Footer"/>
    <w:basedOn w:val="833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5"/>
    <w:link w:val="686"/>
    <w:uiPriority w:val="99"/>
  </w:style>
  <w:style w:type="paragraph" w:styleId="688">
    <w:name w:val="Caption"/>
    <w:basedOn w:val="833"/>
    <w:next w:val="833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835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5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5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34">
    <w:name w:val="Heading 2"/>
    <w:basedOn w:val="833"/>
    <w:next w:val="833"/>
    <w:link w:val="841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Body Text 2"/>
    <w:basedOn w:val="833"/>
    <w:link w:val="839"/>
    <w:pPr>
      <w:spacing w:after="120" w:line="480" w:lineRule="auto"/>
    </w:pPr>
  </w:style>
  <w:style w:type="character" w:styleId="839" w:customStyle="1">
    <w:name w:val="Основной текст 2 Знак"/>
    <w:basedOn w:val="835"/>
    <w:link w:val="83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0">
    <w:name w:val="List Paragraph"/>
    <w:basedOn w:val="833"/>
    <w:uiPriority w:val="34"/>
    <w:qFormat/>
    <w:pPr>
      <w:contextualSpacing/>
      <w:ind w:left="720" w:firstLine="709"/>
      <w:jc w:val="both"/>
      <w:shd w:val="clear" w:color="auto" w:fill="ffffff"/>
      <w:widowControl w:val="off"/>
    </w:pPr>
    <w:rPr>
      <w:sz w:val="22"/>
      <w:szCs w:val="22"/>
    </w:rPr>
  </w:style>
  <w:style w:type="character" w:styleId="841" w:customStyle="1">
    <w:name w:val="Заголовок 2 Знак"/>
    <w:basedOn w:val="835"/>
    <w:link w:val="834"/>
    <w:rPr>
      <w:rFonts w:ascii="Cambria" w:hAnsi="Cambria" w:eastAsia="Times New Roman" w:cs="Times New Roman"/>
      <w:b/>
      <w:bCs/>
      <w:i/>
      <w:iCs/>
      <w:sz w:val="28"/>
      <w:szCs w:val="28"/>
      <w:lang w:eastAsia="ru-RU"/>
    </w:rPr>
  </w:style>
  <w:style w:type="paragraph" w:styleId="842" w:customStyle="1">
    <w:name w:val="Обычный2"/>
    <w:pPr>
      <w:ind w:left="280" w:firstLine="709"/>
      <w:spacing w:after="0" w:line="28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43">
    <w:name w:val="Balloon Text"/>
    <w:basedOn w:val="833"/>
    <w:link w:val="84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4" w:customStyle="1">
    <w:name w:val="Текст выноски Знак"/>
    <w:basedOn w:val="835"/>
    <w:link w:val="843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45">
    <w:name w:val="Table Grid"/>
    <w:basedOn w:val="83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Grizli777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</dc:creator>
  <cp:lastModifiedBy>user</cp:lastModifiedBy>
  <cp:revision>4</cp:revision>
  <dcterms:created xsi:type="dcterms:W3CDTF">2026-07-20T04:46:00Z</dcterms:created>
  <dcterms:modified xsi:type="dcterms:W3CDTF">2026-07-20T06:47:57Z</dcterms:modified>
</cp:coreProperties>
</file>