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4000000">
      <w:pPr>
        <w:pStyle w:val="Style_3"/>
        <w:spacing w:after="0" w:before="0"/>
        <w:ind/>
        <w:rPr>
          <w:rFonts w:ascii="Serif" w:hAnsi="Serif"/>
          <w:color w:themeColor="text1" w:val="000000"/>
          <w:sz w:val="24"/>
        </w:rPr>
      </w:pPr>
      <w:r>
        <w:rPr>
          <w:rFonts w:ascii="Serif" w:hAnsi="Serif"/>
          <w:color w:themeColor="text1" w:val="000000"/>
          <w:sz w:val="24"/>
        </w:rPr>
        <w:t>ГОСУДАРСТВЕННЫЙ КОНТРАКТ № _______</w:t>
      </w:r>
    </w:p>
    <w:p w14:paraId="05000000">
      <w:pPr>
        <w:pStyle w:val="Style_3"/>
        <w:spacing w:after="0" w:before="0"/>
        <w:ind/>
        <w:rPr>
          <w:rFonts w:ascii="Serif" w:hAnsi="Serif"/>
          <w:color w:themeColor="text1" w:val="000000"/>
          <w:sz w:val="24"/>
        </w:rPr>
      </w:pPr>
      <w:r>
        <w:rPr>
          <w:rFonts w:ascii="Serif" w:hAnsi="Serif"/>
          <w:color w:themeColor="text1" w:val="000000"/>
          <w:sz w:val="24"/>
        </w:rPr>
        <w:t>НА ОКАЗАНИЕ УСЛУГ</w:t>
      </w:r>
    </w:p>
    <w:p w14:paraId="06000000">
      <w:pPr>
        <w:pStyle w:val="Style_1"/>
        <w:rPr>
          <w:rFonts w:ascii="Serif" w:hAnsi="Serif"/>
          <w:color w:themeColor="text1" w:val="000000"/>
          <w:sz w:val="24"/>
        </w:rPr>
      </w:pPr>
    </w:p>
    <w:tbl>
      <w:tblPr>
        <w:tblStyle w:val="Style_4"/>
        <w:tblW w:type="auto" w:w="0"/>
        <w:jc w:val="left"/>
        <w:tblInd w:type="dxa" w:w="108"/>
        <w:tblLayout w:type="fixed"/>
        <w:tblCellMar>
          <w:top w:type="dxa" w:w="0"/>
          <w:left w:type="dxa" w:w="108"/>
          <w:bottom w:type="dxa" w:w="0"/>
          <w:right w:type="dxa" w:w="108"/>
        </w:tblCellMar>
      </w:tblPr>
      <w:tblGrid>
        <w:gridCol w:w="6382"/>
        <w:gridCol w:w="3817"/>
      </w:tblGrid>
      <w:tr>
        <w:tc>
          <w:tcPr>
            <w:tcW w:type="dxa" w:w="6382"/>
            <w:tcMar>
              <w:top w:type="dxa" w:w="0"/>
              <w:left w:type="dxa" w:w="108"/>
              <w:bottom w:type="dxa" w:w="0"/>
              <w:right w:type="dxa" w:w="108"/>
            </w:tcMar>
          </w:tcPr>
          <w:p w14:paraId="07000000">
            <w:pPr>
              <w:pStyle w:val="Style_5"/>
              <w:spacing w:after="0" w:before="0" w:line="240" w:lineRule="auto"/>
              <w:ind w:firstLine="0" w:left="0" w:right="0"/>
              <w:rPr>
                <w:rFonts w:ascii="Serif" w:hAnsi="Serif"/>
                <w:color w:themeColor="text1" w:val="000000"/>
                <w:sz w:val="24"/>
              </w:rPr>
            </w:pPr>
            <w:r>
              <w:rPr>
                <w:rFonts w:ascii="Serif" w:hAnsi="Serif"/>
                <w:color w:themeColor="text1" w:val="000000"/>
                <w:spacing w:val="0"/>
                <w:sz w:val="24"/>
              </w:rPr>
              <w:t>г. Ялуторовск</w:t>
            </w:r>
          </w:p>
        </w:tc>
        <w:tc>
          <w:tcPr>
            <w:tcW w:type="dxa" w:w="3817"/>
            <w:tcMar>
              <w:top w:type="dxa" w:w="0"/>
              <w:left w:type="dxa" w:w="108"/>
              <w:bottom w:type="dxa" w:w="0"/>
              <w:right w:type="dxa" w:w="108"/>
            </w:tcMar>
          </w:tcPr>
          <w:p w14:paraId="08000000">
            <w:pPr>
              <w:pStyle w:val="Style_6"/>
              <w:spacing w:after="0" w:before="0" w:line="240" w:lineRule="auto"/>
              <w:ind w:firstLine="0" w:left="0" w:right="0"/>
              <w:jc w:val="right"/>
              <w:rPr>
                <w:rFonts w:ascii="Serif" w:hAnsi="Serif"/>
                <w:color w:themeColor="text1" w:val="000000"/>
                <w:sz w:val="24"/>
              </w:rPr>
            </w:pPr>
            <w:r>
              <w:rPr>
                <w:rFonts w:ascii="Serif" w:hAnsi="Serif"/>
                <w:color w:themeColor="text1" w:val="000000"/>
                <w:spacing w:val="0"/>
                <w:sz w:val="24"/>
              </w:rPr>
              <w:t>«___»________20__ г.</w:t>
            </w:r>
          </w:p>
        </w:tc>
      </w:tr>
    </w:tbl>
    <w:p w14:paraId="09000000">
      <w:pPr>
        <w:pStyle w:val="Style_1"/>
        <w:rPr>
          <w:rFonts w:ascii="Serif" w:hAnsi="Serif"/>
          <w:sz w:val="24"/>
        </w:rPr>
      </w:pPr>
    </w:p>
    <w:p w14:paraId="0A000000">
      <w:pPr>
        <w:pStyle w:val="Style_1"/>
        <w:rPr>
          <w:rFonts w:ascii="Serif" w:hAnsi="Serif"/>
          <w:sz w:val="24"/>
          <w:u w:val="single"/>
        </w:rPr>
      </w:pPr>
      <w:r>
        <w:rPr>
          <w:rFonts w:ascii="Serif" w:hAnsi="Serif"/>
          <w:b w:val="1"/>
          <w:sz w:val="24"/>
        </w:rPr>
        <w:t>Федеральное казенное учреждение «Центр хранения страхового фонда» (ЦХСФ)</w:t>
      </w:r>
      <w:r>
        <w:rPr>
          <w:rFonts w:ascii="Serif" w:hAnsi="Serif"/>
          <w:sz w:val="24"/>
        </w:rPr>
        <w:t xml:space="preserve"> в лице директора Васильева Дмитрия Сергеевича, действующего на основании Устава, именуемое в дальнейшем </w:t>
      </w:r>
      <w:r>
        <w:rPr>
          <w:rFonts w:ascii="Serif" w:hAnsi="Serif"/>
          <w:b w:val="1"/>
          <w:sz w:val="24"/>
        </w:rPr>
        <w:t>"Заказчик"</w:t>
      </w:r>
      <w:r>
        <w:rPr>
          <w:rFonts w:ascii="Serif" w:hAnsi="Serif"/>
          <w:sz w:val="24"/>
        </w:rPr>
        <w:t>, с одной стороны и</w:t>
      </w:r>
      <w:r>
        <w:rPr>
          <w:rFonts w:ascii="Serif" w:hAnsi="Serif"/>
          <w:sz w:val="24"/>
          <w:u w:val="none"/>
        </w:rPr>
        <w:t xml:space="preserve"> </w:t>
      </w:r>
      <w:r>
        <w:rPr>
          <w:rFonts w:ascii="Serif" w:hAnsi="Serif"/>
          <w:sz w:val="24"/>
        </w:rPr>
        <w:t xml:space="preserve">_________________________ в лице _____________, действующего на основании _____________________, именуемое в дальнейшем </w:t>
      </w:r>
      <w:r>
        <w:rPr>
          <w:rFonts w:ascii="Serif" w:hAnsi="Serif"/>
          <w:b w:val="1"/>
          <w:sz w:val="24"/>
        </w:rPr>
        <w:t>"Исполнитель"</w:t>
      </w:r>
      <w:r>
        <w:rPr>
          <w:rFonts w:ascii="Serif" w:hAnsi="Serif"/>
          <w:sz w:val="24"/>
        </w:rPr>
        <w:t xml:space="preserve">, с другой стороны, а вместе </w:t>
      </w:r>
      <w:r>
        <w:rPr>
          <w:rFonts w:ascii="Serif" w:hAnsi="Serif"/>
          <w:color w:themeColor="text1" w:val="000000"/>
          <w:sz w:val="24"/>
        </w:rPr>
        <w:t>именуемые "Стороны", в соответствии с пунктом 5 части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ИКЗ ______________________________ заключили настоящий  государственный контракт на оказание услуг по поверке (далее – Контракт) о нижеследующем:</w:t>
      </w:r>
    </w:p>
    <w:p w14:paraId="0B000000">
      <w:pPr>
        <w:pStyle w:val="Style_3"/>
        <w:rPr>
          <w:rFonts w:ascii="Serif" w:hAnsi="Serif"/>
          <w:color w:themeColor="text1" w:val="000000"/>
          <w:sz w:val="24"/>
        </w:rPr>
      </w:pPr>
      <w:bookmarkStart w:id="1" w:name="sub_1"/>
      <w:r>
        <w:rPr>
          <w:rFonts w:ascii="Serif" w:hAnsi="Serif"/>
          <w:color w:themeColor="text1" w:val="000000"/>
          <w:sz w:val="24"/>
        </w:rPr>
        <w:t>1. ПРЕДМЕТ КОНТРАКТА</w:t>
      </w:r>
      <w:bookmarkEnd w:id="1"/>
    </w:p>
    <w:p w14:paraId="0C000000">
      <w:pPr>
        <w:pStyle w:val="Style_1"/>
        <w:rPr>
          <w:rFonts w:ascii="Serif" w:hAnsi="Serif"/>
          <w:b w:val="1"/>
          <w:sz w:val="24"/>
        </w:rPr>
      </w:pPr>
      <w:bookmarkStart w:id="2" w:name="sub_11"/>
      <w:r>
        <w:rPr>
          <w:rFonts w:ascii="Serif" w:hAnsi="Serif"/>
          <w:color w:themeColor="text1" w:val="000000"/>
          <w:sz w:val="24"/>
        </w:rPr>
        <w:t xml:space="preserve">1.1. </w:t>
      </w:r>
      <w:bookmarkStart w:id="3" w:name="sub_12"/>
      <w:bookmarkEnd w:id="2"/>
      <w:r>
        <w:rPr>
          <w:rFonts w:ascii="Serif" w:hAnsi="Serif"/>
          <w:color w:themeColor="text1" w:val="000000"/>
          <w:sz w:val="24"/>
        </w:rPr>
        <w:t xml:space="preserve">Исполнитель обязуется в установленный настоящим Контрактом срок по заданию Заказчика </w:t>
      </w:r>
      <w:r>
        <w:rPr>
          <w:rFonts w:ascii="Serif" w:hAnsi="Serif"/>
          <w:b w:val="1"/>
          <w:sz w:val="24"/>
        </w:rPr>
        <w:t xml:space="preserve">оказать услуги в области метрологии (услуги по испытаниям, поверке и калибровке средств измерений) для нужд федерального казенного учреждения «Центр хранения страхового фонда» </w:t>
      </w:r>
      <w:r>
        <w:rPr>
          <w:rFonts w:ascii="Serif" w:hAnsi="Serif"/>
          <w:b w:val="0"/>
          <w:sz w:val="24"/>
        </w:rPr>
        <w:t>(далее - Услуги)</w:t>
      </w:r>
      <w:r>
        <w:rPr>
          <w:rFonts w:ascii="Serif" w:hAnsi="Serif"/>
          <w:b w:val="0"/>
          <w:color w:themeColor="text1" w:val="000000"/>
          <w:sz w:val="24"/>
        </w:rPr>
        <w:t>,</w:t>
      </w:r>
      <w:r>
        <w:rPr>
          <w:rFonts w:ascii="Serif" w:hAnsi="Serif"/>
          <w:b w:val="1"/>
          <w:color w:themeColor="text1" w:val="000000"/>
          <w:sz w:val="24"/>
        </w:rPr>
        <w:t xml:space="preserve"> </w:t>
      </w:r>
      <w:r>
        <w:rPr>
          <w:rFonts w:ascii="Serif" w:hAnsi="Serif"/>
          <w:color w:themeColor="text1" w:val="000000"/>
          <w:sz w:val="24"/>
        </w:rPr>
        <w:t>а Заказчик обязуется оплатить эти услуги.</w:t>
      </w:r>
    </w:p>
    <w:p w14:paraId="0D000000">
      <w:pPr>
        <w:pStyle w:val="Style_1"/>
        <w:rPr>
          <w:rFonts w:ascii="Serif" w:hAnsi="Serif"/>
          <w:color w:themeColor="text1" w:val="000000"/>
          <w:sz w:val="24"/>
        </w:rPr>
      </w:pPr>
      <w:bookmarkStart w:id="4" w:name="sub_13"/>
      <w:bookmarkEnd w:id="4"/>
      <w:bookmarkEnd w:id="3"/>
      <w:r>
        <w:rPr>
          <w:rFonts w:ascii="Serif" w:hAnsi="Serif"/>
          <w:color w:themeColor="text1" w:val="000000"/>
          <w:sz w:val="24"/>
        </w:rPr>
        <w:t xml:space="preserve">1.2. </w:t>
      </w:r>
      <w:r>
        <w:rPr>
          <w:rFonts w:ascii="Serif" w:hAnsi="Serif"/>
          <w:b w:val="0"/>
          <w:color w:themeColor="text1" w:val="000000"/>
          <w:sz w:val="24"/>
        </w:rPr>
        <w:t>Перечень и объем оказываемых Заказчику услуг, а также требования к порядку их оказания определены в Техническом задании (Приложение № 1 к настоящему Контракту)</w:t>
      </w:r>
      <w:r>
        <w:rPr>
          <w:rFonts w:ascii="Serif" w:hAnsi="Serif"/>
          <w:color w:themeColor="text1" w:val="000000"/>
          <w:sz w:val="24"/>
        </w:rPr>
        <w:t xml:space="preserve"> </w:t>
      </w:r>
    </w:p>
    <w:p w14:paraId="0E000000">
      <w:pPr>
        <w:pStyle w:val="Style_1"/>
        <w:rPr>
          <w:rFonts w:ascii="Serif" w:hAnsi="Serif"/>
          <w:color w:themeColor="text1" w:val="000000"/>
          <w:sz w:val="24"/>
        </w:rPr>
      </w:pPr>
      <w:bookmarkStart w:id="5" w:name="sub_14"/>
      <w:bookmarkEnd w:id="5"/>
      <w:bookmarkStart w:id="6" w:name="sub_13_Копия_1"/>
      <w:bookmarkEnd w:id="6"/>
      <w:r>
        <w:rPr>
          <w:rFonts w:ascii="Serif" w:hAnsi="Serif"/>
          <w:color w:themeColor="text1" w:val="000000"/>
          <w:sz w:val="24"/>
        </w:rPr>
        <w:t xml:space="preserve">1.3. </w:t>
      </w:r>
      <w:r>
        <w:rPr>
          <w:rFonts w:ascii="Serif" w:hAnsi="Serif"/>
          <w:color w:val="FF0000"/>
          <w:sz w:val="24"/>
        </w:rPr>
        <w:t>Услуги оказываются по месту нахождения Исполнителя по адресу:</w:t>
      </w:r>
      <w:r>
        <w:rPr>
          <w:rFonts w:ascii="Serif" w:hAnsi="Serif"/>
          <w:color w:themeColor="text1" w:val="000000"/>
          <w:sz w:val="24"/>
        </w:rPr>
        <w:t xml:space="preserve"> ________________.</w:t>
      </w:r>
    </w:p>
    <w:p w14:paraId="0F000000">
      <w:pPr>
        <w:pStyle w:val="Style_1"/>
        <w:rPr>
          <w:rFonts w:ascii="Serif" w:hAnsi="Serif"/>
          <w:color w:themeColor="text1" w:val="000000"/>
          <w:sz w:val="24"/>
        </w:rPr>
      </w:pPr>
      <w:bookmarkStart w:id="7" w:name="sub_15"/>
      <w:bookmarkStart w:id="8" w:name="sub_14_Копия_1"/>
      <w:bookmarkEnd w:id="8"/>
      <w:r>
        <w:rPr>
          <w:rFonts w:ascii="Serif" w:hAnsi="Serif"/>
          <w:color w:themeColor="text1" w:val="000000"/>
          <w:sz w:val="24"/>
        </w:rPr>
        <w:t xml:space="preserve">1.4. Срок оказания услуг: </w:t>
      </w:r>
      <w:r>
        <w:rPr>
          <w:rFonts w:ascii="Serif" w:hAnsi="Serif"/>
          <w:b w:val="1"/>
          <w:color w:themeColor="text1" w:val="000000"/>
          <w:sz w:val="24"/>
        </w:rPr>
        <w:t xml:space="preserve">с даты заключения Контракта по </w:t>
      </w:r>
      <w:r>
        <w:rPr>
          <w:rFonts w:ascii="Serif" w:hAnsi="Serif"/>
          <w:b w:val="1"/>
          <w:color w:val="FF0000"/>
          <w:sz w:val="24"/>
        </w:rPr>
        <w:t>31 июля 2026 г.</w:t>
      </w:r>
      <w:bookmarkEnd w:id="7"/>
    </w:p>
    <w:p w14:paraId="10000000">
      <w:pPr>
        <w:pStyle w:val="Style_3"/>
        <w:rPr>
          <w:rFonts w:ascii="Serif" w:hAnsi="Serif"/>
          <w:color w:themeColor="text1" w:val="000000"/>
          <w:sz w:val="24"/>
        </w:rPr>
      </w:pPr>
      <w:bookmarkStart w:id="9" w:name="sub_2"/>
      <w:r>
        <w:rPr>
          <w:rFonts w:ascii="Serif" w:hAnsi="Serif"/>
          <w:color w:themeColor="text1" w:val="000000"/>
          <w:sz w:val="24"/>
        </w:rPr>
        <w:t>2. ПРАВА И ОБЯЗАННОСТИ СТОРОН</w:t>
      </w:r>
      <w:bookmarkEnd w:id="9"/>
    </w:p>
    <w:p w14:paraId="11000000">
      <w:pPr>
        <w:pStyle w:val="Style_1"/>
        <w:rPr>
          <w:b w:val="1"/>
        </w:rPr>
      </w:pPr>
      <w:bookmarkStart w:id="10" w:name="sub_21"/>
      <w:bookmarkEnd w:id="10"/>
      <w:r>
        <w:rPr>
          <w:rFonts w:ascii="Serif" w:hAnsi="Serif"/>
          <w:b w:val="1"/>
          <w:color w:themeColor="text1" w:val="000000"/>
          <w:sz w:val="24"/>
        </w:rPr>
        <w:t>2.1. Исполнитель обязан:</w:t>
      </w:r>
    </w:p>
    <w:p w14:paraId="12000000">
      <w:pPr>
        <w:pStyle w:val="Style_1"/>
        <w:rPr>
          <w:rFonts w:ascii="Serif" w:hAnsi="Serif"/>
          <w:color w:themeColor="text1" w:val="000000"/>
          <w:sz w:val="24"/>
        </w:rPr>
      </w:pPr>
      <w:bookmarkStart w:id="11" w:name="sub_211"/>
      <w:bookmarkEnd w:id="11"/>
      <w:bookmarkStart w:id="12" w:name="sub_21_Копия_1"/>
      <w:bookmarkEnd w:id="12"/>
      <w:r>
        <w:rPr>
          <w:rFonts w:ascii="Serif" w:hAnsi="Serif"/>
          <w:color w:themeColor="text1" w:val="000000"/>
          <w:sz w:val="24"/>
        </w:rPr>
        <w:t>2.1.1. Оказать услуги в объеме и в сроки в соответствии с условиями настоящего Контракта.</w:t>
      </w:r>
    </w:p>
    <w:p w14:paraId="13000000">
      <w:pPr>
        <w:pStyle w:val="Style_1"/>
        <w:rPr>
          <w:rFonts w:ascii="Serif" w:hAnsi="Serif"/>
          <w:color w:themeColor="text1" w:val="000000"/>
          <w:sz w:val="24"/>
        </w:rPr>
      </w:pPr>
      <w:bookmarkStart w:id="13" w:name="sub_212"/>
      <w:bookmarkEnd w:id="13"/>
      <w:bookmarkStart w:id="14" w:name="sub_211_Копия_1"/>
      <w:bookmarkEnd w:id="14"/>
      <w:r>
        <w:rPr>
          <w:rFonts w:ascii="Serif" w:hAnsi="Serif"/>
          <w:color w:themeColor="text1" w:val="000000"/>
          <w:sz w:val="24"/>
        </w:rPr>
        <w:t>2.1.2. Представлять по требованию Заказчика любую информацию о ходе исполнения обязательств по настоящему Контракту.</w:t>
      </w:r>
    </w:p>
    <w:p w14:paraId="14000000">
      <w:pPr>
        <w:pStyle w:val="Style_1"/>
        <w:rPr>
          <w:rFonts w:ascii="Serif" w:hAnsi="Serif"/>
          <w:color w:themeColor="text1" w:val="000000"/>
          <w:sz w:val="24"/>
        </w:rPr>
      </w:pPr>
      <w:bookmarkStart w:id="15" w:name="sub_213"/>
      <w:bookmarkEnd w:id="15"/>
      <w:bookmarkStart w:id="16" w:name="sub_212_Копия_1"/>
      <w:bookmarkEnd w:id="16"/>
      <w:r>
        <w:rPr>
          <w:rFonts w:ascii="Serif" w:hAnsi="Serif"/>
          <w:color w:themeColor="text1" w:val="000000"/>
          <w:sz w:val="24"/>
        </w:rPr>
        <w:t>2.1.3. Безвозмездно устранять по требованию Заказчика все выявленные недостатки, если в процессе оказания услуг Исполнитель допустил отступление от условий Контракта, ухудшившее их качество.</w:t>
      </w:r>
    </w:p>
    <w:p w14:paraId="15000000">
      <w:pPr>
        <w:pStyle w:val="Style_1"/>
        <w:rPr>
          <w:b w:val="1"/>
        </w:rPr>
      </w:pPr>
      <w:bookmarkStart w:id="17" w:name="sub_22"/>
      <w:bookmarkEnd w:id="17"/>
      <w:bookmarkStart w:id="18" w:name="sub_213_Копия_1"/>
      <w:bookmarkEnd w:id="18"/>
      <w:r>
        <w:rPr>
          <w:rFonts w:ascii="Serif" w:hAnsi="Serif"/>
          <w:b w:val="1"/>
          <w:color w:themeColor="text1" w:val="000000"/>
          <w:sz w:val="24"/>
        </w:rPr>
        <w:t>2.2. Исполнитель вправе:</w:t>
      </w:r>
    </w:p>
    <w:p w14:paraId="16000000">
      <w:pPr>
        <w:pStyle w:val="Style_1"/>
        <w:rPr>
          <w:rFonts w:ascii="Serif" w:hAnsi="Serif"/>
          <w:color w:themeColor="text1" w:val="000000"/>
          <w:sz w:val="24"/>
        </w:rPr>
      </w:pPr>
      <w:bookmarkStart w:id="19" w:name="sub_221"/>
      <w:bookmarkEnd w:id="19"/>
      <w:bookmarkStart w:id="20" w:name="sub_22_Копия_1"/>
      <w:bookmarkEnd w:id="20"/>
      <w:r>
        <w:rPr>
          <w:rFonts w:ascii="Serif" w:hAnsi="Serif"/>
          <w:color w:themeColor="text1" w:val="000000"/>
          <w:sz w:val="24"/>
        </w:rPr>
        <w:t>2.2.1.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Контракту.</w:t>
      </w:r>
    </w:p>
    <w:p w14:paraId="17000000">
      <w:pPr>
        <w:pStyle w:val="Style_1"/>
        <w:rPr>
          <w:rFonts w:ascii="Serif" w:hAnsi="Serif"/>
          <w:color w:themeColor="text1" w:val="000000"/>
          <w:sz w:val="24"/>
        </w:rPr>
      </w:pPr>
      <w:bookmarkStart w:id="21" w:name="sub_222"/>
      <w:bookmarkEnd w:id="21"/>
      <w:bookmarkStart w:id="22" w:name="sub_221_Копия_1"/>
      <w:bookmarkEnd w:id="22"/>
      <w:r>
        <w:rPr>
          <w:rFonts w:ascii="Serif" w:hAnsi="Serif"/>
          <w:color w:themeColor="text1" w:val="000000"/>
          <w:sz w:val="24"/>
        </w:rPr>
        <w:t>2.2.2. Самостоятельно определять порядок оказания услуг по настоящему Контракту.</w:t>
      </w:r>
    </w:p>
    <w:p w14:paraId="18000000">
      <w:pPr>
        <w:pStyle w:val="Style_1"/>
        <w:rPr>
          <w:b w:val="1"/>
        </w:rPr>
      </w:pPr>
      <w:bookmarkStart w:id="23" w:name="sub_23"/>
      <w:bookmarkEnd w:id="23"/>
      <w:bookmarkStart w:id="24" w:name="sub_222_Копия_1"/>
      <w:bookmarkEnd w:id="24"/>
      <w:r>
        <w:rPr>
          <w:rFonts w:ascii="Serif" w:hAnsi="Serif"/>
          <w:b w:val="1"/>
          <w:color w:themeColor="text1" w:val="000000"/>
          <w:sz w:val="24"/>
        </w:rPr>
        <w:t>2.3. Заказчик обязан:</w:t>
      </w:r>
    </w:p>
    <w:p w14:paraId="19000000">
      <w:pPr>
        <w:pStyle w:val="Style_1"/>
        <w:rPr>
          <w:rFonts w:ascii="Serif" w:hAnsi="Serif"/>
          <w:color w:themeColor="text1" w:val="000000"/>
          <w:sz w:val="24"/>
        </w:rPr>
      </w:pPr>
      <w:bookmarkStart w:id="25" w:name="sub_231"/>
      <w:bookmarkEnd w:id="25"/>
      <w:bookmarkStart w:id="26" w:name="sub_23_Копия_1"/>
      <w:bookmarkEnd w:id="26"/>
      <w:r>
        <w:rPr>
          <w:rFonts w:ascii="Serif" w:hAnsi="Serif"/>
          <w:color w:themeColor="text1" w:val="000000"/>
          <w:sz w:val="24"/>
        </w:rPr>
        <w:t>2.3.1. Предоставить Исполнителю сведения, материалы и документы, необходимые для надлежащего оказания услуг.</w:t>
      </w:r>
    </w:p>
    <w:p w14:paraId="1A000000">
      <w:pPr>
        <w:pStyle w:val="Style_1"/>
        <w:rPr>
          <w:rFonts w:ascii="Serif" w:hAnsi="Serif"/>
          <w:color w:themeColor="text1" w:val="000000"/>
          <w:sz w:val="24"/>
        </w:rPr>
      </w:pPr>
      <w:bookmarkStart w:id="27" w:name="sub_232"/>
      <w:bookmarkEnd w:id="27"/>
      <w:bookmarkStart w:id="28" w:name="sub_231_Копия_1"/>
      <w:bookmarkEnd w:id="28"/>
      <w:r>
        <w:rPr>
          <w:rFonts w:ascii="Serif" w:hAnsi="Serif"/>
          <w:color w:themeColor="text1" w:val="000000"/>
          <w:sz w:val="24"/>
        </w:rPr>
        <w:t>2.3.2. Принять и оплатить оказанные услуги в сроки и в порядке, установленном настоящим Контрактом.</w:t>
      </w:r>
    </w:p>
    <w:p w14:paraId="1B000000">
      <w:pPr>
        <w:pStyle w:val="Style_1"/>
        <w:rPr>
          <w:b w:val="1"/>
        </w:rPr>
      </w:pPr>
      <w:bookmarkStart w:id="29" w:name="sub_24"/>
      <w:bookmarkEnd w:id="29"/>
      <w:bookmarkStart w:id="30" w:name="sub_232_Копия_1"/>
      <w:bookmarkEnd w:id="30"/>
      <w:r>
        <w:rPr>
          <w:rFonts w:ascii="Serif" w:hAnsi="Serif"/>
          <w:b w:val="1"/>
          <w:color w:themeColor="text1" w:val="000000"/>
          <w:sz w:val="24"/>
        </w:rPr>
        <w:t>2.4. Заказчик вправе:</w:t>
      </w:r>
    </w:p>
    <w:p w14:paraId="1C000000">
      <w:pPr>
        <w:pStyle w:val="Style_1"/>
        <w:rPr>
          <w:rFonts w:ascii="Serif" w:hAnsi="Serif"/>
          <w:color w:themeColor="text1" w:val="000000"/>
          <w:sz w:val="24"/>
        </w:rPr>
      </w:pPr>
      <w:bookmarkStart w:id="31" w:name="sub_241"/>
      <w:bookmarkEnd w:id="31"/>
      <w:bookmarkStart w:id="32" w:name="sub_24_Копия_1"/>
      <w:bookmarkEnd w:id="32"/>
      <w:r>
        <w:rPr>
          <w:rFonts w:ascii="Serif" w:hAnsi="Serif"/>
          <w:color w:themeColor="text1" w:val="000000"/>
          <w:sz w:val="24"/>
        </w:rPr>
        <w:t>2.4.1. Получать от Исполнителя устные и письменные объяснения о ходе исполнения обязательств по настоящему Контракту.</w:t>
      </w:r>
    </w:p>
    <w:p w14:paraId="1D000000">
      <w:pPr>
        <w:pStyle w:val="Style_1"/>
        <w:rPr>
          <w:rFonts w:ascii="Serif" w:hAnsi="Serif"/>
          <w:color w:themeColor="text1" w:val="000000"/>
          <w:sz w:val="24"/>
        </w:rPr>
      </w:pPr>
      <w:bookmarkStart w:id="33" w:name="sub_242"/>
      <w:bookmarkStart w:id="34" w:name="sub_241_Копия_1"/>
      <w:bookmarkEnd w:id="34"/>
      <w:r>
        <w:rPr>
          <w:rFonts w:ascii="Serif" w:hAnsi="Serif"/>
          <w:color w:themeColor="text1" w:val="000000"/>
          <w:sz w:val="24"/>
        </w:rPr>
        <w:t>2.4.2. Требовать от Исполнителя надлежащего выполнения обязательств по настоящему Контракту.</w:t>
      </w:r>
      <w:bookmarkEnd w:id="33"/>
    </w:p>
    <w:p w14:paraId="1E000000">
      <w:pPr>
        <w:pStyle w:val="Style_3"/>
        <w:rPr>
          <w:rFonts w:ascii="Serif" w:hAnsi="Serif"/>
          <w:color w:themeColor="text1" w:val="000000"/>
          <w:sz w:val="24"/>
        </w:rPr>
      </w:pPr>
      <w:bookmarkStart w:id="35" w:name="sub_3"/>
      <w:r>
        <w:rPr>
          <w:rFonts w:ascii="Serif" w:hAnsi="Serif"/>
          <w:color w:themeColor="text1" w:val="000000"/>
          <w:sz w:val="24"/>
        </w:rPr>
        <w:t>3. ЦЕНА КОНТРАКТА И ПОРЯДОК РАСЧЕТОВ</w:t>
      </w:r>
      <w:bookmarkEnd w:id="35"/>
    </w:p>
    <w:p w14:paraId="1F000000">
      <w:pPr>
        <w:pStyle w:val="Style_1"/>
        <w:rPr>
          <w:rFonts w:ascii="Serif" w:hAnsi="Serif"/>
          <w:color w:themeColor="text1" w:val="000000"/>
          <w:sz w:val="24"/>
        </w:rPr>
      </w:pPr>
      <w:bookmarkStart w:id="36" w:name="sub_31"/>
      <w:r>
        <w:rPr>
          <w:rFonts w:ascii="Serif" w:hAnsi="Serif"/>
          <w:color w:themeColor="text1" w:val="000000"/>
          <w:sz w:val="24"/>
        </w:rPr>
        <w:t xml:space="preserve">3.1. </w:t>
      </w:r>
      <w:bookmarkEnd w:id="36"/>
      <w:r>
        <w:rPr>
          <w:rFonts w:ascii="Serif" w:hAnsi="Serif"/>
          <w:color w:themeColor="text1" w:val="000000"/>
          <w:sz w:val="24"/>
        </w:rPr>
        <w:t>Цена настоящего Контракта согласно итогового протокола закупочной сессии официального сайта ЕАТ №___________ от «___» __________ 20__ года, составляет ____________ (__________________) рубля ___ копеек, (в том числе НДС/без НДС).</w:t>
      </w:r>
    </w:p>
    <w:p w14:paraId="20000000">
      <w:pPr>
        <w:pStyle w:val="Style_1"/>
        <w:rPr>
          <w:rFonts w:ascii="Serif" w:hAnsi="Serif"/>
          <w:color w:themeColor="text1" w:val="000000"/>
          <w:sz w:val="24"/>
        </w:rPr>
      </w:pPr>
      <w:r>
        <w:rPr>
          <w:rFonts w:ascii="Serif" w:hAnsi="Serif"/>
          <w:color w:val="000000"/>
          <w:spacing w:val="-5"/>
          <w:sz w:val="24"/>
        </w:rPr>
        <w:t>Цена настоящего Контракта является твердой и определяется на весь срок действия настоящего Контракта, за исключением случаев,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21000000">
      <w:pPr>
        <w:pStyle w:val="Style_1"/>
        <w:rPr>
          <w:rFonts w:ascii="Serif" w:hAnsi="Serif"/>
          <w:color w:themeColor="text1" w:val="000000"/>
          <w:sz w:val="24"/>
        </w:rPr>
      </w:pPr>
      <w:r>
        <w:rPr>
          <w:rFonts w:ascii="Serif" w:hAnsi="Serif"/>
          <w:color w:val="000000"/>
          <w:spacing w:val="-5"/>
          <w:sz w:val="24"/>
        </w:rPr>
        <w:t>3.2. Цена настоящего Контракта включает в себя: стоимость Услуг, расходы, связанные с оказанием услуг, а также иные расходы Исполнителя, необходимые для исполнения Контракта.</w:t>
      </w:r>
    </w:p>
    <w:p w14:paraId="22000000">
      <w:pPr>
        <w:pStyle w:val="Style_1"/>
        <w:rPr>
          <w:rFonts w:ascii="Serif" w:hAnsi="Serif"/>
          <w:color w:themeColor="text1" w:val="000000"/>
          <w:sz w:val="24"/>
        </w:rPr>
      </w:pPr>
      <w:r>
        <w:rPr>
          <w:rFonts w:ascii="Serif" w:hAnsi="Serif"/>
          <w:color w:val="000000"/>
          <w:spacing w:val="-5"/>
          <w:sz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000000">
      <w:pPr>
        <w:pStyle w:val="Style_1"/>
        <w:rPr>
          <w:rFonts w:ascii="Serif" w:hAnsi="Serif"/>
          <w:color w:themeColor="text1" w:val="000000"/>
          <w:sz w:val="24"/>
        </w:rPr>
      </w:pPr>
      <w:r>
        <w:rPr>
          <w:rFonts w:ascii="Serif" w:hAnsi="Serif"/>
          <w:color w:val="000000"/>
          <w:spacing w:val="-5"/>
          <w:sz w:val="24"/>
        </w:rPr>
        <w:t xml:space="preserve">3.3. </w:t>
      </w:r>
      <w:r>
        <w:rPr>
          <w:rFonts w:ascii="Serif" w:hAnsi="Serif"/>
          <w:b w:val="1"/>
          <w:color w:val="FF0000"/>
          <w:spacing w:val="-5"/>
          <w:sz w:val="24"/>
        </w:rPr>
        <w:t>Источник финансирования: средства федерального бюджета Российской Федерации, выделенные на 2026 год.</w:t>
      </w:r>
    </w:p>
    <w:p w14:paraId="24000000">
      <w:pPr>
        <w:pStyle w:val="Style_1"/>
        <w:rPr>
          <w:rFonts w:ascii="Serif" w:hAnsi="Serif"/>
          <w:color w:themeColor="text1" w:val="000000"/>
          <w:sz w:val="24"/>
        </w:rPr>
      </w:pPr>
      <w:r>
        <w:rPr>
          <w:rFonts w:ascii="Serif" w:hAnsi="Serif"/>
          <w:color w:val="000000"/>
          <w:spacing w:val="-5"/>
          <w:sz w:val="24"/>
        </w:rPr>
        <w:t>3.4. Оплата производится по безналичному расчету, путем перечисления денежных средств на расчетный счет Исполнителя, по факту оказанных услуг, в течении 7 (семи) рабочих дней после подписания акта оказанных услуг и другой документации предусмотренной техническим заданием (Приложение № 1 к настоящему Контракту), а также предоставления счета. Авансирование не предусматривается.</w:t>
      </w:r>
    </w:p>
    <w:p w14:paraId="25000000">
      <w:pPr>
        <w:pStyle w:val="Style_1"/>
        <w:rPr>
          <w:rFonts w:ascii="Serif" w:hAnsi="Serif"/>
          <w:color w:themeColor="text1" w:val="000000"/>
          <w:sz w:val="24"/>
        </w:rPr>
      </w:pPr>
      <w:r>
        <w:rPr>
          <w:rFonts w:ascii="Serif" w:hAnsi="Serif"/>
          <w:color w:val="000000"/>
          <w:spacing w:val="-5"/>
          <w:sz w:val="24"/>
        </w:rPr>
        <w:t>3.5. Обязательство Заказчика по оплате считается исполненным с момента списания денежных средств со счета Заказчика.</w:t>
      </w:r>
    </w:p>
    <w:p w14:paraId="26000000">
      <w:pPr>
        <w:pStyle w:val="Style_1"/>
        <w:rPr>
          <w:rFonts w:ascii="Serif" w:hAnsi="Serif"/>
          <w:color w:themeColor="text1" w:val="000000"/>
          <w:sz w:val="24"/>
        </w:rPr>
      </w:pPr>
      <w:r>
        <w:rPr>
          <w:rFonts w:ascii="Serif" w:hAnsi="Serif"/>
          <w:color w:val="000000"/>
          <w:spacing w:val="-5"/>
          <w:sz w:val="24"/>
        </w:rPr>
        <w:t>3.6. В случае, уменьшения ранее доведенных до Заказчика как получателя бюджетных средств лимитов бюджетных обязательств в соответствии с пунктом 6 статьи 161 Бюджетного кодекса Российской Федерации,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27000000">
      <w:pPr>
        <w:pStyle w:val="Style_1"/>
        <w:rPr>
          <w:rFonts w:ascii="Serif" w:hAnsi="Serif"/>
          <w:color w:themeColor="text1" w:val="000000"/>
          <w:sz w:val="24"/>
        </w:rPr>
      </w:pPr>
      <w:r>
        <w:rPr>
          <w:rFonts w:ascii="Serif" w:hAnsi="Serif"/>
          <w:color w:val="000000"/>
          <w:spacing w:val="-5"/>
          <w:sz w:val="24"/>
        </w:rPr>
        <w:t xml:space="preserve">3.7. В случае изменения расчетного счета (или иных реквизитов, необходимых для оплаты) Исполнителя, Исполнитель обязан в течение 2 (двух)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настоящем Контракте реквизитам Исполнителя, несет Исполнитель.   </w:t>
      </w:r>
    </w:p>
    <w:p w14:paraId="28000000">
      <w:pPr>
        <w:pStyle w:val="Style_1"/>
        <w:rPr>
          <w:rFonts w:ascii="Serif" w:hAnsi="Serif"/>
          <w:color w:themeColor="text1" w:val="000000"/>
          <w:sz w:val="24"/>
        </w:rPr>
      </w:pPr>
      <w:r>
        <w:rPr>
          <w:rFonts w:ascii="Serif" w:hAnsi="Serif"/>
          <w:color w:val="000000"/>
          <w:spacing w:val="-5"/>
          <w:sz w:val="24"/>
        </w:rPr>
        <w:t>3.8. Дополнительные услуги, не предусмотренные Техническим заданием, оказанные Исполнителем без предварительного письменного согласования с Заказчиком, оплате не подлежат.</w:t>
      </w:r>
    </w:p>
    <w:p w14:paraId="29000000">
      <w:pPr>
        <w:pStyle w:val="Style_3"/>
        <w:rPr>
          <w:rFonts w:ascii="Serif" w:hAnsi="Serif"/>
          <w:color w:themeColor="text1" w:val="000000"/>
          <w:sz w:val="24"/>
        </w:rPr>
      </w:pPr>
      <w:bookmarkStart w:id="37" w:name="sub_4"/>
      <w:r>
        <w:rPr>
          <w:rFonts w:ascii="Serif" w:hAnsi="Serif"/>
          <w:color w:themeColor="text1" w:val="000000"/>
          <w:sz w:val="24"/>
        </w:rPr>
        <w:t xml:space="preserve">4. ПОРЯДОК СДАЧИ И ПРИЕМКИ УСЛУГ </w:t>
      </w:r>
      <w:bookmarkEnd w:id="37"/>
      <w:r>
        <w:rPr>
          <w:rFonts w:ascii="Serif" w:hAnsi="Serif"/>
          <w:color w:themeColor="text1" w:val="000000"/>
          <w:sz w:val="24"/>
        </w:rPr>
        <w:t xml:space="preserve"> </w:t>
      </w:r>
    </w:p>
    <w:p w14:paraId="2A000000">
      <w:pPr>
        <w:pStyle w:val="Style_1"/>
        <w:rPr>
          <w:rFonts w:ascii="Serif" w:hAnsi="Serif"/>
          <w:color w:themeColor="text1" w:val="000000"/>
          <w:sz w:val="24"/>
        </w:rPr>
      </w:pPr>
      <w:r>
        <w:rPr>
          <w:rFonts w:ascii="Serif" w:hAnsi="Serif"/>
          <w:color w:themeColor="text1" w:val="000000"/>
          <w:sz w:val="24"/>
        </w:rPr>
        <w:t>4.1.По результатам оказания услуг Исполнитель представляет Заказчику акт сдачи-приемки оказанных услуг в 2 (двух) экземплярах.</w:t>
      </w:r>
    </w:p>
    <w:p w14:paraId="2B000000">
      <w:pPr>
        <w:pStyle w:val="Style_1"/>
        <w:rPr>
          <w:rFonts w:ascii="Serif" w:hAnsi="Serif"/>
          <w:color w:themeColor="text1" w:val="000000"/>
          <w:sz w:val="24"/>
        </w:rPr>
      </w:pPr>
      <w:r>
        <w:rPr>
          <w:rFonts w:ascii="Serif" w:hAnsi="Serif"/>
          <w:color w:themeColor="text1" w:val="000000"/>
          <w:sz w:val="24"/>
        </w:rPr>
        <w:t>4.2. Исполнитель в течении 5 (пяти) рабочих дней с момента окончания оказания услуг предоставляет Заказчику Акт оказанных услуг с приложением к нему счета и иных необходимых документов, предусмотренных техническим заданием (Приложение № 1 к настоящему Контракту).</w:t>
      </w:r>
    </w:p>
    <w:p w14:paraId="2C000000">
      <w:pPr>
        <w:pStyle w:val="Style_1"/>
        <w:rPr>
          <w:rFonts w:ascii="Serif" w:hAnsi="Serif"/>
          <w:color w:themeColor="text1" w:val="000000"/>
          <w:sz w:val="24"/>
        </w:rPr>
      </w:pPr>
      <w:r>
        <w:rPr>
          <w:rFonts w:ascii="Serif" w:hAnsi="Serif"/>
          <w:color w:themeColor="text1" w:val="000000"/>
          <w:sz w:val="24"/>
        </w:rPr>
        <w:t>4.3. Заказчик в течение 5 (пяти) рабочих дней со дня получения акта оказанных услуг обязан его подписать или направить Исполнителю мотивированный отказ. Указанные действия производятся после проведения экспертизы в целях проверки предоставленных Исполнителем услуг, предусмотренных Контрактом, на соответствие условиям Контракта. Указанная экспертиза осуществляется сотрудниками Заказчика или с привлечением экспертных организаций (экспертов).</w:t>
      </w:r>
    </w:p>
    <w:p w14:paraId="2D000000">
      <w:pPr>
        <w:pStyle w:val="Style_1"/>
        <w:rPr>
          <w:rFonts w:ascii="Serif" w:hAnsi="Serif"/>
          <w:color w:themeColor="text1" w:val="000000"/>
          <w:sz w:val="24"/>
        </w:rPr>
      </w:pPr>
      <w:r>
        <w:rPr>
          <w:rFonts w:ascii="Serif" w:hAnsi="Serif"/>
          <w:color w:themeColor="text1" w:val="000000"/>
          <w:sz w:val="24"/>
        </w:rPr>
        <w:t xml:space="preserve">В случае проведения экспертизы сторонними экспертами или организациями приемка услуг продлевается до момента окончания экспертизы и получения заключения эксперта.  </w:t>
      </w:r>
    </w:p>
    <w:p w14:paraId="2E000000">
      <w:pPr>
        <w:pStyle w:val="Style_1"/>
        <w:rPr>
          <w:rFonts w:ascii="Serif" w:hAnsi="Serif"/>
          <w:color w:themeColor="text1" w:val="000000"/>
          <w:sz w:val="24"/>
        </w:rPr>
      </w:pPr>
      <w:r>
        <w:rPr>
          <w:rFonts w:ascii="Serif" w:hAnsi="Serif"/>
          <w:color w:themeColor="text1" w:val="000000"/>
          <w:sz w:val="24"/>
        </w:rPr>
        <w:t>Выявленные недостатки (нарушения настоящего Контракта) Исполнитель устраняет своими силами и за свой счет в течение срока, указанного в письменном мотивированном отказе Заказчика от приемки оказанных услуг.</w:t>
      </w:r>
    </w:p>
    <w:p w14:paraId="2F000000">
      <w:pPr>
        <w:pStyle w:val="Style_1"/>
        <w:rPr>
          <w:rFonts w:ascii="Serif" w:hAnsi="Serif"/>
          <w:color w:themeColor="text1" w:val="000000"/>
          <w:sz w:val="24"/>
        </w:rPr>
      </w:pPr>
      <w:r>
        <w:rPr>
          <w:rFonts w:ascii="Serif" w:hAnsi="Serif"/>
          <w:color w:themeColor="text1" w:val="000000"/>
          <w:sz w:val="24"/>
        </w:rPr>
        <w:t>4.4. По окончании приемки оказанных услуг Заказчик формирует и подписывает Акт приемки товаров, работ, услуг (ф. 0510452) по унифицированной форме, установленной Приказом Минфина России от 15.06.2021 № 61н (далее – Акт приемки).</w:t>
      </w:r>
    </w:p>
    <w:p w14:paraId="30000000">
      <w:pPr>
        <w:pStyle w:val="Style_1"/>
        <w:rPr>
          <w:rFonts w:ascii="Serif" w:hAnsi="Serif"/>
          <w:color w:themeColor="text1" w:val="000000"/>
          <w:sz w:val="24"/>
        </w:rPr>
      </w:pPr>
      <w:r>
        <w:rPr>
          <w:rFonts w:ascii="Serif" w:hAnsi="Serif"/>
          <w:color w:themeColor="text1" w:val="000000"/>
          <w:sz w:val="24"/>
        </w:rPr>
        <w:t>4.5. Акт приемки формируется на основании документов, предоставленных Исполнителем и подтверждающих оказание услуг. Участие представителя Исполнителя при оформлении Заказчиком Акта приемки не предусматривается.</w:t>
      </w:r>
    </w:p>
    <w:p w14:paraId="31000000">
      <w:pPr>
        <w:pStyle w:val="Style_1"/>
        <w:rPr>
          <w:rFonts w:ascii="Serif" w:hAnsi="Serif"/>
          <w:color w:themeColor="text1" w:val="000000"/>
          <w:sz w:val="24"/>
        </w:rPr>
      </w:pPr>
      <w:r>
        <w:rPr>
          <w:rFonts w:ascii="Serif" w:hAnsi="Serif"/>
          <w:color w:themeColor="text1" w:val="000000"/>
          <w:sz w:val="24"/>
        </w:rPr>
        <w:t>4.6. Услуги считаются оказанными Исполнителем надлежащим образом после подписания Сторонами акта оказанных услуг.</w:t>
      </w:r>
    </w:p>
    <w:p w14:paraId="32000000">
      <w:pPr>
        <w:pStyle w:val="Style_1"/>
        <w:rPr>
          <w:rFonts w:ascii="Serif" w:hAnsi="Serif"/>
          <w:color w:themeColor="text1" w:val="000000"/>
          <w:sz w:val="24"/>
        </w:rPr>
      </w:pPr>
      <w:r>
        <w:rPr>
          <w:rFonts w:ascii="Serif" w:hAnsi="Serif"/>
          <w:color w:themeColor="text1" w:val="000000"/>
          <w:sz w:val="24"/>
        </w:rPr>
        <w:t>4.7. При наличии у Заказчика претензий к оказанным Исполнителем услугам Сторонами оформляется протокол с указанием необходимых доработок, порядка и сроков их устранения.</w:t>
      </w:r>
    </w:p>
    <w:p w14:paraId="33000000">
      <w:pPr>
        <w:pStyle w:val="Style_1"/>
        <w:spacing w:after="114" w:before="114"/>
        <w:ind/>
        <w:jc w:val="center"/>
        <w:rPr>
          <w:rFonts w:ascii="Serif" w:hAnsi="Serif"/>
          <w:b w:val="1"/>
          <w:sz w:val="24"/>
        </w:rPr>
      </w:pPr>
      <w:r>
        <w:rPr>
          <w:rFonts w:ascii="Serif" w:hAnsi="Serif"/>
          <w:b w:val="1"/>
          <w:color w:themeColor="text1" w:val="000000"/>
          <w:sz w:val="24"/>
        </w:rPr>
        <w:t xml:space="preserve">5. </w:t>
      </w:r>
      <w:r>
        <w:rPr>
          <w:rFonts w:ascii="Serif" w:hAnsi="Serif"/>
          <w:b w:val="1"/>
          <w:sz w:val="24"/>
        </w:rPr>
        <w:t>ГАРАНТИИ КАЧЕСТВА УСЛУГ</w:t>
      </w:r>
    </w:p>
    <w:p w14:paraId="34000000">
      <w:pPr>
        <w:pStyle w:val="Style_1"/>
        <w:rPr>
          <w:rFonts w:ascii="Serif" w:hAnsi="Serif"/>
          <w:sz w:val="24"/>
        </w:rPr>
      </w:pPr>
      <w:r>
        <w:rPr>
          <w:rFonts w:ascii="Serif" w:hAnsi="Serif"/>
          <w:sz w:val="24"/>
        </w:rPr>
        <w:t xml:space="preserve">5.1. Исполнитель гарантирует качественное, своевременное и в полном объеме оказание услуг с соблюдением норм, правил, стандартов и иных документов, предусмотренных законодательством Российской Федерации, настоящим Контрактом, техническим заданием (Приложение № 1 к настоящему Контракту) в отношении данного вида услуг. </w:t>
      </w:r>
    </w:p>
    <w:p w14:paraId="35000000">
      <w:pPr>
        <w:pStyle w:val="Style_1"/>
        <w:rPr>
          <w:rFonts w:ascii="Serif" w:hAnsi="Serif"/>
          <w:sz w:val="24"/>
        </w:rPr>
      </w:pPr>
      <w:r>
        <w:rPr>
          <w:rFonts w:ascii="Serif" w:hAnsi="Serif"/>
          <w:sz w:val="24"/>
        </w:rPr>
        <w:t xml:space="preserve"> </w:t>
      </w:r>
      <w:r>
        <w:rPr>
          <w:rFonts w:ascii="Serif" w:hAnsi="Serif"/>
          <w:sz w:val="24"/>
        </w:rPr>
        <w:t xml:space="preserve">5.2. Устранение недостатков и дефектов осуществляется Исполнителем за свой счет. При отказе Исполнителя от устранения обнаруженных недостатков или дефектов, в течение срока, указанного в Акте, Заказчик вправе поручить данный вид работ третьим лицам. При этом расходы по устранению обнаруженных недостатков или дефектов возмещаются за счет Исполнителя. Исполнитель обязан оплатить такие работы в течение 10 (десяти) календарных дней с момента выставления счета Заказчиком Исполнителю. </w:t>
      </w:r>
    </w:p>
    <w:p w14:paraId="36000000">
      <w:pPr>
        <w:pStyle w:val="Style_3"/>
        <w:spacing w:after="114" w:before="114"/>
        <w:ind/>
        <w:rPr>
          <w:rFonts w:ascii="Serif" w:hAnsi="Serif"/>
          <w:color w:themeColor="text1" w:val="000000"/>
          <w:sz w:val="24"/>
        </w:rPr>
      </w:pPr>
      <w:bookmarkStart w:id="38" w:name="sub_5"/>
      <w:r>
        <w:rPr>
          <w:rFonts w:ascii="Serif" w:hAnsi="Serif"/>
          <w:color w:themeColor="text1" w:val="000000"/>
          <w:sz w:val="24"/>
        </w:rPr>
        <w:t xml:space="preserve">6. </w:t>
      </w:r>
      <w:bookmarkEnd w:id="38"/>
      <w:r>
        <w:rPr>
          <w:rFonts w:ascii="Serif" w:hAnsi="Serif"/>
          <w:color w:themeColor="text1" w:val="000000"/>
          <w:sz w:val="24"/>
        </w:rPr>
        <w:t>СРОК ДЕЙСТВИЯ, ПОРЯДОК ИЗМЕНЕНИЯ И РАСТОРЖЕНИЯ КОНТРАКТА</w:t>
      </w:r>
    </w:p>
    <w:p w14:paraId="37000000">
      <w:pPr>
        <w:pStyle w:val="Style_1"/>
        <w:rPr>
          <w:rFonts w:ascii="Serif" w:hAnsi="Serif"/>
          <w:color w:themeColor="text1" w:val="000000"/>
          <w:sz w:val="24"/>
        </w:rPr>
      </w:pPr>
      <w:bookmarkStart w:id="39" w:name="sub_54"/>
      <w:bookmarkEnd w:id="39"/>
      <w:bookmarkStart w:id="40" w:name="sub_53_Копия_1"/>
      <w:bookmarkEnd w:id="40"/>
      <w:r>
        <w:rPr>
          <w:rFonts w:ascii="Serif" w:hAnsi="Serif"/>
          <w:color w:themeColor="text1" w:val="000000"/>
          <w:sz w:val="24"/>
        </w:rPr>
        <w:t>6.1. Настоящий Контракт вступает в силу с даты заключения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 и действует по 31 августа 2026 года.</w:t>
      </w:r>
    </w:p>
    <w:p w14:paraId="38000000">
      <w:pPr>
        <w:pStyle w:val="Style_1"/>
        <w:rPr>
          <w:rFonts w:ascii="Serif" w:hAnsi="Serif"/>
          <w:color w:themeColor="text1" w:val="000000"/>
          <w:sz w:val="24"/>
        </w:rPr>
      </w:pPr>
      <w:r>
        <w:rPr>
          <w:rFonts w:ascii="Serif" w:hAnsi="Serif"/>
          <w:color w:themeColor="text1" w:val="000000"/>
          <w:sz w:val="24"/>
        </w:rPr>
        <w:t>6.2. Истечение срока действия Контракта не освобождает Стороны от исполнения обязательств, возникших в период действия Контракта, а также от ответственности за его нарушение.</w:t>
      </w:r>
    </w:p>
    <w:p w14:paraId="39000000">
      <w:pPr>
        <w:pStyle w:val="Style_1"/>
        <w:rPr>
          <w:rFonts w:ascii="Serif" w:hAnsi="Serif"/>
          <w:color w:themeColor="text1" w:val="000000"/>
          <w:sz w:val="24"/>
        </w:rPr>
      </w:pPr>
      <w:r>
        <w:rPr>
          <w:rFonts w:ascii="Serif" w:hAnsi="Serif"/>
          <w:color w:themeColor="text1" w:val="000000"/>
          <w:sz w:val="24"/>
        </w:rPr>
        <w:t>6.3. Изменение существенных условий Контракта не допускается, за исключением случаев, предусмотренных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 настоящим разделом.</w:t>
      </w:r>
    </w:p>
    <w:p w14:paraId="3A000000">
      <w:pPr>
        <w:pStyle w:val="Style_1"/>
        <w:rPr>
          <w:rFonts w:ascii="Serif" w:hAnsi="Serif"/>
          <w:color w:themeColor="text1" w:val="000000"/>
          <w:sz w:val="24"/>
        </w:rPr>
      </w:pPr>
      <w:r>
        <w:rPr>
          <w:rFonts w:ascii="Serif" w:hAnsi="Serif"/>
          <w:color w:themeColor="text1" w:val="000000"/>
          <w:sz w:val="24"/>
        </w:rPr>
        <w:t>6.4. Настоящий Контракт может быть расторгнут  по соглашению сторон, по решению суда или в связи с односторонним отказом стороны Контракта от исполнения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B000000">
      <w:pPr>
        <w:pStyle w:val="Style_1"/>
        <w:rPr>
          <w:rFonts w:ascii="Serif" w:hAnsi="Serif"/>
          <w:color w:themeColor="text1" w:val="000000"/>
          <w:sz w:val="24"/>
        </w:rPr>
      </w:pPr>
      <w:r>
        <w:rPr>
          <w:rFonts w:ascii="Serif" w:hAnsi="Serif"/>
          <w:color w:themeColor="text1" w:val="000000"/>
          <w:sz w:val="24"/>
        </w:rPr>
        <w:t>6.5.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данного вида обязательства.</w:t>
      </w:r>
    </w:p>
    <w:p w14:paraId="3C000000">
      <w:pPr>
        <w:pStyle w:val="Style_1"/>
        <w:rPr>
          <w:rFonts w:ascii="Serif" w:hAnsi="Serif"/>
          <w:color w:themeColor="text1" w:val="000000"/>
          <w:sz w:val="24"/>
        </w:rPr>
      </w:pPr>
      <w:r>
        <w:rPr>
          <w:rFonts w:ascii="Serif" w:hAnsi="Serif"/>
          <w:color w:themeColor="text1" w:val="000000"/>
          <w:sz w:val="24"/>
        </w:rPr>
        <w:t>6.6.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14:paraId="3D000000">
      <w:pPr>
        <w:pStyle w:val="Style_1"/>
        <w:rPr>
          <w:rFonts w:ascii="Serif" w:hAnsi="Serif"/>
          <w:color w:themeColor="text1" w:val="000000"/>
          <w:sz w:val="24"/>
        </w:rPr>
      </w:pPr>
      <w:r>
        <w:rPr>
          <w:rFonts w:ascii="Serif" w:hAnsi="Serif"/>
          <w:color w:themeColor="text1" w:val="000000"/>
          <w:sz w:val="24"/>
        </w:rPr>
        <w:t>6.7.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3E000000">
      <w:pPr>
        <w:pStyle w:val="Style_1"/>
        <w:rPr>
          <w:rFonts w:ascii="Serif" w:hAnsi="Serif"/>
          <w:color w:themeColor="text1" w:val="000000"/>
          <w:sz w:val="24"/>
        </w:rPr>
      </w:pPr>
      <w:r>
        <w:rPr>
          <w:rFonts w:ascii="Serif" w:hAnsi="Serif"/>
          <w:color w:themeColor="text1" w:val="000000"/>
          <w:sz w:val="24"/>
        </w:rPr>
        <w:t>6.8.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данного вида обязательства.</w:t>
      </w:r>
    </w:p>
    <w:p w14:paraId="3F000000">
      <w:pPr>
        <w:pStyle w:val="Style_1"/>
        <w:rPr>
          <w:rFonts w:ascii="Serif" w:hAnsi="Serif"/>
          <w:color w:themeColor="text1" w:val="000000"/>
          <w:sz w:val="24"/>
        </w:rPr>
      </w:pPr>
      <w:r>
        <w:rPr>
          <w:rFonts w:ascii="Serif" w:hAnsi="Serif"/>
          <w:color w:themeColor="text1" w:val="000000"/>
          <w:sz w:val="24"/>
        </w:rPr>
        <w:t>6.9.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0000000">
      <w:pPr>
        <w:pStyle w:val="Style_1"/>
        <w:rPr>
          <w:rFonts w:ascii="Serif" w:hAnsi="Serif"/>
          <w:color w:themeColor="text1" w:val="000000"/>
          <w:sz w:val="24"/>
        </w:rPr>
      </w:pPr>
      <w:r>
        <w:rPr>
          <w:rFonts w:ascii="Serif" w:hAnsi="Serif"/>
          <w:color w:themeColor="text1" w:val="000000"/>
          <w:sz w:val="24"/>
        </w:rPr>
        <w:t>6.10. Все изменения и дополнения к настоящему Контракту действительны в том случае, если они совершены в письменной форме и подписаны Сторонами. Все приложения к настоящему Контракту являются его неотъемлемой частью.</w:t>
      </w:r>
    </w:p>
    <w:p w14:paraId="41000000">
      <w:pPr>
        <w:pStyle w:val="Style_3"/>
        <w:rPr>
          <w:rFonts w:ascii="Serif" w:hAnsi="Serif"/>
          <w:color w:themeColor="text1" w:val="000000"/>
          <w:sz w:val="24"/>
        </w:rPr>
      </w:pPr>
      <w:bookmarkStart w:id="41" w:name="sub_7"/>
      <w:r>
        <w:rPr>
          <w:rFonts w:ascii="Serif" w:hAnsi="Serif"/>
          <w:color w:themeColor="text1" w:val="000000"/>
          <w:sz w:val="24"/>
        </w:rPr>
        <w:t>7. ОТВЕТСТВЕННОСТЬ СТОРОН</w:t>
      </w:r>
      <w:bookmarkEnd w:id="41"/>
    </w:p>
    <w:p w14:paraId="42000000">
      <w:pPr>
        <w:pStyle w:val="Style_1"/>
        <w:rPr>
          <w:rFonts w:ascii="Serif" w:hAnsi="Serif"/>
          <w:color w:themeColor="text1" w:val="000000"/>
          <w:sz w:val="24"/>
        </w:rPr>
      </w:pPr>
      <w:r>
        <w:rPr>
          <w:rFonts w:ascii="Serif" w:hAnsi="Serif"/>
          <w:color w:themeColor="text1" w:val="000000"/>
          <w:sz w:val="24"/>
        </w:rPr>
        <w:t>7.1. 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Закона № 44-ФЗ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14:paraId="43000000">
      <w:pPr>
        <w:pStyle w:val="Style_1"/>
        <w:rPr>
          <w:rFonts w:ascii="Serif" w:hAnsi="Serif"/>
          <w:color w:themeColor="text1" w:val="000000"/>
          <w:sz w:val="24"/>
        </w:rPr>
      </w:pPr>
      <w:r>
        <w:rPr>
          <w:rFonts w:ascii="Serif" w:hAnsi="Serif"/>
          <w:color w:themeColor="text1" w:val="000000"/>
          <w:sz w:val="24"/>
        </w:rPr>
        <w:t>7.2.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44000000">
      <w:pPr>
        <w:pStyle w:val="Style_1"/>
        <w:rPr>
          <w:rFonts w:ascii="Serif" w:hAnsi="Serif"/>
          <w:color w:themeColor="text1" w:val="000000"/>
          <w:sz w:val="24"/>
        </w:rPr>
      </w:pPr>
      <w:r>
        <w:rPr>
          <w:rFonts w:ascii="Serif" w:hAnsi="Serif"/>
          <w:color w:themeColor="text1" w:val="000000"/>
          <w:sz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5000000">
      <w:pPr>
        <w:pStyle w:val="Style_1"/>
        <w:rPr>
          <w:rFonts w:ascii="Serif" w:hAnsi="Serif"/>
          <w:color w:themeColor="text1" w:val="000000"/>
          <w:sz w:val="24"/>
        </w:rPr>
      </w:pPr>
      <w:r>
        <w:rPr>
          <w:rFonts w:ascii="Serif" w:hAnsi="Serif"/>
          <w:color w:themeColor="text1" w:val="000000"/>
          <w:sz w:val="24"/>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46000000">
      <w:pPr>
        <w:pStyle w:val="Style_1"/>
        <w:rPr>
          <w:rFonts w:ascii="Serif" w:hAnsi="Serif"/>
          <w:color w:themeColor="text1" w:val="000000"/>
          <w:sz w:val="24"/>
        </w:rPr>
      </w:pPr>
      <w:r>
        <w:rPr>
          <w:rFonts w:ascii="Serif" w:hAnsi="Serif"/>
          <w:color w:themeColor="text1" w:val="000000"/>
          <w:sz w:val="24"/>
        </w:rPr>
        <w:t>а) 1000 рублей, если цена Контракта не превышает 3 млн. рублей (включительно);</w:t>
      </w:r>
    </w:p>
    <w:p w14:paraId="47000000">
      <w:pPr>
        <w:pStyle w:val="Style_1"/>
        <w:rPr>
          <w:rFonts w:ascii="Serif" w:hAnsi="Serif"/>
          <w:color w:themeColor="text1" w:val="000000"/>
          <w:sz w:val="24"/>
        </w:rPr>
      </w:pPr>
      <w:r>
        <w:rPr>
          <w:rFonts w:ascii="Serif" w:hAnsi="Serif"/>
          <w:color w:themeColor="text1" w:val="000000"/>
          <w:sz w:val="24"/>
        </w:rPr>
        <w:t>б) 5000 рублей, если цена контракта составляет от 3 млн. рублей до 50 млн. рублей (включительно);</w:t>
      </w:r>
    </w:p>
    <w:p w14:paraId="48000000">
      <w:pPr>
        <w:pStyle w:val="Style_1"/>
        <w:rPr>
          <w:rFonts w:ascii="Serif" w:hAnsi="Serif"/>
          <w:color w:themeColor="text1" w:val="000000"/>
          <w:sz w:val="24"/>
        </w:rPr>
      </w:pPr>
      <w:r>
        <w:rPr>
          <w:rFonts w:ascii="Serif" w:hAnsi="Serif"/>
          <w:color w:themeColor="text1" w:val="000000"/>
          <w:sz w:val="24"/>
        </w:rPr>
        <w:t>в) 10000 рублей, если цена контракта составляет от 50 млн. рублей до 100 млн. рублей (включительно);</w:t>
      </w:r>
    </w:p>
    <w:p w14:paraId="49000000">
      <w:pPr>
        <w:pStyle w:val="Style_1"/>
        <w:rPr>
          <w:rFonts w:ascii="Serif" w:hAnsi="Serif"/>
          <w:color w:themeColor="text1" w:val="000000"/>
          <w:sz w:val="24"/>
        </w:rPr>
      </w:pPr>
      <w:r>
        <w:rPr>
          <w:rFonts w:ascii="Serif" w:hAnsi="Serif"/>
          <w:color w:themeColor="text1" w:val="000000"/>
          <w:sz w:val="24"/>
        </w:rPr>
        <w:t>г) 100000 рублей, если цена контракта превышает 100 млн. рублей.</w:t>
      </w:r>
    </w:p>
    <w:p w14:paraId="4A000000">
      <w:pPr>
        <w:pStyle w:val="Style_1"/>
        <w:rPr>
          <w:rFonts w:ascii="Serif" w:hAnsi="Serif"/>
          <w:color w:themeColor="text1" w:val="000000"/>
          <w:sz w:val="24"/>
        </w:rPr>
      </w:pPr>
      <w:r>
        <w:rPr>
          <w:rFonts w:ascii="Serif" w:hAnsi="Serif"/>
          <w:color w:themeColor="text1" w:val="000000"/>
          <w:sz w:val="24"/>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B000000">
      <w:pPr>
        <w:pStyle w:val="Style_1"/>
        <w:rPr>
          <w:rFonts w:ascii="Serif" w:hAnsi="Serif"/>
          <w:color w:themeColor="text1" w:val="000000"/>
          <w:sz w:val="24"/>
        </w:rPr>
      </w:pPr>
      <w:r>
        <w:rPr>
          <w:rFonts w:ascii="Serif" w:hAnsi="Serif"/>
          <w:color w:themeColor="text1" w:val="000000"/>
          <w:sz w:val="24"/>
        </w:rPr>
        <w:t>7.5.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C000000">
      <w:pPr>
        <w:pStyle w:val="Style_1"/>
        <w:rPr>
          <w:rFonts w:ascii="Serif" w:hAnsi="Serif"/>
          <w:color w:themeColor="text1" w:val="000000"/>
          <w:sz w:val="24"/>
        </w:rPr>
      </w:pPr>
      <w:r>
        <w:rPr>
          <w:rFonts w:ascii="Serif" w:hAnsi="Serif"/>
          <w:color w:themeColor="text1" w:val="000000"/>
          <w:sz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D000000">
      <w:pPr>
        <w:pStyle w:val="Style_1"/>
        <w:rPr>
          <w:rFonts w:ascii="Serif" w:hAnsi="Serif"/>
          <w:color w:themeColor="text1" w:val="000000"/>
          <w:sz w:val="24"/>
        </w:rPr>
      </w:pPr>
      <w:r>
        <w:rPr>
          <w:rFonts w:ascii="Serif" w:hAnsi="Serif"/>
          <w:color w:themeColor="text1" w:val="000000"/>
          <w:sz w:val="24"/>
        </w:rPr>
        <w:t>7.6. За неисполнение или ненадлежащее исполнение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который устанавливается в следующем порядке:</w:t>
      </w:r>
    </w:p>
    <w:p w14:paraId="4E000000">
      <w:pPr>
        <w:pStyle w:val="Style_1"/>
        <w:rPr>
          <w:rFonts w:ascii="Serif" w:hAnsi="Serif"/>
          <w:color w:themeColor="text1" w:val="000000"/>
          <w:sz w:val="24"/>
        </w:rPr>
      </w:pPr>
      <w:r>
        <w:rPr>
          <w:rFonts w:ascii="Serif" w:hAnsi="Serif"/>
          <w:color w:themeColor="text1" w:val="000000"/>
          <w:sz w:val="24"/>
        </w:rPr>
        <w:t>а) 10 процентов цены контракта (этапа) в случае, если цена контракта (этапа) не превышает 3 млн рублей;</w:t>
      </w:r>
    </w:p>
    <w:p w14:paraId="4F000000">
      <w:pPr>
        <w:pStyle w:val="Style_1"/>
        <w:rPr>
          <w:rFonts w:ascii="Serif" w:hAnsi="Serif"/>
          <w:color w:themeColor="text1" w:val="000000"/>
          <w:sz w:val="24"/>
        </w:rPr>
      </w:pPr>
      <w:r>
        <w:rPr>
          <w:rFonts w:ascii="Serif" w:hAnsi="Serif"/>
          <w:color w:themeColor="text1" w:val="000000"/>
          <w:sz w:val="24"/>
        </w:rPr>
        <w:t>б) 5 процентов цены контракта (этапа) в случае, если цена контракта (этапа) составляет от 3 млн рублей до 50 млн рублей (включительно);</w:t>
      </w:r>
    </w:p>
    <w:p w14:paraId="50000000">
      <w:pPr>
        <w:pStyle w:val="Style_1"/>
        <w:rPr>
          <w:rFonts w:ascii="Serif" w:hAnsi="Serif"/>
          <w:color w:themeColor="text1" w:val="000000"/>
          <w:sz w:val="24"/>
        </w:rPr>
      </w:pPr>
      <w:r>
        <w:rPr>
          <w:rFonts w:ascii="Serif" w:hAnsi="Serif"/>
          <w:color w:themeColor="text1" w:val="000000"/>
          <w:sz w:val="24"/>
        </w:rPr>
        <w:t>в) 1 процент цены контракта (этапа) в случае, если цена контракта (этапа) составляет от 50 млн рублей до 100 млн рублей (включительно);</w:t>
      </w:r>
    </w:p>
    <w:p w14:paraId="51000000">
      <w:pPr>
        <w:pStyle w:val="Style_1"/>
        <w:rPr>
          <w:rFonts w:ascii="Serif" w:hAnsi="Serif"/>
          <w:color w:themeColor="text1" w:val="000000"/>
          <w:sz w:val="24"/>
        </w:rPr>
      </w:pPr>
      <w:r>
        <w:rPr>
          <w:rFonts w:ascii="Serif" w:hAnsi="Serif"/>
          <w:color w:themeColor="text1" w:val="000000"/>
          <w:sz w:val="24"/>
        </w:rPr>
        <w:t>г) 0,5 процента цены контракта (этапа) в случае, если цена контракта (этапа) составляет от 100 млн рублей до 500 млн рублей (включительно);</w:t>
      </w:r>
    </w:p>
    <w:p w14:paraId="52000000">
      <w:pPr>
        <w:pStyle w:val="Style_1"/>
        <w:rPr>
          <w:rFonts w:ascii="Serif" w:hAnsi="Serif"/>
          <w:color w:themeColor="text1" w:val="000000"/>
          <w:sz w:val="24"/>
        </w:rPr>
      </w:pPr>
      <w:r>
        <w:rPr>
          <w:rFonts w:ascii="Serif" w:hAnsi="Serif"/>
          <w:color w:themeColor="text1" w:val="000000"/>
          <w:sz w:val="24"/>
        </w:rPr>
        <w:t>д) 0,4 процента цены контракта (этапа) в случае, если цена контракта (этапа) составляет от 500 млн рублей до 1 млрд рублей (включительно);</w:t>
      </w:r>
    </w:p>
    <w:p w14:paraId="53000000">
      <w:pPr>
        <w:pStyle w:val="Style_1"/>
        <w:rPr>
          <w:rFonts w:ascii="Serif" w:hAnsi="Serif"/>
          <w:color w:themeColor="text1" w:val="000000"/>
          <w:sz w:val="24"/>
        </w:rPr>
      </w:pPr>
      <w:r>
        <w:rPr>
          <w:rFonts w:ascii="Serif" w:hAnsi="Serif"/>
          <w:color w:themeColor="text1" w:val="000000"/>
          <w:sz w:val="24"/>
        </w:rPr>
        <w:t>е) 0,3 процента цены контракта (этапа) в случае, если цена контракта (этапа) составляет от 1 млрд рублей до 2 млрд рублей (включительно);</w:t>
      </w:r>
    </w:p>
    <w:p w14:paraId="54000000">
      <w:pPr>
        <w:pStyle w:val="Style_1"/>
        <w:rPr>
          <w:rFonts w:ascii="Serif" w:hAnsi="Serif"/>
          <w:color w:themeColor="text1" w:val="000000"/>
          <w:sz w:val="24"/>
        </w:rPr>
      </w:pPr>
      <w:r>
        <w:rPr>
          <w:rFonts w:ascii="Serif" w:hAnsi="Serif"/>
          <w:color w:themeColor="text1" w:val="000000"/>
          <w:sz w:val="24"/>
        </w:rPr>
        <w:t>ж) 0,25 процента цены контракта (этапа) в случае, если цена контракта (этапа) составляет от 2 млрд рублей до 5 млрд рублей (включительно);</w:t>
      </w:r>
    </w:p>
    <w:p w14:paraId="55000000">
      <w:pPr>
        <w:pStyle w:val="Style_1"/>
        <w:rPr>
          <w:rFonts w:ascii="Serif" w:hAnsi="Serif"/>
          <w:color w:themeColor="text1" w:val="000000"/>
          <w:sz w:val="24"/>
        </w:rPr>
      </w:pPr>
      <w:r>
        <w:rPr>
          <w:rFonts w:ascii="Serif" w:hAnsi="Serif"/>
          <w:color w:themeColor="text1" w:val="000000"/>
          <w:sz w:val="24"/>
        </w:rPr>
        <w:t>з) 0,2 процента цены контракта (этапа) в случае, если цена контракта (этапа) составляет от 5 млрд рублей до 10 млрд рублей (включительно);</w:t>
      </w:r>
    </w:p>
    <w:p w14:paraId="56000000">
      <w:pPr>
        <w:pStyle w:val="Style_1"/>
        <w:rPr>
          <w:rFonts w:ascii="Serif" w:hAnsi="Serif"/>
          <w:color w:themeColor="text1" w:val="000000"/>
          <w:sz w:val="24"/>
        </w:rPr>
      </w:pPr>
      <w:r>
        <w:rPr>
          <w:rFonts w:ascii="Serif" w:hAnsi="Serif"/>
          <w:color w:themeColor="text1" w:val="000000"/>
          <w:sz w:val="24"/>
        </w:rPr>
        <w:t>и) 0,1 процента цены контракта (этапа) в случае, если цена контракта (этапа) превышает 10 млрд рублей.</w:t>
      </w:r>
    </w:p>
    <w:p w14:paraId="57000000">
      <w:pPr>
        <w:pStyle w:val="Style_1"/>
        <w:rPr>
          <w:rFonts w:ascii="Serif" w:hAnsi="Serif"/>
          <w:color w:themeColor="text1" w:val="000000"/>
          <w:sz w:val="24"/>
        </w:rPr>
      </w:pPr>
      <w:r>
        <w:rPr>
          <w:rFonts w:ascii="Serif" w:hAnsi="Serif"/>
          <w:color w:themeColor="text1" w:val="000000"/>
          <w:sz w:val="24"/>
        </w:rPr>
        <w:t>7.7.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 1 ч. 1 ст. 30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58000000">
      <w:pPr>
        <w:pStyle w:val="Style_1"/>
        <w:rPr>
          <w:rFonts w:ascii="Serif" w:hAnsi="Serif"/>
          <w:color w:themeColor="text1" w:val="000000"/>
          <w:sz w:val="24"/>
        </w:rPr>
      </w:pPr>
      <w:r>
        <w:rPr>
          <w:rFonts w:ascii="Serif" w:hAnsi="Serif"/>
          <w:color w:themeColor="text1" w:val="000000"/>
          <w:sz w:val="24"/>
        </w:rPr>
        <w:t>7.8.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59000000">
      <w:pPr>
        <w:pStyle w:val="Style_1"/>
        <w:rPr>
          <w:rFonts w:ascii="Serif" w:hAnsi="Serif"/>
          <w:color w:themeColor="text1" w:val="000000"/>
          <w:sz w:val="24"/>
        </w:rPr>
      </w:pPr>
      <w:r>
        <w:rPr>
          <w:rFonts w:ascii="Serif" w:hAnsi="Serif"/>
          <w:color w:themeColor="text1" w:val="000000"/>
          <w:sz w:val="24"/>
        </w:rPr>
        <w:t>а) в случае, если цена Контракта не превышает начальную (максимальную) цену Контракта:</w:t>
      </w:r>
    </w:p>
    <w:p w14:paraId="5A000000">
      <w:pPr>
        <w:pStyle w:val="Style_1"/>
        <w:rPr>
          <w:rFonts w:ascii="Serif" w:hAnsi="Serif"/>
          <w:color w:themeColor="text1" w:val="000000"/>
          <w:sz w:val="24"/>
        </w:rPr>
      </w:pPr>
      <w:r>
        <w:rPr>
          <w:rFonts w:ascii="Serif" w:hAnsi="Serif"/>
          <w:color w:themeColor="text1" w:val="000000"/>
          <w:sz w:val="24"/>
        </w:rPr>
        <w:t>10 процентов начальной (максимальной) цены Контракта, если цена Контракта не превышает 3 млн. рублей;</w:t>
      </w:r>
    </w:p>
    <w:p w14:paraId="5B000000">
      <w:pPr>
        <w:pStyle w:val="Style_1"/>
        <w:rPr>
          <w:rFonts w:ascii="Serif" w:hAnsi="Serif"/>
          <w:color w:themeColor="text1" w:val="000000"/>
          <w:sz w:val="24"/>
        </w:rPr>
      </w:pPr>
      <w:r>
        <w:rPr>
          <w:rFonts w:ascii="Serif" w:hAnsi="Serif"/>
          <w:color w:themeColor="text1" w:val="000000"/>
          <w:sz w:val="24"/>
        </w:rPr>
        <w:t>5 процентов начальной (максимальной) цены Контракта, если цена Контракта составляет от 3 млн. рублей до 50 млн. рублей (включительно);</w:t>
      </w:r>
    </w:p>
    <w:p w14:paraId="5C000000">
      <w:pPr>
        <w:pStyle w:val="Style_1"/>
        <w:rPr>
          <w:rFonts w:ascii="Serif" w:hAnsi="Serif"/>
          <w:color w:themeColor="text1" w:val="000000"/>
          <w:sz w:val="24"/>
        </w:rPr>
      </w:pPr>
      <w:r>
        <w:rPr>
          <w:rFonts w:ascii="Serif" w:hAnsi="Serif"/>
          <w:color w:themeColor="text1" w:val="000000"/>
          <w:sz w:val="24"/>
        </w:rPr>
        <w:t>1 процент начальной (максимальной) цены Контракта, если цена Контракта составляет от 50 млн. рублей до 100 млн. рублей (включительно);</w:t>
      </w:r>
    </w:p>
    <w:p w14:paraId="5D000000">
      <w:pPr>
        <w:pStyle w:val="Style_1"/>
        <w:rPr>
          <w:rFonts w:ascii="Serif" w:hAnsi="Serif"/>
          <w:color w:themeColor="text1" w:val="000000"/>
          <w:sz w:val="24"/>
        </w:rPr>
      </w:pPr>
      <w:r>
        <w:rPr>
          <w:rFonts w:ascii="Serif" w:hAnsi="Serif"/>
          <w:color w:themeColor="text1" w:val="000000"/>
          <w:sz w:val="24"/>
        </w:rPr>
        <w:t>б) в случае, если цена Контракта превышает начальную (максимальную) цену Контракта:</w:t>
      </w:r>
    </w:p>
    <w:p w14:paraId="5E000000">
      <w:pPr>
        <w:pStyle w:val="Style_1"/>
        <w:rPr>
          <w:rFonts w:ascii="Serif" w:hAnsi="Serif"/>
          <w:color w:themeColor="text1" w:val="000000"/>
          <w:sz w:val="24"/>
        </w:rPr>
      </w:pPr>
      <w:r>
        <w:rPr>
          <w:rFonts w:ascii="Serif" w:hAnsi="Serif"/>
          <w:color w:themeColor="text1" w:val="000000"/>
          <w:sz w:val="24"/>
        </w:rPr>
        <w:t>10 процентов цены Контракта, если цена Контракта не превышает 3 млн. рублей;</w:t>
      </w:r>
    </w:p>
    <w:p w14:paraId="5F000000">
      <w:pPr>
        <w:pStyle w:val="Style_1"/>
        <w:rPr>
          <w:rFonts w:ascii="Serif" w:hAnsi="Serif"/>
          <w:color w:themeColor="text1" w:val="000000"/>
          <w:sz w:val="24"/>
        </w:rPr>
      </w:pPr>
      <w:r>
        <w:rPr>
          <w:rFonts w:ascii="Serif" w:hAnsi="Serif"/>
          <w:color w:themeColor="text1" w:val="000000"/>
          <w:sz w:val="24"/>
        </w:rPr>
        <w:t>5 процентов цены Контракта, если цена Контракта составляет от 3 млн. рублей до 50 млн. рублей (включительно);</w:t>
      </w:r>
    </w:p>
    <w:p w14:paraId="60000000">
      <w:pPr>
        <w:pStyle w:val="Style_1"/>
        <w:rPr>
          <w:rFonts w:ascii="Serif" w:hAnsi="Serif"/>
          <w:color w:themeColor="text1" w:val="000000"/>
          <w:sz w:val="24"/>
        </w:rPr>
      </w:pPr>
      <w:r>
        <w:rPr>
          <w:rFonts w:ascii="Serif" w:hAnsi="Serif"/>
          <w:color w:themeColor="text1" w:val="000000"/>
          <w:sz w:val="24"/>
        </w:rPr>
        <w:t>1 процент цены Контракта, если цена Контракта составляет от 50 млн. рублей до 100 млн. рублей (включительно).</w:t>
      </w:r>
    </w:p>
    <w:p w14:paraId="61000000">
      <w:pPr>
        <w:pStyle w:val="Style_1"/>
        <w:rPr>
          <w:rFonts w:ascii="Serif" w:hAnsi="Serif"/>
          <w:color w:themeColor="text1" w:val="000000"/>
          <w:sz w:val="24"/>
        </w:rPr>
      </w:pPr>
      <w:r>
        <w:rPr>
          <w:rFonts w:ascii="Serif" w:hAnsi="Serif"/>
          <w:color w:themeColor="text1" w:val="000000"/>
          <w:sz w:val="24"/>
        </w:rPr>
        <w:t>7.9.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2000000">
      <w:pPr>
        <w:pStyle w:val="Style_1"/>
        <w:rPr>
          <w:rFonts w:ascii="Serif" w:hAnsi="Serif"/>
          <w:color w:themeColor="text1" w:val="000000"/>
          <w:sz w:val="24"/>
        </w:rPr>
      </w:pPr>
      <w:r>
        <w:rPr>
          <w:rFonts w:ascii="Serif" w:hAnsi="Serif"/>
          <w:color w:themeColor="text1" w:val="000000"/>
          <w:sz w:val="24"/>
        </w:rPr>
        <w:t>а) 1000 рублей, если цена Контракта не превышает 3 млн. рублей;</w:t>
      </w:r>
    </w:p>
    <w:p w14:paraId="63000000">
      <w:pPr>
        <w:pStyle w:val="Style_1"/>
        <w:rPr>
          <w:rFonts w:ascii="Serif" w:hAnsi="Serif"/>
          <w:color w:themeColor="text1" w:val="000000"/>
          <w:sz w:val="24"/>
        </w:rPr>
      </w:pPr>
      <w:r>
        <w:rPr>
          <w:rFonts w:ascii="Serif" w:hAnsi="Serif"/>
          <w:color w:themeColor="text1" w:val="000000"/>
          <w:sz w:val="24"/>
        </w:rPr>
        <w:t>б) 5000 рублей, если цена Контракта составляет от 3 млн. рублей до 50 млн. рублей (включительно);</w:t>
      </w:r>
    </w:p>
    <w:p w14:paraId="64000000">
      <w:pPr>
        <w:pStyle w:val="Style_1"/>
        <w:rPr>
          <w:rFonts w:ascii="Serif" w:hAnsi="Serif"/>
          <w:color w:themeColor="text1" w:val="000000"/>
          <w:sz w:val="24"/>
        </w:rPr>
      </w:pPr>
      <w:r>
        <w:rPr>
          <w:rFonts w:ascii="Serif" w:hAnsi="Serif"/>
          <w:color w:themeColor="text1" w:val="000000"/>
          <w:sz w:val="24"/>
        </w:rPr>
        <w:t>в) 10000 рублей, если цена Контракта составляет от 50 млн. рублей до 100 млн. рублей (включительно);</w:t>
      </w:r>
    </w:p>
    <w:p w14:paraId="65000000">
      <w:pPr>
        <w:pStyle w:val="Style_1"/>
        <w:rPr>
          <w:rFonts w:ascii="Serif" w:hAnsi="Serif"/>
          <w:color w:themeColor="text1" w:val="000000"/>
          <w:sz w:val="24"/>
        </w:rPr>
      </w:pPr>
      <w:r>
        <w:rPr>
          <w:rFonts w:ascii="Serif" w:hAnsi="Serif"/>
          <w:color w:themeColor="text1" w:val="000000"/>
          <w:sz w:val="24"/>
        </w:rPr>
        <w:t>г) 100000 рублей, если цена Контракта превышает 100 млн. рублей.</w:t>
      </w:r>
    </w:p>
    <w:p w14:paraId="66000000">
      <w:pPr>
        <w:pStyle w:val="Style_1"/>
        <w:rPr>
          <w:rFonts w:ascii="Serif" w:hAnsi="Serif"/>
          <w:color w:themeColor="text1" w:val="000000"/>
          <w:sz w:val="24"/>
        </w:rPr>
      </w:pPr>
      <w:r>
        <w:rPr>
          <w:rFonts w:ascii="Serif" w:hAnsi="Serif"/>
          <w:color w:themeColor="text1" w:val="000000"/>
          <w:sz w:val="24"/>
        </w:rPr>
        <w:t>7.10.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7000000">
      <w:pPr>
        <w:pStyle w:val="Style_1"/>
        <w:rPr>
          <w:rFonts w:ascii="Serif" w:hAnsi="Serif"/>
          <w:color w:themeColor="text1" w:val="000000"/>
          <w:sz w:val="24"/>
        </w:rPr>
      </w:pPr>
      <w:r>
        <w:rPr>
          <w:rFonts w:ascii="Serif" w:hAnsi="Serif"/>
          <w:color w:themeColor="text1" w:val="000000"/>
          <w:sz w:val="24"/>
        </w:rPr>
        <w:t>7.11.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контрактом в соответствии с законодательством Российской Федерации.</w:t>
      </w:r>
    </w:p>
    <w:p w14:paraId="68000000">
      <w:pPr>
        <w:pStyle w:val="Style_1"/>
        <w:rPr>
          <w:rFonts w:ascii="Serif" w:hAnsi="Serif"/>
          <w:color w:themeColor="text1" w:val="000000"/>
          <w:sz w:val="24"/>
        </w:rPr>
      </w:pPr>
      <w:r>
        <w:rPr>
          <w:rFonts w:ascii="Serif" w:hAnsi="Serif"/>
          <w:color w:themeColor="text1" w:val="000000"/>
          <w:sz w:val="24"/>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9000000">
      <w:pPr>
        <w:pStyle w:val="Style_1"/>
        <w:widowControl w:val="0"/>
        <w:spacing w:after="114" w:before="114" w:line="240" w:lineRule="auto"/>
        <w:ind w:firstLine="0" w:left="0" w:right="0"/>
        <w:jc w:val="center"/>
        <w:rPr>
          <w:rFonts w:ascii="Serif" w:hAnsi="Serif"/>
          <w:sz w:val="24"/>
        </w:rPr>
      </w:pPr>
      <w:r>
        <w:rPr>
          <w:rFonts w:ascii="Serif" w:hAnsi="Serif"/>
          <w:b w:val="1"/>
          <w:color w:themeColor="text1" w:val="000000"/>
          <w:sz w:val="24"/>
        </w:rPr>
        <w:t>8. ОБСТОЯТЕЛЬСТВА НЕПРЕОДОЛИМОЙ СИЛЫ</w:t>
      </w:r>
    </w:p>
    <w:p w14:paraId="6A000000">
      <w:pPr>
        <w:pStyle w:val="Style_1"/>
        <w:widowControl w:val="0"/>
        <w:spacing w:after="0" w:before="0" w:line="240" w:lineRule="auto"/>
        <w:ind w:firstLine="737" w:left="0" w:right="0"/>
        <w:jc w:val="both"/>
        <w:rPr>
          <w:rFonts w:ascii="Serif" w:hAnsi="Serif"/>
          <w:sz w:val="24"/>
        </w:rPr>
      </w:pPr>
      <w:r>
        <w:rPr>
          <w:rFonts w:ascii="Serif" w:hAnsi="Serif"/>
          <w:color w:themeColor="text1" w:val="000000"/>
          <w:sz w:val="24"/>
        </w:rPr>
        <w:t>8.1.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6B000000">
      <w:pPr>
        <w:pStyle w:val="Style_1"/>
        <w:widowControl w:val="0"/>
        <w:spacing w:after="0" w:before="0" w:line="240" w:lineRule="auto"/>
        <w:ind w:firstLine="737" w:left="0" w:right="0"/>
        <w:jc w:val="both"/>
        <w:rPr>
          <w:rFonts w:ascii="Serif" w:hAnsi="Serif"/>
          <w:sz w:val="24"/>
        </w:rPr>
      </w:pPr>
      <w:r>
        <w:rPr>
          <w:rFonts w:ascii="Serif" w:hAnsi="Serif"/>
          <w:color w:themeColor="text1" w:val="000000"/>
          <w:sz w:val="24"/>
        </w:rPr>
        <w:t>8.2.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6C000000">
      <w:pPr>
        <w:pStyle w:val="Style_1"/>
        <w:widowControl w:val="0"/>
        <w:spacing w:after="0" w:before="0" w:line="240" w:lineRule="auto"/>
        <w:ind w:firstLine="737" w:left="0" w:right="0"/>
        <w:jc w:val="both"/>
        <w:rPr>
          <w:rFonts w:ascii="Serif" w:hAnsi="Serif"/>
          <w:sz w:val="24"/>
        </w:rPr>
      </w:pPr>
      <w:r>
        <w:rPr>
          <w:rFonts w:ascii="Serif" w:hAnsi="Serif"/>
          <w:sz w:val="24"/>
        </w:rPr>
        <w:t>8.3. Неизвещение, либо несвоевременное извещение другой стороны согласно п.8.2. Контракта влечет за собой утрату права ссылаться на эти обстоятельства.</w:t>
      </w:r>
    </w:p>
    <w:p w14:paraId="6D000000">
      <w:pPr>
        <w:pStyle w:val="Style_3"/>
        <w:rPr>
          <w:rFonts w:ascii="Serif" w:hAnsi="Serif"/>
          <w:color w:themeColor="text1" w:val="000000"/>
          <w:sz w:val="24"/>
        </w:rPr>
      </w:pPr>
      <w:r>
        <w:rPr>
          <w:rFonts w:ascii="Serif" w:hAnsi="Serif"/>
          <w:color w:themeColor="text1" w:val="000000"/>
          <w:sz w:val="24"/>
        </w:rPr>
        <w:t>9</w:t>
      </w:r>
      <w:bookmarkStart w:id="42" w:name="sub_8"/>
      <w:r>
        <w:rPr>
          <w:rFonts w:ascii="Serif" w:hAnsi="Serif"/>
          <w:color w:themeColor="text1" w:val="000000"/>
          <w:sz w:val="24"/>
        </w:rPr>
        <w:t>. АНТИКОРРУПЦИОННАЯ ОГОВОРКА</w:t>
      </w:r>
      <w:bookmarkEnd w:id="42"/>
    </w:p>
    <w:p w14:paraId="6E000000">
      <w:pPr>
        <w:pStyle w:val="Style_1"/>
        <w:rPr>
          <w:rFonts w:ascii="Serif" w:hAnsi="Serif"/>
          <w:color w:themeColor="text1" w:val="000000"/>
          <w:sz w:val="24"/>
        </w:rPr>
      </w:pPr>
      <w:r>
        <w:rPr>
          <w:rFonts w:ascii="Serif" w:hAnsi="Serif"/>
          <w:color w:themeColor="text1" w:val="000000"/>
          <w:sz w:val="24"/>
        </w:rPr>
        <w:t>9.1.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6F000000">
      <w:pPr>
        <w:pStyle w:val="Style_1"/>
        <w:rPr>
          <w:rFonts w:ascii="Serif" w:hAnsi="Serif"/>
          <w:color w:themeColor="text1" w:val="000000"/>
          <w:sz w:val="24"/>
        </w:rPr>
      </w:pPr>
      <w:r>
        <w:rPr>
          <w:rFonts w:ascii="Serif" w:hAnsi="Serif"/>
          <w:color w:themeColor="text1" w:val="000000"/>
          <w:sz w:val="24"/>
        </w:rPr>
        <w:t xml:space="preserve">9.2.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w:t>
      </w:r>
      <w:r>
        <w:rPr>
          <w:rFonts w:ascii="Serif" w:hAnsi="Serif"/>
          <w:color w:themeColor="text1" w:val="000000"/>
          <w:sz w:val="24"/>
        </w:rPr>
        <w:t>пункте 8.1</w:t>
      </w:r>
      <w:r>
        <w:rPr>
          <w:rFonts w:ascii="Serif" w:hAnsi="Serif"/>
          <w:color w:themeColor="text1" w:val="000000"/>
          <w:sz w:val="24"/>
        </w:rPr>
        <w:t>, в том числе со стороны руководства или работников Сторон, третьих лиц.</w:t>
      </w:r>
    </w:p>
    <w:p w14:paraId="70000000">
      <w:pPr>
        <w:pStyle w:val="Style_1"/>
        <w:rPr>
          <w:rFonts w:ascii="Serif" w:hAnsi="Serif"/>
          <w:color w:themeColor="text1" w:val="000000"/>
          <w:sz w:val="24"/>
        </w:rPr>
      </w:pPr>
      <w:r>
        <w:rPr>
          <w:rFonts w:ascii="Serif" w:hAnsi="Serif"/>
          <w:color w:themeColor="text1" w:val="000000"/>
          <w:sz w:val="24"/>
        </w:rPr>
        <w:t>9.3.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71000000">
      <w:pPr>
        <w:pStyle w:val="Style_1"/>
        <w:rPr>
          <w:rFonts w:ascii="Serif" w:hAnsi="Serif"/>
          <w:color w:themeColor="text1" w:val="000000"/>
          <w:sz w:val="24"/>
        </w:rPr>
      </w:pPr>
      <w:r>
        <w:rPr>
          <w:rFonts w:ascii="Serif" w:hAnsi="Serif"/>
          <w:color w:themeColor="text1" w:val="000000"/>
          <w:sz w:val="24"/>
        </w:rPr>
        <w:t>9</w:t>
      </w:r>
      <w:bookmarkStart w:id="43" w:name="sub_84"/>
      <w:r>
        <w:rPr>
          <w:rFonts w:ascii="Serif" w:hAnsi="Serif"/>
          <w:color w:themeColor="text1" w:val="000000"/>
          <w:sz w:val="24"/>
        </w:rPr>
        <w:t>.4. Сторонам, их руководителям и работникам запрещается:</w:t>
      </w:r>
      <w:bookmarkEnd w:id="43"/>
    </w:p>
    <w:p w14:paraId="72000000">
      <w:pPr>
        <w:pStyle w:val="Style_1"/>
        <w:rPr>
          <w:rFonts w:ascii="Serif" w:hAnsi="Serif"/>
          <w:color w:themeColor="text1" w:val="000000"/>
          <w:sz w:val="24"/>
        </w:rPr>
      </w:pPr>
      <w:r>
        <w:rPr>
          <w:rFonts w:ascii="Serif" w:hAnsi="Serif"/>
          <w:color w:themeColor="text1" w:val="000000"/>
          <w:sz w:val="24"/>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73000000">
      <w:pPr>
        <w:pStyle w:val="Style_1"/>
        <w:rPr>
          <w:rFonts w:ascii="Serif" w:hAnsi="Serif"/>
          <w:color w:themeColor="text1" w:val="000000"/>
          <w:sz w:val="24"/>
        </w:rPr>
      </w:pPr>
      <w:r>
        <w:rPr>
          <w:rFonts w:ascii="Serif" w:hAnsi="Serif"/>
          <w:color w:themeColor="text1" w:val="000000"/>
          <w:sz w:val="24"/>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74000000">
      <w:pPr>
        <w:pStyle w:val="Style_1"/>
        <w:rPr>
          <w:rFonts w:ascii="Serif" w:hAnsi="Serif"/>
          <w:color w:themeColor="text1" w:val="000000"/>
          <w:sz w:val="24"/>
        </w:rPr>
      </w:pPr>
      <w:r>
        <w:rPr>
          <w:rFonts w:ascii="Serif" w:hAnsi="Serif"/>
          <w:color w:themeColor="text1" w:val="000000"/>
          <w:sz w:val="24"/>
        </w:rPr>
        <w:t>- совершать иные действия, нарушающие действующее антикоррупционное законодательство Российской Федерации.</w:t>
      </w:r>
    </w:p>
    <w:p w14:paraId="75000000">
      <w:pPr>
        <w:pStyle w:val="Style_1"/>
        <w:rPr>
          <w:rFonts w:ascii="Serif" w:hAnsi="Serif"/>
          <w:color w:themeColor="text1" w:val="000000"/>
          <w:sz w:val="24"/>
        </w:rPr>
      </w:pPr>
      <w:r>
        <w:rPr>
          <w:rFonts w:ascii="Serif" w:hAnsi="Serif"/>
          <w:color w:themeColor="text1" w:val="000000"/>
          <w:sz w:val="24"/>
        </w:rPr>
        <w:t>9</w:t>
      </w:r>
      <w:bookmarkStart w:id="44" w:name="sub_85"/>
      <w:r>
        <w:rPr>
          <w:rFonts w:ascii="Serif" w:hAnsi="Serif"/>
          <w:color w:themeColor="text1" w:val="000000"/>
          <w:sz w:val="24"/>
        </w:rPr>
        <w:t>.5.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bookmarkEnd w:id="44"/>
    </w:p>
    <w:p w14:paraId="76000000">
      <w:pPr>
        <w:pStyle w:val="Style_1"/>
        <w:rPr>
          <w:rFonts w:ascii="Serif" w:hAnsi="Serif"/>
          <w:color w:themeColor="text1" w:val="000000"/>
          <w:sz w:val="24"/>
        </w:rPr>
      </w:pPr>
      <w:r>
        <w:rPr>
          <w:rFonts w:ascii="Serif" w:hAnsi="Serif"/>
          <w:color w:themeColor="text1" w:val="000000"/>
          <w:sz w:val="24"/>
        </w:rPr>
        <w:t xml:space="preserve">Подтверждение должно быть направлено не позднее </w:t>
      </w:r>
      <w:r>
        <w:rPr>
          <w:rFonts w:ascii="Serif" w:hAnsi="Serif"/>
          <w:b w:val="0"/>
          <w:color w:themeColor="text1" w:val="000000"/>
          <w:sz w:val="24"/>
        </w:rPr>
        <w:t>5</w:t>
      </w:r>
      <w:r>
        <w:rPr>
          <w:rFonts w:ascii="Serif" w:hAnsi="Serif"/>
          <w:color w:themeColor="text1" w:val="000000"/>
          <w:sz w:val="24"/>
        </w:rPr>
        <w:t xml:space="preserve"> (пяти) рабочих дней с даты получения письменного уведомления.</w:t>
      </w:r>
    </w:p>
    <w:p w14:paraId="77000000">
      <w:pPr>
        <w:pStyle w:val="Style_1"/>
        <w:rPr>
          <w:rFonts w:ascii="Serif" w:hAnsi="Serif"/>
          <w:color w:themeColor="text1" w:val="000000"/>
          <w:sz w:val="24"/>
        </w:rPr>
      </w:pPr>
      <w:r>
        <w:rPr>
          <w:rFonts w:ascii="Serif" w:hAnsi="Serif"/>
          <w:color w:themeColor="text1" w:val="000000"/>
          <w:sz w:val="24"/>
        </w:rPr>
        <w:t>9.6.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78000000">
      <w:pPr>
        <w:pStyle w:val="Style_1"/>
        <w:rPr>
          <w:rFonts w:ascii="Serif" w:hAnsi="Serif"/>
          <w:color w:themeColor="text1" w:val="000000"/>
          <w:sz w:val="24"/>
        </w:rPr>
      </w:pPr>
      <w:r>
        <w:rPr>
          <w:rFonts w:ascii="Serif" w:hAnsi="Serif"/>
          <w:color w:themeColor="text1" w:val="000000"/>
          <w:sz w:val="24"/>
        </w:rPr>
        <w:t>9</w:t>
      </w:r>
      <w:bookmarkStart w:id="45" w:name="sub_87"/>
      <w:r>
        <w:rPr>
          <w:rFonts w:ascii="Serif" w:hAnsi="Serif"/>
          <w:color w:themeColor="text1" w:val="000000"/>
          <w:sz w:val="24"/>
        </w:rPr>
        <w:t>.7. В отношении третьих лиц Стороны обязуются:</w:t>
      </w:r>
      <w:bookmarkEnd w:id="45"/>
    </w:p>
    <w:p w14:paraId="79000000">
      <w:pPr>
        <w:pStyle w:val="Style_1"/>
        <w:rPr>
          <w:rFonts w:ascii="Serif" w:hAnsi="Serif"/>
          <w:color w:themeColor="text1" w:val="000000"/>
          <w:sz w:val="24"/>
        </w:rPr>
      </w:pPr>
      <w:r>
        <w:rPr>
          <w:rFonts w:ascii="Serif" w:hAnsi="Serif"/>
          <w:color w:themeColor="text1" w:val="000000"/>
          <w:sz w:val="24"/>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14:paraId="7A000000">
      <w:pPr>
        <w:pStyle w:val="Style_1"/>
        <w:rPr>
          <w:rFonts w:ascii="Serif" w:hAnsi="Serif"/>
          <w:color w:themeColor="text1" w:val="000000"/>
          <w:sz w:val="24"/>
        </w:rPr>
      </w:pPr>
      <w:r>
        <w:rPr>
          <w:rFonts w:ascii="Serif" w:hAnsi="Serif"/>
          <w:color w:themeColor="text1" w:val="000000"/>
          <w:sz w:val="24"/>
        </w:rPr>
        <w:t>- не привлекать их в качестве канала для совершения коррупционных действий;</w:t>
      </w:r>
    </w:p>
    <w:p w14:paraId="7B000000">
      <w:pPr>
        <w:pStyle w:val="Style_1"/>
        <w:rPr>
          <w:rFonts w:ascii="Serif" w:hAnsi="Serif"/>
          <w:color w:themeColor="text1" w:val="000000"/>
          <w:sz w:val="24"/>
        </w:rPr>
      </w:pPr>
      <w:r>
        <w:rPr>
          <w:rFonts w:ascii="Serif" w:hAnsi="Serif"/>
          <w:color w:themeColor="text1" w:val="000000"/>
          <w:sz w:val="24"/>
        </w:rPr>
        <w:t>- не осуществлять им выплат, превышающих размер соответствующего вознаграждения за оказываемые ими законные услуги.</w:t>
      </w:r>
    </w:p>
    <w:p w14:paraId="7C000000">
      <w:pPr>
        <w:pStyle w:val="Style_3"/>
        <w:spacing w:after="114" w:before="114"/>
        <w:ind w:firstLine="0" w:left="0" w:right="0"/>
        <w:rPr>
          <w:rFonts w:ascii="Serif" w:hAnsi="Serif"/>
          <w:sz w:val="24"/>
        </w:rPr>
      </w:pPr>
      <w:r>
        <w:rPr>
          <w:rFonts w:ascii="Serif" w:hAnsi="Serif"/>
          <w:color w:themeColor="text1" w:val="000000"/>
          <w:sz w:val="24"/>
        </w:rPr>
        <w:t>10</w:t>
      </w:r>
      <w:bookmarkStart w:id="46" w:name="sub_9"/>
      <w:r>
        <w:rPr>
          <w:rFonts w:ascii="Serif" w:hAnsi="Serif"/>
          <w:color w:themeColor="text1" w:val="000000"/>
          <w:sz w:val="24"/>
        </w:rPr>
        <w:t xml:space="preserve">. </w:t>
      </w:r>
      <w:bookmarkEnd w:id="46"/>
      <w:r>
        <w:rPr>
          <w:rFonts w:ascii="Serif" w:hAnsi="Serif"/>
          <w:color w:themeColor="text1" w:val="000000"/>
          <w:sz w:val="24"/>
        </w:rPr>
        <w:t>ПОРЯДОК УРЕГУЛИРОВАНИЯ СПОРОВ</w:t>
      </w:r>
    </w:p>
    <w:p w14:paraId="7D000000">
      <w:pPr>
        <w:pStyle w:val="Style_1"/>
        <w:widowControl w:val="0"/>
        <w:spacing w:after="0" w:before="0" w:line="240" w:lineRule="auto"/>
        <w:ind w:firstLine="737" w:left="0" w:right="0"/>
        <w:jc w:val="both"/>
        <w:rPr>
          <w:rFonts w:ascii="Serif" w:hAnsi="Serif"/>
          <w:sz w:val="24"/>
        </w:rPr>
      </w:pPr>
      <w:r>
        <w:rPr>
          <w:rFonts w:ascii="Serif" w:hAnsi="Serif"/>
          <w:color w:themeColor="text1" w:val="000000"/>
          <w:sz w:val="24"/>
        </w:rPr>
        <w:t>10.1. Все споры и разногласия, которые могут возникнуть между Сторонами при исполнении условий настоящего Контракта, будут разрешаться путем переговоров.</w:t>
      </w:r>
    </w:p>
    <w:p w14:paraId="7E000000">
      <w:pPr>
        <w:pStyle w:val="Style_1"/>
        <w:widowControl w:val="0"/>
        <w:spacing w:after="0" w:before="0" w:line="240" w:lineRule="auto"/>
        <w:ind w:firstLine="737" w:left="0" w:right="0"/>
        <w:jc w:val="both"/>
        <w:rPr>
          <w:rFonts w:ascii="Serif" w:hAnsi="Serif"/>
          <w:sz w:val="24"/>
        </w:rPr>
      </w:pPr>
      <w:r>
        <w:rPr>
          <w:rFonts w:ascii="Serif" w:hAnsi="Serif"/>
          <w:color w:themeColor="text1" w:val="000000"/>
          <w:sz w:val="24"/>
        </w:rPr>
        <w:t>10.2. При не урегулировании в процессе переговоров спорных вопросов, споры разрешаются в Арбитражном суде Тюменской области (по месту нахождения Заказчика) в порядке, установленном действующим законодательством Российской Федерации.</w:t>
      </w:r>
    </w:p>
    <w:p w14:paraId="7F000000">
      <w:pPr>
        <w:pStyle w:val="Style_1"/>
        <w:widowControl w:val="0"/>
        <w:spacing w:after="0" w:before="0" w:line="240" w:lineRule="auto"/>
        <w:ind w:firstLine="737" w:left="0" w:right="0"/>
        <w:jc w:val="both"/>
        <w:rPr>
          <w:rFonts w:ascii="Serif" w:hAnsi="Serif"/>
          <w:sz w:val="24"/>
        </w:rPr>
      </w:pPr>
      <w:r>
        <w:rPr>
          <w:rFonts w:ascii="Serif" w:hAnsi="Serif"/>
          <w:color w:themeColor="text1" w:val="000000"/>
          <w:sz w:val="24"/>
        </w:rPr>
        <w:t>10.3. До передачи спора на разрешения Арбитражного суда Тюменской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10 (десяти) дней от даты ее получения.</w:t>
      </w:r>
    </w:p>
    <w:p w14:paraId="80000000">
      <w:pPr>
        <w:pStyle w:val="Style_3"/>
        <w:rPr>
          <w:rFonts w:ascii="Serif" w:hAnsi="Serif"/>
          <w:color w:themeColor="text1" w:val="000000"/>
          <w:sz w:val="24"/>
        </w:rPr>
      </w:pPr>
      <w:r>
        <w:rPr>
          <w:rFonts w:ascii="Serif" w:hAnsi="Serif"/>
          <w:color w:themeColor="text1" w:val="000000"/>
          <w:sz w:val="24"/>
        </w:rPr>
        <w:t>11</w:t>
      </w:r>
      <w:bookmarkStart w:id="47" w:name="sub_10"/>
      <w:r>
        <w:rPr>
          <w:rFonts w:ascii="Serif" w:hAnsi="Serif"/>
          <w:color w:themeColor="text1" w:val="000000"/>
          <w:sz w:val="24"/>
        </w:rPr>
        <w:t>. ЗАКЛЮЧИТЕЛЬНЫЕ ПОЛОЖЕНИЯ</w:t>
      </w:r>
      <w:bookmarkEnd w:id="47"/>
    </w:p>
    <w:p w14:paraId="81000000">
      <w:pPr>
        <w:pStyle w:val="Style_1"/>
        <w:rPr>
          <w:rFonts w:ascii="Serif" w:hAnsi="Serif"/>
          <w:color w:themeColor="text1" w:val="000000"/>
          <w:sz w:val="24"/>
        </w:rPr>
      </w:pPr>
      <w:r>
        <w:rPr>
          <w:rFonts w:ascii="Serif" w:hAnsi="Serif"/>
          <w:color w:themeColor="text1" w:val="000000"/>
          <w:sz w:val="24"/>
        </w:rPr>
        <w:t>11.1. Настоящий Контракт составлен в 2 (Двух) экземплярах: в электронном виде и (или) на бумажном носителе. Контракты удостоверяются подписью руководителя Заказчика и Исполнителя и скрепляются печатями. Один Экземпляр Контракта передается (направляется) Исполнителю, второй находится у Заказчика.</w:t>
      </w:r>
    </w:p>
    <w:p w14:paraId="82000000">
      <w:pPr>
        <w:pStyle w:val="Style_1"/>
        <w:rPr>
          <w:rFonts w:ascii="Serif" w:hAnsi="Serif"/>
          <w:color w:themeColor="text1" w:val="000000"/>
          <w:sz w:val="24"/>
        </w:rPr>
      </w:pPr>
      <w:r>
        <w:rPr>
          <w:rFonts w:ascii="Serif" w:hAnsi="Serif"/>
          <w:color w:themeColor="text1" w:val="000000"/>
          <w:sz w:val="24"/>
        </w:rPr>
        <w:t>11.2. 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83000000">
      <w:pPr>
        <w:pStyle w:val="Style_1"/>
        <w:rPr>
          <w:rFonts w:ascii="Serif" w:hAnsi="Serif"/>
          <w:color w:themeColor="text1" w:val="000000"/>
          <w:sz w:val="24"/>
        </w:rPr>
      </w:pPr>
      <w:r>
        <w:rPr>
          <w:rFonts w:ascii="Serif" w:hAnsi="Serif"/>
          <w:color w:themeColor="text1" w:val="000000"/>
          <w:sz w:val="24"/>
        </w:rPr>
        <w:t>Юридически значимые сообщения подлежат передаче путем почтовой, факсимильной, электронной связи.</w:t>
      </w:r>
    </w:p>
    <w:p w14:paraId="84000000">
      <w:pPr>
        <w:pStyle w:val="Style_1"/>
        <w:rPr>
          <w:rFonts w:ascii="Serif" w:hAnsi="Serif"/>
          <w:color w:themeColor="text1" w:val="000000"/>
          <w:sz w:val="24"/>
        </w:rPr>
      </w:pPr>
      <w:r>
        <w:rPr>
          <w:rFonts w:ascii="Serif" w:hAnsi="Serif"/>
          <w:color w:themeColor="text1" w:val="000000"/>
          <w:sz w:val="24"/>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85000000">
      <w:pPr>
        <w:pStyle w:val="Style_1"/>
        <w:rPr>
          <w:rFonts w:ascii="Serif" w:hAnsi="Serif"/>
          <w:color w:themeColor="text1" w:val="000000"/>
          <w:sz w:val="24"/>
        </w:rPr>
      </w:pPr>
      <w:r>
        <w:rPr>
          <w:rFonts w:ascii="Serif" w:hAnsi="Serif"/>
          <w:color w:themeColor="text1" w:val="000000"/>
          <w:sz w:val="24"/>
        </w:rPr>
        <w:t>11.3. Стороны договорились, что при исполнении обязательств по Контракту могут обмениваться электронными документами с применением системы электронного документооборота (ЭДО) Диадок через оператора «Контурн Экстерн».</w:t>
      </w:r>
    </w:p>
    <w:p w14:paraId="86000000">
      <w:pPr>
        <w:pStyle w:val="Style_1"/>
        <w:rPr>
          <w:rFonts w:ascii="Serif" w:hAnsi="Serif"/>
          <w:color w:themeColor="text1" w:val="000000"/>
          <w:sz w:val="24"/>
        </w:rPr>
      </w:pPr>
      <w:r>
        <w:rPr>
          <w:rFonts w:ascii="Serif" w:hAnsi="Serif"/>
          <w:color w:themeColor="text1" w:val="000000"/>
          <w:sz w:val="24"/>
        </w:rPr>
        <w:t>11.4. Перемена Исполнителя не допускается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87000000">
      <w:pPr>
        <w:pStyle w:val="Style_1"/>
        <w:rPr>
          <w:rFonts w:ascii="Serif" w:hAnsi="Serif"/>
          <w:color w:themeColor="text1" w:val="000000"/>
          <w:sz w:val="24"/>
        </w:rPr>
      </w:pPr>
      <w:r>
        <w:rPr>
          <w:rFonts w:ascii="Serif" w:hAnsi="Serif"/>
          <w:color w:themeColor="text1" w:val="000000"/>
          <w:sz w:val="24"/>
        </w:rPr>
        <w:t>11.5. В случае ликвидации Исполнителя или проведения в отношении него процедуры признания несостоятельным (банкротом), последний обязан письменно уведомить Заказчика о проведении ликвидации или проведении в отношении его процедуры признания несостоятельным (банкротом) не позднее 1 (одного) рабочего дня со дня принятия решения о начале проведения ликвидации или введения процедуры банкротства соответственно.</w:t>
      </w:r>
    </w:p>
    <w:p w14:paraId="88000000">
      <w:pPr>
        <w:pStyle w:val="Style_1"/>
        <w:rPr>
          <w:rFonts w:ascii="Serif" w:hAnsi="Serif"/>
          <w:color w:themeColor="text1" w:val="000000"/>
          <w:sz w:val="24"/>
        </w:rPr>
      </w:pPr>
      <w:r>
        <w:rPr>
          <w:rFonts w:ascii="Serif" w:hAnsi="Serif"/>
          <w:color w:themeColor="text1" w:val="000000"/>
          <w:sz w:val="24"/>
        </w:rPr>
        <w:t>11.6. В случае приостановления деятельности Исполнителя в порядке, предусмотренном Кодексом Российской Федерации об административных правонарушениях, Исполнитель обязан письменно уведомить Заказчика о приостановлении своей деятельности не позднее 1 (одного) рабочего дня со дня принятия решения о приостановлении деятельности Исполнителя. </w:t>
      </w:r>
    </w:p>
    <w:p w14:paraId="89000000">
      <w:pPr>
        <w:pStyle w:val="Style_1"/>
        <w:rPr>
          <w:rFonts w:ascii="Serif" w:hAnsi="Serif"/>
          <w:color w:themeColor="text1" w:val="000000"/>
          <w:sz w:val="24"/>
        </w:rPr>
      </w:pPr>
      <w:r>
        <w:rPr>
          <w:rFonts w:ascii="Serif" w:hAnsi="Serif"/>
          <w:color w:themeColor="text1" w:val="000000"/>
          <w:sz w:val="24"/>
        </w:rPr>
        <w:t>11.7. В случае начала реорганизации Исполнителя, последний обязан письменно уведомить Заказчика о начале своей реорганизации не позднее 1 (одного) рабочего дня со дня принятия решения о реорганизации Исполнителя.</w:t>
      </w:r>
    </w:p>
    <w:p w14:paraId="8A000000">
      <w:pPr>
        <w:pStyle w:val="Style_1"/>
        <w:rPr>
          <w:rFonts w:ascii="Serif" w:hAnsi="Serif"/>
          <w:color w:themeColor="text1" w:val="000000"/>
          <w:sz w:val="24"/>
        </w:rPr>
      </w:pPr>
      <w:r>
        <w:rPr>
          <w:rFonts w:ascii="Serif" w:hAnsi="Serif"/>
          <w:color w:themeColor="text1" w:val="000000"/>
          <w:sz w:val="24"/>
        </w:rPr>
        <w:t>11.8. По вопросам, не предусмотренным настоящим Контрактом, Стороны руководствуются действующим законодательством Российской Федерации.</w:t>
      </w:r>
    </w:p>
    <w:p w14:paraId="8B000000">
      <w:pPr>
        <w:pStyle w:val="Style_1"/>
        <w:rPr>
          <w:rFonts w:ascii="Serif" w:hAnsi="Serif"/>
          <w:color w:themeColor="text1" w:val="000000"/>
          <w:sz w:val="24"/>
        </w:rPr>
      </w:pPr>
      <w:r>
        <w:rPr>
          <w:rFonts w:ascii="Serif" w:hAnsi="Serif"/>
          <w:color w:themeColor="text1" w:val="000000"/>
          <w:sz w:val="24"/>
        </w:rPr>
        <w:t>11.9. Техническое задание – Приложение № 1 к настоящему контракту.</w:t>
      </w:r>
    </w:p>
    <w:p w14:paraId="8C000000">
      <w:pPr>
        <w:pStyle w:val="Style_3"/>
        <w:spacing w:after="165" w:before="165"/>
        <w:ind/>
        <w:rPr>
          <w:rFonts w:ascii="Serif" w:hAnsi="Serif"/>
          <w:color w:themeColor="text1" w:val="000000"/>
          <w:sz w:val="24"/>
        </w:rPr>
      </w:pPr>
      <w:bookmarkStart w:id="48" w:name="sub_110"/>
      <w:r>
        <w:rPr>
          <w:rFonts w:ascii="Serif" w:hAnsi="Serif"/>
          <w:color w:themeColor="text1" w:val="000000"/>
          <w:sz w:val="24"/>
        </w:rPr>
        <w:t>12. РЕКВИЗИТЫ И ПОДПИСИ СТОРОН</w:t>
      </w:r>
      <w:bookmarkEnd w:id="48"/>
    </w:p>
    <w:tbl>
      <w:tblPr>
        <w:tblStyle w:val="Style_7"/>
        <w:tblW w:type="auto" w:w="0"/>
        <w:jc w:val="left"/>
        <w:tblInd w:type="dxa" w:w="69"/>
        <w:tblLayout w:type="fixed"/>
        <w:tblCellMar>
          <w:top w:type="dxa" w:w="0"/>
          <w:left w:type="dxa" w:w="108"/>
          <w:bottom w:type="dxa" w:w="0"/>
          <w:right w:type="dxa" w:w="108"/>
        </w:tblCellMar>
      </w:tblPr>
      <w:tblGrid>
        <w:gridCol w:w="5490"/>
        <w:gridCol w:w="4769"/>
      </w:tblGrid>
      <w:tr>
        <w:tc>
          <w:tcPr>
            <w:tcW w:type="dxa" w:w="5490"/>
            <w:tcMar>
              <w:top w:type="dxa" w:w="0"/>
              <w:left w:type="dxa" w:w="108"/>
              <w:bottom w:type="dxa" w:w="0"/>
              <w:right w:type="dxa" w:w="108"/>
            </w:tcMar>
          </w:tcPr>
          <w:p w14:paraId="8D000000">
            <w:pPr>
              <w:pStyle w:val="Style_1"/>
              <w:spacing w:after="0" w:before="0" w:line="240" w:lineRule="auto"/>
              <w:ind w:firstLine="0" w:left="0" w:right="0"/>
              <w:rPr>
                <w:rFonts w:ascii="Serif" w:hAnsi="Serif"/>
                <w:b w:val="1"/>
                <w:sz w:val="24"/>
              </w:rPr>
            </w:pPr>
            <w:r>
              <w:rPr>
                <w:rFonts w:ascii="Serif" w:hAnsi="Serif"/>
                <w:b w:val="1"/>
                <w:color w:val="000000"/>
                <w:spacing w:val="0"/>
                <w:sz w:val="24"/>
              </w:rPr>
              <w:t>ЗАКАЗЧИК:</w:t>
            </w:r>
          </w:p>
          <w:p w14:paraId="8E000000">
            <w:pPr>
              <w:pStyle w:val="Style_1"/>
              <w:spacing w:after="0" w:before="0" w:line="240" w:lineRule="auto"/>
              <w:ind w:firstLine="0" w:left="0" w:right="0"/>
              <w:rPr>
                <w:rFonts w:ascii="Serif" w:hAnsi="Serif"/>
                <w:b w:val="1"/>
                <w:sz w:val="24"/>
              </w:rPr>
            </w:pPr>
            <w:r>
              <w:rPr>
                <w:rFonts w:ascii="Serif" w:hAnsi="Serif"/>
                <w:b w:val="1"/>
                <w:color w:val="000000"/>
                <w:spacing w:val="0"/>
                <w:sz w:val="24"/>
              </w:rPr>
              <w:t>Федеральное казенное учреждение</w:t>
            </w:r>
          </w:p>
          <w:p w14:paraId="8F000000">
            <w:pPr>
              <w:pStyle w:val="Style_1"/>
              <w:spacing w:after="0" w:before="0" w:line="240" w:lineRule="auto"/>
              <w:ind w:firstLine="0" w:left="0" w:right="0"/>
              <w:rPr>
                <w:rFonts w:ascii="Serif" w:hAnsi="Serif"/>
                <w:b w:val="1"/>
                <w:sz w:val="24"/>
              </w:rPr>
            </w:pPr>
            <w:r>
              <w:rPr>
                <w:rFonts w:ascii="Serif" w:hAnsi="Serif"/>
                <w:b w:val="1"/>
                <w:color w:val="000000"/>
                <w:spacing w:val="0"/>
                <w:sz w:val="24"/>
              </w:rPr>
              <w:t>«Центр хранения страхового фонда»</w:t>
            </w:r>
          </w:p>
          <w:p w14:paraId="90000000">
            <w:pPr>
              <w:pStyle w:val="Style_1"/>
              <w:spacing w:after="0" w:before="0" w:line="240" w:lineRule="auto"/>
              <w:ind w:firstLine="0" w:left="0" w:right="0"/>
              <w:rPr>
                <w:rFonts w:ascii="Serif" w:hAnsi="Serif"/>
                <w:b w:val="1"/>
                <w:sz w:val="24"/>
              </w:rPr>
            </w:pPr>
            <w:r>
              <w:rPr>
                <w:rFonts w:ascii="Serif" w:hAnsi="Serif"/>
                <w:b w:val="1"/>
                <w:color w:val="000000"/>
                <w:spacing w:val="0"/>
                <w:sz w:val="24"/>
              </w:rPr>
              <w:t>(ЦХСФ)</w:t>
            </w:r>
          </w:p>
          <w:p w14:paraId="91000000">
            <w:pPr>
              <w:pStyle w:val="Style_1"/>
              <w:spacing w:after="0" w:before="0" w:line="240" w:lineRule="auto"/>
              <w:ind w:firstLine="0" w:left="0" w:right="0"/>
              <w:rPr>
                <w:rFonts w:ascii="Serif" w:hAnsi="Serif"/>
                <w:sz w:val="24"/>
              </w:rPr>
            </w:pPr>
            <w:r>
              <w:rPr>
                <w:rFonts w:ascii="Serif" w:hAnsi="Serif"/>
                <w:color w:val="000000"/>
                <w:spacing w:val="0"/>
                <w:sz w:val="24"/>
              </w:rPr>
              <w:t>Юридический/ почтовый адрес:</w:t>
            </w:r>
          </w:p>
          <w:p w14:paraId="92000000">
            <w:pPr>
              <w:pStyle w:val="Style_1"/>
              <w:spacing w:after="0" w:before="0" w:line="240" w:lineRule="auto"/>
              <w:ind w:firstLine="0" w:left="0" w:right="0"/>
              <w:rPr>
                <w:rFonts w:ascii="Serif" w:hAnsi="Serif"/>
                <w:sz w:val="24"/>
              </w:rPr>
            </w:pPr>
            <w:r>
              <w:rPr>
                <w:rFonts w:ascii="Serif" w:hAnsi="Serif"/>
                <w:color w:val="000000"/>
                <w:spacing w:val="0"/>
                <w:sz w:val="24"/>
              </w:rPr>
              <w:t>627015, Тюменская обл.,</w:t>
            </w:r>
          </w:p>
          <w:p w14:paraId="93000000">
            <w:pPr>
              <w:pStyle w:val="Style_1"/>
              <w:spacing w:after="0" w:before="0" w:line="240" w:lineRule="auto"/>
              <w:ind w:firstLine="0" w:left="0" w:right="0"/>
              <w:rPr>
                <w:rFonts w:ascii="Serif" w:hAnsi="Serif"/>
                <w:sz w:val="24"/>
              </w:rPr>
            </w:pPr>
            <w:r>
              <w:rPr>
                <w:rFonts w:ascii="Serif" w:hAnsi="Serif"/>
                <w:color w:val="000000"/>
                <w:spacing w:val="0"/>
                <w:sz w:val="24"/>
              </w:rPr>
              <w:t>г. Ялуторовск, ул. Ишимская, д.138</w:t>
            </w:r>
          </w:p>
          <w:p w14:paraId="94000000">
            <w:pPr>
              <w:pStyle w:val="Style_1"/>
              <w:spacing w:after="0" w:before="0" w:line="240" w:lineRule="auto"/>
              <w:ind w:firstLine="0" w:left="0" w:right="0"/>
              <w:rPr>
                <w:rFonts w:ascii="Serif" w:hAnsi="Serif"/>
                <w:sz w:val="24"/>
              </w:rPr>
            </w:pPr>
            <w:r>
              <w:rPr>
                <w:rFonts w:ascii="Serif" w:hAnsi="Serif"/>
                <w:color w:val="000000"/>
                <w:spacing w:val="0"/>
                <w:sz w:val="24"/>
              </w:rPr>
              <w:t>ИНН 7207000289 КПП 720701001</w:t>
            </w:r>
          </w:p>
          <w:p w14:paraId="95000000">
            <w:pPr>
              <w:pStyle w:val="Style_1"/>
              <w:spacing w:after="0" w:before="0" w:line="240" w:lineRule="auto"/>
              <w:ind w:firstLine="0" w:left="0" w:right="0"/>
              <w:rPr>
                <w:rFonts w:ascii="Serif" w:hAnsi="Serif"/>
                <w:sz w:val="24"/>
              </w:rPr>
            </w:pPr>
            <w:r>
              <w:rPr>
                <w:rFonts w:ascii="Serif" w:hAnsi="Serif"/>
                <w:color w:val="000000"/>
                <w:spacing w:val="0"/>
                <w:sz w:val="24"/>
              </w:rPr>
              <w:t>УФК по Новосибирской области</w:t>
            </w:r>
          </w:p>
          <w:p w14:paraId="96000000">
            <w:pPr>
              <w:pStyle w:val="Style_1"/>
              <w:spacing w:after="0" w:before="0" w:line="240" w:lineRule="auto"/>
              <w:ind w:firstLine="0" w:left="0" w:right="0"/>
              <w:rPr>
                <w:rFonts w:ascii="Serif" w:hAnsi="Serif"/>
                <w:sz w:val="24"/>
              </w:rPr>
            </w:pPr>
            <w:r>
              <w:rPr>
                <w:rFonts w:ascii="Serif" w:hAnsi="Serif"/>
                <w:color w:val="000000"/>
                <w:spacing w:val="0"/>
                <w:sz w:val="24"/>
              </w:rPr>
              <w:t>(ЦХСФ лицевой счет 03671086940)</w:t>
            </w:r>
          </w:p>
          <w:p w14:paraId="97000000">
            <w:pPr>
              <w:pStyle w:val="Style_1"/>
              <w:spacing w:after="0" w:before="0" w:line="240" w:lineRule="auto"/>
              <w:ind w:firstLine="0" w:left="0" w:right="0"/>
              <w:rPr>
                <w:rFonts w:ascii="Serif" w:hAnsi="Serif"/>
                <w:sz w:val="24"/>
              </w:rPr>
            </w:pPr>
            <w:r>
              <w:rPr>
                <w:rFonts w:ascii="Serif" w:hAnsi="Serif"/>
                <w:color w:val="000000"/>
                <w:spacing w:val="0"/>
                <w:sz w:val="24"/>
              </w:rPr>
              <w:t>ОКЦ №1 СибГУ Банка  России//</w:t>
            </w:r>
          </w:p>
          <w:p w14:paraId="98000000">
            <w:pPr>
              <w:pStyle w:val="Style_1"/>
              <w:spacing w:after="0" w:before="0" w:line="240" w:lineRule="auto"/>
              <w:ind w:firstLine="0" w:left="0" w:right="0"/>
              <w:rPr>
                <w:rFonts w:ascii="Serif" w:hAnsi="Serif"/>
                <w:sz w:val="24"/>
              </w:rPr>
            </w:pPr>
            <w:r>
              <w:rPr>
                <w:rFonts w:ascii="Serif" w:hAnsi="Serif"/>
                <w:color w:val="000000"/>
                <w:spacing w:val="0"/>
                <w:sz w:val="24"/>
              </w:rPr>
              <w:t>УФК по Новосибирской области, г. Новосибирск</w:t>
            </w:r>
          </w:p>
          <w:p w14:paraId="99000000">
            <w:pPr>
              <w:pStyle w:val="Style_1"/>
              <w:spacing w:after="0" w:before="0" w:line="240" w:lineRule="auto"/>
              <w:ind w:firstLine="0" w:left="0" w:right="0"/>
              <w:rPr>
                <w:rFonts w:ascii="Serif" w:hAnsi="Serif"/>
                <w:sz w:val="24"/>
              </w:rPr>
            </w:pPr>
            <w:r>
              <w:rPr>
                <w:rFonts w:ascii="Serif" w:hAnsi="Serif"/>
                <w:color w:val="000000"/>
                <w:spacing w:val="0"/>
                <w:sz w:val="24"/>
              </w:rPr>
              <w:t>казначейский счет: 03211643000000015114</w:t>
            </w:r>
          </w:p>
          <w:p w14:paraId="9A000000">
            <w:pPr>
              <w:pStyle w:val="Style_1"/>
              <w:spacing w:after="0" w:before="0" w:line="240" w:lineRule="auto"/>
              <w:ind w:firstLine="0" w:left="0" w:right="0"/>
              <w:rPr>
                <w:rFonts w:ascii="Serif" w:hAnsi="Serif"/>
                <w:sz w:val="24"/>
              </w:rPr>
            </w:pPr>
            <w:r>
              <w:rPr>
                <w:rFonts w:ascii="Serif" w:hAnsi="Serif"/>
                <w:color w:val="000000"/>
                <w:spacing w:val="0"/>
                <w:sz w:val="24"/>
              </w:rPr>
              <w:t>банковский счет:    40102810445370000043</w:t>
            </w:r>
          </w:p>
          <w:p w14:paraId="9B000000">
            <w:pPr>
              <w:pStyle w:val="Style_1"/>
              <w:spacing w:after="0" w:before="0" w:line="240" w:lineRule="auto"/>
              <w:ind w:firstLine="0" w:left="0" w:right="0"/>
              <w:rPr>
                <w:rFonts w:ascii="Serif" w:hAnsi="Serif"/>
                <w:sz w:val="24"/>
              </w:rPr>
            </w:pPr>
            <w:r>
              <w:rPr>
                <w:rFonts w:ascii="Serif" w:hAnsi="Serif"/>
                <w:color w:val="000000"/>
                <w:spacing w:val="0"/>
                <w:sz w:val="24"/>
              </w:rPr>
              <w:t>БИК: 015004950</w:t>
            </w:r>
          </w:p>
          <w:p w14:paraId="9C000000">
            <w:pPr>
              <w:pStyle w:val="Style_1"/>
              <w:spacing w:after="0" w:before="0" w:line="240" w:lineRule="auto"/>
              <w:ind w:firstLine="0" w:left="0" w:right="0"/>
              <w:rPr>
                <w:rFonts w:ascii="Serif" w:hAnsi="Serif"/>
                <w:sz w:val="24"/>
              </w:rPr>
            </w:pPr>
            <w:r>
              <w:rPr>
                <w:rFonts w:ascii="Serif" w:hAnsi="Serif"/>
                <w:color w:val="000000"/>
                <w:spacing w:val="0"/>
                <w:sz w:val="24"/>
              </w:rPr>
              <w:t>ОКТМО 71715000</w:t>
            </w:r>
          </w:p>
          <w:p w14:paraId="9D000000">
            <w:pPr>
              <w:pStyle w:val="Style_1"/>
              <w:spacing w:after="0" w:before="0" w:line="240" w:lineRule="auto"/>
              <w:ind w:firstLine="0" w:left="0" w:right="0"/>
              <w:rPr>
                <w:rFonts w:ascii="Serif" w:hAnsi="Serif"/>
                <w:sz w:val="24"/>
              </w:rPr>
            </w:pPr>
            <w:r>
              <w:rPr>
                <w:rFonts w:ascii="Serif" w:hAnsi="Serif"/>
                <w:color w:val="000000"/>
                <w:spacing w:val="0"/>
                <w:sz w:val="24"/>
              </w:rPr>
              <w:t>Тел.: +7(34535)3-22-71</w:t>
            </w:r>
          </w:p>
          <w:p w14:paraId="9E000000">
            <w:pPr>
              <w:pStyle w:val="Style_1"/>
              <w:spacing w:after="0" w:before="0" w:line="240" w:lineRule="auto"/>
              <w:ind w:firstLine="0" w:left="0" w:right="0"/>
              <w:rPr>
                <w:rFonts w:ascii="Serif" w:hAnsi="Serif"/>
                <w:sz w:val="24"/>
              </w:rPr>
            </w:pPr>
            <w:r>
              <w:rPr>
                <w:rFonts w:ascii="Serif" w:hAnsi="Serif"/>
                <w:color w:val="000000"/>
                <w:spacing w:val="0"/>
                <w:sz w:val="24"/>
              </w:rPr>
              <w:t>email: yalarhiv@yandex.ru</w:t>
            </w:r>
          </w:p>
          <w:p w14:paraId="9F000000">
            <w:pPr>
              <w:pStyle w:val="Style_1"/>
              <w:spacing w:after="0" w:before="0" w:line="240" w:lineRule="auto"/>
              <w:ind w:firstLine="720" w:left="0" w:right="0"/>
              <w:rPr>
                <w:rFonts w:ascii="Serif" w:hAnsi="Serif"/>
                <w:sz w:val="24"/>
              </w:rPr>
            </w:pPr>
          </w:p>
          <w:p w14:paraId="A0000000">
            <w:pPr>
              <w:pStyle w:val="Style_1"/>
              <w:spacing w:after="0" w:before="0" w:line="240" w:lineRule="auto"/>
              <w:ind w:firstLine="720" w:left="0" w:right="0"/>
              <w:rPr>
                <w:rFonts w:ascii="Serif" w:hAnsi="Serif"/>
                <w:sz w:val="24"/>
              </w:rPr>
            </w:pPr>
          </w:p>
          <w:p w14:paraId="A1000000">
            <w:pPr>
              <w:pStyle w:val="Style_1"/>
              <w:spacing w:after="0" w:before="0" w:line="240" w:lineRule="auto"/>
              <w:ind w:firstLine="0" w:left="0" w:right="0"/>
              <w:rPr>
                <w:rFonts w:ascii="Serif" w:hAnsi="Serif"/>
                <w:sz w:val="24"/>
              </w:rPr>
            </w:pPr>
            <w:r>
              <w:rPr>
                <w:rFonts w:ascii="Serif" w:hAnsi="Serif"/>
                <w:color w:val="000000"/>
                <w:spacing w:val="0"/>
                <w:sz w:val="24"/>
              </w:rPr>
              <w:t>Директор ____________ Д.С. Васильев</w:t>
            </w:r>
          </w:p>
          <w:p w14:paraId="A2000000">
            <w:pPr>
              <w:pStyle w:val="Style_1"/>
              <w:spacing w:after="0" w:before="0" w:line="240" w:lineRule="auto"/>
              <w:ind w:firstLine="0" w:left="0" w:right="0"/>
              <w:rPr>
                <w:rFonts w:ascii="Serif" w:hAnsi="Serif"/>
                <w:sz w:val="24"/>
              </w:rPr>
            </w:pPr>
            <w:r>
              <w:rPr>
                <w:rFonts w:ascii="Serif" w:hAnsi="Serif"/>
                <w:color w:val="000000"/>
                <w:spacing w:val="0"/>
                <w:sz w:val="24"/>
              </w:rPr>
              <w:t>М.П.</w:t>
            </w:r>
          </w:p>
        </w:tc>
        <w:tc>
          <w:tcPr>
            <w:tcW w:type="dxa" w:w="4769"/>
            <w:tcMar>
              <w:top w:type="dxa" w:w="0"/>
              <w:left w:type="dxa" w:w="108"/>
              <w:bottom w:type="dxa" w:w="0"/>
              <w:right w:type="dxa" w:w="108"/>
            </w:tcMar>
          </w:tcPr>
          <w:p w14:paraId="A3000000">
            <w:pPr>
              <w:pStyle w:val="Style_1"/>
              <w:widowControl w:val="0"/>
              <w:spacing w:after="0" w:before="0" w:line="276" w:lineRule="auto"/>
              <w:ind w:firstLine="0" w:left="113" w:right="113"/>
              <w:jc w:val="both"/>
              <w:rPr>
                <w:sz w:val="20"/>
              </w:rPr>
            </w:pPr>
            <w:r>
              <w:rPr>
                <w:rFonts w:ascii="Serif" w:hAnsi="Serif"/>
                <w:b w:val="1"/>
                <w:color w:themeColor="text1" w:val="000000"/>
                <w:spacing w:val="0"/>
                <w:sz w:val="24"/>
              </w:rPr>
              <w:t>ИСПОЛНИТЕЛЬ:</w:t>
            </w:r>
          </w:p>
          <w:p w14:paraId="A4000000">
            <w:pPr>
              <w:pStyle w:val="Style_1"/>
              <w:widowControl w:val="0"/>
              <w:spacing w:after="0" w:before="0" w:line="240" w:lineRule="auto"/>
              <w:ind w:firstLine="0" w:left="113" w:right="113"/>
              <w:jc w:val="both"/>
              <w:rPr>
                <w:rFonts w:ascii="Serif" w:hAnsi="Serif"/>
                <w:color w:themeColor="text1" w:val="000000"/>
                <w:sz w:val="24"/>
              </w:rPr>
            </w:pPr>
          </w:p>
          <w:p w14:paraId="A5000000">
            <w:pPr>
              <w:pStyle w:val="Style_1"/>
              <w:widowControl w:val="0"/>
              <w:spacing w:after="0" w:before="0" w:line="240" w:lineRule="auto"/>
              <w:ind w:firstLine="0" w:left="113" w:right="113"/>
              <w:jc w:val="both"/>
              <w:rPr>
                <w:rFonts w:ascii="Serif" w:hAnsi="Serif"/>
                <w:color w:themeColor="text1" w:val="000000"/>
                <w:sz w:val="24"/>
              </w:rPr>
            </w:pPr>
          </w:p>
          <w:p w14:paraId="A6000000">
            <w:pPr>
              <w:pStyle w:val="Style_1"/>
              <w:widowControl w:val="0"/>
              <w:spacing w:after="0" w:before="0" w:line="240" w:lineRule="auto"/>
              <w:ind w:firstLine="0" w:left="113" w:right="113"/>
              <w:jc w:val="both"/>
              <w:rPr>
                <w:rFonts w:ascii="Serif" w:hAnsi="Serif"/>
                <w:color w:themeColor="text1" w:val="000000"/>
                <w:sz w:val="24"/>
              </w:rPr>
            </w:pPr>
          </w:p>
          <w:p w14:paraId="A7000000">
            <w:pPr>
              <w:pStyle w:val="Style_1"/>
              <w:widowControl w:val="0"/>
              <w:spacing w:after="0" w:before="0" w:line="240" w:lineRule="auto"/>
              <w:ind w:firstLine="0" w:left="113" w:right="113"/>
              <w:jc w:val="both"/>
              <w:rPr>
                <w:rFonts w:ascii="Serif" w:hAnsi="Serif"/>
                <w:color w:themeColor="text1" w:val="000000"/>
                <w:sz w:val="24"/>
              </w:rPr>
            </w:pPr>
          </w:p>
          <w:p w14:paraId="A8000000">
            <w:pPr>
              <w:pStyle w:val="Style_1"/>
              <w:widowControl w:val="0"/>
              <w:spacing w:after="0" w:before="0" w:line="240" w:lineRule="auto"/>
              <w:ind w:firstLine="0" w:left="113" w:right="113"/>
              <w:jc w:val="both"/>
              <w:rPr>
                <w:rFonts w:ascii="Serif" w:hAnsi="Serif"/>
                <w:color w:themeColor="text1" w:val="000000"/>
                <w:sz w:val="24"/>
              </w:rPr>
            </w:pPr>
          </w:p>
          <w:p w14:paraId="A9000000">
            <w:pPr>
              <w:pStyle w:val="Style_1"/>
              <w:widowControl w:val="0"/>
              <w:spacing w:after="0" w:before="0" w:line="240" w:lineRule="auto"/>
              <w:ind w:firstLine="0" w:left="113" w:right="113"/>
              <w:jc w:val="both"/>
              <w:rPr>
                <w:rFonts w:ascii="Serif" w:hAnsi="Serif"/>
                <w:color w:themeColor="text1" w:val="000000"/>
                <w:sz w:val="24"/>
              </w:rPr>
            </w:pPr>
          </w:p>
          <w:p w14:paraId="AA000000">
            <w:pPr>
              <w:pStyle w:val="Style_1"/>
              <w:widowControl w:val="0"/>
              <w:spacing w:after="0" w:before="0" w:line="240" w:lineRule="auto"/>
              <w:ind w:firstLine="0" w:left="113" w:right="113"/>
              <w:jc w:val="both"/>
              <w:rPr>
                <w:rFonts w:ascii="Serif" w:hAnsi="Serif"/>
                <w:color w:themeColor="text1" w:val="000000"/>
                <w:sz w:val="24"/>
              </w:rPr>
            </w:pPr>
          </w:p>
          <w:p w14:paraId="AB000000">
            <w:pPr>
              <w:pStyle w:val="Style_1"/>
              <w:widowControl w:val="0"/>
              <w:spacing w:after="0" w:before="0" w:line="240" w:lineRule="auto"/>
              <w:ind w:firstLine="0" w:left="113" w:right="113"/>
              <w:jc w:val="both"/>
              <w:rPr>
                <w:rFonts w:ascii="Serif" w:hAnsi="Serif"/>
                <w:color w:themeColor="text1" w:val="000000"/>
                <w:sz w:val="24"/>
              </w:rPr>
            </w:pPr>
          </w:p>
          <w:p w14:paraId="AC000000">
            <w:pPr>
              <w:pStyle w:val="Style_1"/>
              <w:widowControl w:val="0"/>
              <w:spacing w:after="0" w:before="0" w:line="240" w:lineRule="auto"/>
              <w:ind w:firstLine="0" w:left="113" w:right="113"/>
              <w:jc w:val="both"/>
              <w:rPr>
                <w:rFonts w:ascii="Serif" w:hAnsi="Serif"/>
                <w:color w:themeColor="text1" w:val="000000"/>
                <w:sz w:val="24"/>
              </w:rPr>
            </w:pPr>
          </w:p>
          <w:p w14:paraId="AD000000">
            <w:pPr>
              <w:pStyle w:val="Style_1"/>
              <w:widowControl w:val="0"/>
              <w:spacing w:after="0" w:before="0" w:line="240" w:lineRule="auto"/>
              <w:ind w:firstLine="0" w:left="113" w:right="113"/>
              <w:jc w:val="both"/>
              <w:rPr>
                <w:rFonts w:ascii="Serif" w:hAnsi="Serif"/>
                <w:color w:themeColor="text1" w:val="000000"/>
                <w:sz w:val="24"/>
              </w:rPr>
            </w:pPr>
          </w:p>
          <w:p w14:paraId="AE000000">
            <w:pPr>
              <w:pStyle w:val="Style_1"/>
              <w:widowControl w:val="0"/>
              <w:spacing w:after="0" w:before="0" w:line="240" w:lineRule="auto"/>
              <w:ind w:firstLine="0" w:left="113" w:right="113"/>
              <w:jc w:val="both"/>
              <w:rPr>
                <w:rFonts w:ascii="Serif" w:hAnsi="Serif"/>
                <w:color w:themeColor="text1" w:val="000000"/>
                <w:sz w:val="24"/>
              </w:rPr>
            </w:pPr>
          </w:p>
          <w:p w14:paraId="AF000000">
            <w:pPr>
              <w:pStyle w:val="Style_1"/>
              <w:widowControl w:val="0"/>
              <w:spacing w:after="0" w:before="0" w:line="240" w:lineRule="auto"/>
              <w:ind w:firstLine="0" w:left="113" w:right="113"/>
              <w:jc w:val="both"/>
              <w:rPr>
                <w:rFonts w:ascii="Serif" w:hAnsi="Serif"/>
                <w:color w:themeColor="text1" w:val="000000"/>
                <w:sz w:val="24"/>
              </w:rPr>
            </w:pPr>
          </w:p>
          <w:p w14:paraId="B0000000">
            <w:pPr>
              <w:pStyle w:val="Style_1"/>
              <w:widowControl w:val="0"/>
              <w:spacing w:after="0" w:before="0" w:line="240" w:lineRule="auto"/>
              <w:ind w:firstLine="0" w:left="113" w:right="113"/>
              <w:jc w:val="both"/>
              <w:rPr>
                <w:rFonts w:ascii="Serif" w:hAnsi="Serif"/>
                <w:color w:themeColor="text1" w:val="000000"/>
                <w:sz w:val="24"/>
              </w:rPr>
            </w:pPr>
          </w:p>
          <w:p w14:paraId="B1000000">
            <w:pPr>
              <w:pStyle w:val="Style_1"/>
              <w:widowControl w:val="0"/>
              <w:spacing w:after="0" w:before="0" w:line="240" w:lineRule="auto"/>
              <w:ind w:firstLine="0" w:left="113" w:right="113"/>
              <w:jc w:val="both"/>
              <w:rPr>
                <w:rFonts w:ascii="Serif" w:hAnsi="Serif"/>
                <w:color w:themeColor="text1" w:val="000000"/>
                <w:sz w:val="24"/>
              </w:rPr>
            </w:pPr>
          </w:p>
          <w:p w14:paraId="B2000000">
            <w:pPr>
              <w:pStyle w:val="Style_1"/>
              <w:widowControl w:val="0"/>
              <w:spacing w:after="0" w:before="0" w:line="240" w:lineRule="auto"/>
              <w:ind w:firstLine="0" w:left="113" w:right="113"/>
              <w:jc w:val="both"/>
              <w:rPr>
                <w:rFonts w:ascii="Serif" w:hAnsi="Serif"/>
                <w:color w:themeColor="text1" w:val="000000"/>
                <w:sz w:val="24"/>
              </w:rPr>
            </w:pPr>
          </w:p>
          <w:p w14:paraId="B3000000">
            <w:pPr>
              <w:pStyle w:val="Style_1"/>
              <w:widowControl w:val="0"/>
              <w:spacing w:after="0" w:before="0" w:line="240" w:lineRule="auto"/>
              <w:ind w:firstLine="0" w:left="113" w:right="113"/>
              <w:jc w:val="both"/>
              <w:rPr>
                <w:rFonts w:ascii="Serif" w:hAnsi="Serif"/>
                <w:color w:themeColor="text1" w:val="000000"/>
                <w:sz w:val="24"/>
              </w:rPr>
            </w:pPr>
          </w:p>
          <w:p w14:paraId="B4000000">
            <w:pPr>
              <w:pStyle w:val="Style_1"/>
              <w:widowControl w:val="0"/>
              <w:spacing w:after="0" w:before="0" w:line="240" w:lineRule="auto"/>
              <w:ind w:firstLine="0" w:left="113" w:right="113"/>
              <w:jc w:val="both"/>
              <w:rPr>
                <w:rFonts w:ascii="Serif" w:hAnsi="Serif"/>
                <w:color w:themeColor="text1" w:val="000000"/>
                <w:sz w:val="24"/>
              </w:rPr>
            </w:pPr>
          </w:p>
          <w:p w14:paraId="B5000000">
            <w:pPr>
              <w:pStyle w:val="Style_1"/>
              <w:widowControl w:val="0"/>
              <w:spacing w:after="0" w:before="0" w:line="240" w:lineRule="auto"/>
              <w:ind w:firstLine="0" w:left="113" w:right="113"/>
              <w:jc w:val="both"/>
              <w:rPr>
                <w:rFonts w:ascii="Serif" w:hAnsi="Serif"/>
                <w:color w:themeColor="text1" w:val="000000"/>
                <w:sz w:val="24"/>
              </w:rPr>
            </w:pPr>
          </w:p>
          <w:p w14:paraId="B6000000">
            <w:pPr>
              <w:pStyle w:val="Style_1"/>
              <w:widowControl w:val="0"/>
              <w:spacing w:after="0" w:before="0" w:line="240" w:lineRule="auto"/>
              <w:ind w:firstLine="0" w:left="113" w:right="113"/>
              <w:jc w:val="both"/>
              <w:rPr>
                <w:rFonts w:ascii="Serif" w:hAnsi="Serif"/>
                <w:color w:themeColor="text1" w:val="000000"/>
                <w:sz w:val="24"/>
              </w:rPr>
            </w:pPr>
          </w:p>
          <w:p w14:paraId="B7000000">
            <w:pPr>
              <w:pStyle w:val="Style_1"/>
              <w:widowControl w:val="0"/>
              <w:spacing w:after="0" w:before="0" w:line="240" w:lineRule="auto"/>
              <w:ind w:firstLine="0" w:left="113" w:right="113"/>
              <w:jc w:val="both"/>
              <w:rPr>
                <w:rFonts w:ascii="Serif" w:hAnsi="Serif"/>
                <w:color w:themeColor="text1" w:val="000000"/>
                <w:sz w:val="24"/>
              </w:rPr>
            </w:pPr>
          </w:p>
          <w:p w14:paraId="B8000000">
            <w:pPr>
              <w:pStyle w:val="Style_1"/>
              <w:widowControl w:val="0"/>
              <w:spacing w:after="0" w:before="0" w:line="240" w:lineRule="auto"/>
              <w:ind w:firstLine="0" w:left="113" w:right="113"/>
              <w:jc w:val="both"/>
              <w:rPr>
                <w:sz w:val="20"/>
              </w:rPr>
            </w:pPr>
            <w:r>
              <w:rPr>
                <w:rFonts w:ascii="Serif" w:hAnsi="Serif"/>
                <w:color w:themeColor="text1" w:val="000000"/>
                <w:spacing w:val="0"/>
                <w:sz w:val="24"/>
              </w:rPr>
              <w:t>М.П.</w:t>
            </w:r>
          </w:p>
        </w:tc>
      </w:tr>
    </w:tbl>
    <w:p w14:paraId="B9000000">
      <w:pPr>
        <w:pStyle w:val="Style_1"/>
        <w:ind/>
        <w:jc w:val="right"/>
        <w:rPr>
          <w:rFonts w:ascii="Serif" w:hAnsi="Serif"/>
          <w:sz w:val="24"/>
        </w:rPr>
      </w:pPr>
    </w:p>
    <w:p w14:paraId="BA000000">
      <w:pPr>
        <w:pStyle w:val="Style_1"/>
        <w:ind/>
        <w:jc w:val="right"/>
        <w:rPr>
          <w:rFonts w:ascii="Serif" w:hAnsi="Serif"/>
          <w:sz w:val="24"/>
        </w:rPr>
      </w:pPr>
      <w:r>
        <w:br w:type="column"/>
      </w:r>
      <w:r>
        <w:rPr>
          <w:rFonts w:ascii="Serif" w:hAnsi="Serif"/>
          <w:sz w:val="24"/>
        </w:rPr>
        <w:t>Приложение № 1 к Контракту</w:t>
      </w:r>
    </w:p>
    <w:p w14:paraId="BB000000">
      <w:pPr>
        <w:pStyle w:val="Style_8"/>
        <w:ind/>
        <w:jc w:val="right"/>
        <w:rPr>
          <w:rFonts w:ascii="Serif" w:hAnsi="Serif"/>
          <w:sz w:val="24"/>
        </w:rPr>
      </w:pPr>
      <w:r>
        <w:rPr>
          <w:rFonts w:ascii="Serif" w:hAnsi="Serif"/>
          <w:sz w:val="24"/>
        </w:rPr>
        <w:t>от «____» ______ 20__ г. № ____</w:t>
      </w:r>
    </w:p>
    <w:p w14:paraId="BC000000">
      <w:pPr>
        <w:pStyle w:val="Style_1"/>
        <w:spacing w:after="0" w:before="0"/>
        <w:ind w:hanging="6" w:left="-346" w:right="0"/>
        <w:rPr>
          <w:rFonts w:ascii="Serif" w:hAnsi="Serif"/>
          <w:b w:val="1"/>
          <w:sz w:val="24"/>
        </w:rPr>
      </w:pPr>
    </w:p>
    <w:p w14:paraId="BD000000">
      <w:pPr>
        <w:pStyle w:val="Style_1"/>
        <w:widowControl w:val="0"/>
        <w:tabs>
          <w:tab w:leader="none" w:pos="720" w:val="clear"/>
          <w:tab w:leader="none" w:pos="1368" w:val="left"/>
        </w:tabs>
        <w:spacing w:after="0" w:before="0"/>
        <w:ind/>
        <w:jc w:val="center"/>
        <w:rPr>
          <w:rFonts w:ascii="Serif" w:hAnsi="Serif"/>
          <w:b w:val="1"/>
          <w:sz w:val="24"/>
        </w:rPr>
      </w:pPr>
      <w:r>
        <w:rPr>
          <w:rFonts w:ascii="Serif" w:hAnsi="Serif"/>
          <w:b w:val="1"/>
          <w:sz w:val="24"/>
        </w:rPr>
        <w:t>Техническое задание</w:t>
      </w:r>
    </w:p>
    <w:p w14:paraId="BE000000">
      <w:pPr>
        <w:pStyle w:val="Style_1"/>
        <w:spacing w:after="0" w:before="0"/>
        <w:ind/>
        <w:jc w:val="center"/>
        <w:rPr>
          <w:rFonts w:ascii="Serif" w:hAnsi="Serif"/>
          <w:b w:val="1"/>
          <w:sz w:val="24"/>
        </w:rPr>
      </w:pPr>
      <w:r>
        <w:rPr>
          <w:rFonts w:ascii="Serif" w:hAnsi="Serif"/>
          <w:b w:val="1"/>
          <w:sz w:val="24"/>
        </w:rPr>
        <w:t>на оказание услуг в области метрологии (услуги по испытаниям, поверке и калибровке средств измерений)</w:t>
      </w:r>
    </w:p>
    <w:p w14:paraId="BF000000">
      <w:pPr>
        <w:pStyle w:val="Style_1"/>
        <w:spacing w:after="0" w:before="0"/>
        <w:ind/>
        <w:jc w:val="center"/>
        <w:rPr>
          <w:rFonts w:ascii="Serif" w:hAnsi="Serif"/>
          <w:b w:val="1"/>
          <w:sz w:val="24"/>
        </w:rPr>
      </w:pPr>
    </w:p>
    <w:p w14:paraId="C0000000">
      <w:pPr>
        <w:pStyle w:val="Style_1"/>
        <w:spacing w:after="0" w:before="0"/>
        <w:ind/>
        <w:jc w:val="both"/>
        <w:rPr>
          <w:rFonts w:ascii="Serif" w:hAnsi="Serif"/>
          <w:sz w:val="24"/>
        </w:rPr>
      </w:pPr>
      <w:r>
        <w:rPr>
          <w:rFonts w:ascii="Serif" w:hAnsi="Serif"/>
          <w:b w:val="1"/>
          <w:i w:val="1"/>
          <w:sz w:val="24"/>
          <w:u w:val="single"/>
        </w:rPr>
        <w:t>Наименование объекта закупки:</w:t>
      </w:r>
      <w:r>
        <w:rPr>
          <w:rFonts w:ascii="Serif" w:hAnsi="Serif"/>
          <w:b w:val="1"/>
          <w:sz w:val="24"/>
        </w:rPr>
        <w:t xml:space="preserve"> </w:t>
      </w:r>
      <w:r>
        <w:rPr>
          <w:rFonts w:ascii="Serif" w:hAnsi="Serif"/>
          <w:sz w:val="24"/>
        </w:rPr>
        <w:t>оказание услуг в области метрологии (услуги по испытаниям, поверке и калибровке средств измерений) для нужд федерального казенного учреждения «Центр хранения страхового фонда».</w:t>
      </w:r>
    </w:p>
    <w:p w14:paraId="C1000000">
      <w:pPr>
        <w:pStyle w:val="Style_1"/>
        <w:spacing w:after="0" w:before="0"/>
        <w:ind w:firstLine="709" w:left="0" w:right="0"/>
        <w:rPr>
          <w:rFonts w:ascii="Serif" w:hAnsi="Serif"/>
          <w:sz w:val="24"/>
        </w:rPr>
      </w:pPr>
      <w:r>
        <w:rPr>
          <w:rFonts w:ascii="Serif" w:hAnsi="Serif"/>
          <w:sz w:val="24"/>
        </w:rPr>
        <w:t xml:space="preserve">1.1. Поверка средств измерений должна происходить на эталонном оборудовании Исполнителя, имеющем действующее свидетельство о поверке, в соответствии с утвержденными нормативными документами на методы и средства поверки. </w:t>
      </w:r>
    </w:p>
    <w:p w14:paraId="C2000000">
      <w:pPr>
        <w:pStyle w:val="Style_1"/>
        <w:spacing w:after="0" w:before="0"/>
        <w:ind w:firstLine="709" w:left="0" w:right="0"/>
        <w:rPr>
          <w:rFonts w:ascii="Serif" w:hAnsi="Serif"/>
          <w:sz w:val="24"/>
        </w:rPr>
      </w:pPr>
      <w:r>
        <w:rPr>
          <w:rFonts w:ascii="Serif" w:hAnsi="Serif"/>
          <w:sz w:val="24"/>
        </w:rPr>
        <w:t xml:space="preserve">1.2. Организация, проводящая поверку, должна быть аккредитована на право проведения ремонта и поверки средств измерений в соответствии с действующем законодательством. </w:t>
      </w:r>
    </w:p>
    <w:p w14:paraId="C3000000">
      <w:pPr>
        <w:pStyle w:val="Style_1"/>
        <w:spacing w:after="0" w:before="0"/>
        <w:ind w:firstLine="709" w:left="0" w:right="0"/>
        <w:rPr>
          <w:rFonts w:ascii="Serif" w:hAnsi="Serif"/>
          <w:sz w:val="24"/>
        </w:rPr>
      </w:pPr>
      <w:r>
        <w:rPr>
          <w:rFonts w:ascii="Serif" w:hAnsi="Serif"/>
          <w:sz w:val="24"/>
        </w:rPr>
        <w:t>1.3. Результатом поверки является подтверждение пригодности средств измерений к применению или признание средств измерений непригодными к применению.</w:t>
      </w:r>
    </w:p>
    <w:p w14:paraId="C4000000">
      <w:pPr>
        <w:pStyle w:val="Style_1"/>
        <w:spacing w:after="0" w:before="0"/>
        <w:ind w:firstLine="709" w:left="0" w:right="0"/>
        <w:rPr>
          <w:rFonts w:ascii="Serif" w:hAnsi="Serif"/>
          <w:sz w:val="24"/>
        </w:rPr>
      </w:pPr>
      <w:r>
        <w:rPr>
          <w:rFonts w:ascii="Serif" w:hAnsi="Serif"/>
          <w:sz w:val="24"/>
        </w:rPr>
        <w:t>1.4. Порядок оформления результатов поверки определяется согласно Федерального закона от 26 июня 2008 г. № 102-ФЗ «Об обеспечении единства измерений» и Приказа Министерства промышленности и торговли РФ № 2510 от 31.07.2020 г. «Об утверждении порядка проведения поверки средств измерений, требования к знаку поверки и содержанию свидетельства о поверке». Порядок проведения поверки средств измерений» с выдачей Заказчику соответствующего заключения. Если средство измерения по результатам поверки признано пригодным к применению, то на него или на техническую документацию наносится поверительное клеймо, или выдается «Свидетельство о поверке». Если средство измерения по результатам поверки признано непригодным к применению, поверительное клеймо гасится, «Свидетельство о поверке» аннулируется, выписывается «Извещение о непригодности», или делается соответствующая запись в технической документации.</w:t>
      </w:r>
    </w:p>
    <w:p w14:paraId="C5000000">
      <w:pPr>
        <w:pStyle w:val="Style_1"/>
        <w:spacing w:after="0" w:before="0"/>
        <w:ind w:firstLine="709" w:left="0" w:right="0"/>
        <w:rPr>
          <w:rFonts w:ascii="Serif" w:hAnsi="Serif"/>
          <w:sz w:val="24"/>
        </w:rPr>
      </w:pPr>
      <w:r>
        <w:rPr>
          <w:rFonts w:ascii="Serif" w:hAnsi="Serif"/>
          <w:sz w:val="24"/>
        </w:rPr>
        <w:t>1.5. После оказания поверочных услуг Исполнитель передает Заказчику поверенные средства измерений, «Свидетельства о поверке» или «Извещения о непригодности», если они предусмотрены нормативной документацией, акты приема-передачи оказанных услуг и счет-фактуры.</w:t>
      </w:r>
    </w:p>
    <w:p w14:paraId="C6000000">
      <w:pPr>
        <w:pStyle w:val="Style_1"/>
        <w:spacing w:after="0" w:before="0"/>
        <w:ind w:firstLine="709" w:left="0" w:right="0"/>
        <w:rPr>
          <w:rFonts w:ascii="Serif" w:hAnsi="Serif"/>
          <w:b w:val="1"/>
          <w:sz w:val="24"/>
        </w:rPr>
      </w:pPr>
      <w:r>
        <w:rPr>
          <w:rFonts w:ascii="Serif" w:hAnsi="Serif"/>
          <w:b w:val="1"/>
          <w:sz w:val="24"/>
        </w:rPr>
        <w:t>2. Требования к качеству оказываемых услуг:</w:t>
      </w:r>
    </w:p>
    <w:p w14:paraId="C7000000">
      <w:pPr>
        <w:pStyle w:val="Style_1"/>
        <w:spacing w:after="0" w:before="0"/>
        <w:ind w:firstLine="709" w:left="0" w:right="0"/>
        <w:rPr>
          <w:rFonts w:ascii="Serif" w:hAnsi="Serif"/>
          <w:sz w:val="24"/>
        </w:rPr>
      </w:pPr>
      <w:r>
        <w:rPr>
          <w:rFonts w:ascii="Serif" w:hAnsi="Serif"/>
          <w:sz w:val="24"/>
        </w:rPr>
        <w:t>Исполнитель обязан оказывать услуги в соответствии с требованиями действующего законодательства, в том числе государственных стандартов, норм, правил и технических условий, регламентирующих данный вид деятельности.</w:t>
      </w:r>
    </w:p>
    <w:p w14:paraId="C8000000">
      <w:pPr>
        <w:pStyle w:val="Style_1"/>
        <w:spacing w:after="0" w:before="0"/>
        <w:ind w:firstLine="709" w:left="0" w:right="0"/>
        <w:rPr>
          <w:rFonts w:ascii="Serif" w:hAnsi="Serif"/>
          <w:sz w:val="24"/>
        </w:rPr>
      </w:pPr>
      <w:r>
        <w:rPr>
          <w:rFonts w:ascii="Serif" w:hAnsi="Serif"/>
          <w:sz w:val="24"/>
        </w:rPr>
        <w:t xml:space="preserve">Услуги должны в полном объеме соответствовать требованиям действующих норм и правил, установленных действующим законодательством РФ для данного вида услуг, и действовать в течение всего периода оказания услуг. </w:t>
      </w:r>
    </w:p>
    <w:p w14:paraId="C9000000">
      <w:pPr>
        <w:pStyle w:val="Style_1"/>
        <w:spacing w:after="0" w:before="0"/>
        <w:ind w:firstLine="709" w:left="0" w:right="0"/>
        <w:rPr>
          <w:rFonts w:ascii="Serif" w:hAnsi="Serif"/>
          <w:b w:val="1"/>
          <w:sz w:val="24"/>
        </w:rPr>
      </w:pPr>
      <w:r>
        <w:rPr>
          <w:rFonts w:ascii="Serif" w:hAnsi="Serif"/>
          <w:b w:val="1"/>
          <w:sz w:val="24"/>
        </w:rPr>
        <w:t>3. Место и сроки оказания услуг:</w:t>
      </w:r>
    </w:p>
    <w:p w14:paraId="CA000000">
      <w:pPr>
        <w:pStyle w:val="Style_1"/>
        <w:spacing w:after="0" w:before="0"/>
        <w:ind w:firstLine="708" w:left="0" w:right="0"/>
        <w:rPr>
          <w:rFonts w:ascii="Serif" w:hAnsi="Serif"/>
          <w:sz w:val="24"/>
        </w:rPr>
      </w:pPr>
      <w:r>
        <w:rPr>
          <w:rFonts w:ascii="Serif" w:hAnsi="Serif"/>
          <w:sz w:val="24"/>
        </w:rPr>
        <w:t xml:space="preserve">Срок исполнения обязательств Исполнителя: по </w:t>
      </w:r>
      <w:r>
        <w:rPr>
          <w:rFonts w:ascii="Serif" w:hAnsi="Serif"/>
          <w:color w:val="FF0000"/>
          <w:sz w:val="24"/>
        </w:rPr>
        <w:t>31.07.2026 года.</w:t>
      </w:r>
    </w:p>
    <w:p w14:paraId="CB000000">
      <w:pPr>
        <w:pStyle w:val="Style_1"/>
        <w:spacing w:after="0" w:before="0"/>
        <w:ind w:firstLine="708" w:left="0" w:right="0"/>
        <w:rPr>
          <w:rFonts w:ascii="Serif" w:hAnsi="Serif"/>
          <w:sz w:val="24"/>
        </w:rPr>
      </w:pPr>
      <w:r>
        <w:rPr>
          <w:rFonts w:ascii="Serif" w:hAnsi="Serif"/>
          <w:color w:val="000000"/>
          <w:sz w:val="24"/>
        </w:rPr>
        <w:t xml:space="preserve">Место оказания услуг: по месту нахождения Исполнителя в </w:t>
      </w:r>
      <w:r>
        <w:rPr>
          <w:rFonts w:ascii="Serif" w:hAnsi="Serif"/>
          <w:color w:val="000000"/>
          <w:sz w:val="24"/>
        </w:rPr>
        <w:t>пределах</w:t>
      </w:r>
      <w:r>
        <w:rPr>
          <w:rFonts w:ascii="Serif" w:hAnsi="Serif"/>
          <w:color w:val="000000"/>
          <w:sz w:val="24"/>
        </w:rPr>
        <w:t xml:space="preserve"> 100 (ст</w:t>
      </w:r>
      <w:r>
        <w:rPr>
          <w:rFonts w:ascii="Serif" w:hAnsi="Serif"/>
          <w:color w:val="000000"/>
          <w:sz w:val="24"/>
        </w:rPr>
        <w:t>а</w:t>
      </w:r>
      <w:r>
        <w:rPr>
          <w:rFonts w:ascii="Serif" w:hAnsi="Serif"/>
          <w:color w:val="000000"/>
          <w:sz w:val="24"/>
        </w:rPr>
        <w:t xml:space="preserve">) километров от места нахождения </w:t>
      </w:r>
      <w:r>
        <w:rPr>
          <w:rFonts w:ascii="Serif" w:hAnsi="Serif"/>
          <w:color w:val="000000"/>
          <w:sz w:val="24"/>
        </w:rPr>
        <w:t>З</w:t>
      </w:r>
      <w:r>
        <w:rPr>
          <w:rFonts w:ascii="Serif" w:hAnsi="Serif"/>
          <w:color w:val="000000"/>
          <w:sz w:val="24"/>
        </w:rPr>
        <w:t>аказчика.</w:t>
      </w:r>
    </w:p>
    <w:p w14:paraId="CC000000">
      <w:pPr>
        <w:pStyle w:val="Style_1"/>
        <w:spacing w:after="0" w:before="0"/>
        <w:ind w:firstLine="708" w:left="0" w:right="0"/>
        <w:rPr>
          <w:rFonts w:ascii="Serif" w:hAnsi="Serif"/>
          <w:b w:val="1"/>
          <w:color w:val="000000"/>
          <w:sz w:val="24"/>
        </w:rPr>
      </w:pPr>
      <w:r>
        <w:rPr>
          <w:rFonts w:ascii="Serif" w:hAnsi="Serif"/>
          <w:b w:val="1"/>
          <w:color w:val="000000"/>
          <w:sz w:val="24"/>
        </w:rPr>
        <w:t xml:space="preserve">4. Список средств измерений: </w:t>
      </w:r>
    </w:p>
    <w:tbl>
      <w:tblPr>
        <w:tblStyle w:val="Style_4"/>
        <w:tblW w:type="auto" w:w="0"/>
        <w:jc w:val="left"/>
        <w:tblInd w:type="dxa" w:w="0"/>
        <w:tblLayout w:type="fixed"/>
        <w:tblCellMar>
          <w:top w:type="dxa" w:w="0"/>
          <w:left w:type="dxa" w:w="108"/>
          <w:bottom w:type="dxa" w:w="0"/>
          <w:right w:type="dxa" w:w="108"/>
        </w:tblCellMar>
      </w:tblPr>
      <w:tblGrid>
        <w:gridCol w:w="712"/>
        <w:gridCol w:w="7176"/>
        <w:gridCol w:w="1412"/>
        <w:gridCol w:w="1024"/>
      </w:tblGrid>
      <w:tr>
        <w:trPr>
          <w:trHeight w:hRule="atLeast" w:val="661"/>
        </w:trPr>
        <w:tc>
          <w:tcPr>
            <w:tcW w:type="dxa" w:w="7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CD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 xml:space="preserve">№ </w:t>
            </w:r>
            <w:r>
              <w:rPr>
                <w:rFonts w:ascii="Serif" w:hAnsi="Serif"/>
                <w:color w:val="000000"/>
                <w:sz w:val="24"/>
              </w:rPr>
              <w:t>п/п</w:t>
            </w:r>
          </w:p>
        </w:tc>
        <w:tc>
          <w:tcPr>
            <w:tcW w:type="dxa" w:w="717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CE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Наименование СИ</w:t>
            </w:r>
          </w:p>
        </w:tc>
        <w:tc>
          <w:tcPr>
            <w:tcW w:type="dxa" w:w="14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CF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Ед. изм.</w:t>
            </w:r>
          </w:p>
        </w:tc>
        <w:tc>
          <w:tcPr>
            <w:tcW w:type="dxa" w:w="102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D0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Кол-во</w:t>
            </w:r>
          </w:p>
        </w:tc>
      </w:tr>
      <w:tr>
        <w:trPr>
          <w:trHeight w:hRule="atLeast" w:val="679"/>
        </w:trPr>
        <w:tc>
          <w:tcPr>
            <w:tcW w:type="dxa" w:w="7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D1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1</w:t>
            </w:r>
          </w:p>
        </w:tc>
        <w:tc>
          <w:tcPr>
            <w:tcW w:type="dxa" w:w="717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D2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Сигнализатор одноканальный SEITRON</w:t>
            </w:r>
          </w:p>
        </w:tc>
        <w:tc>
          <w:tcPr>
            <w:tcW w:type="dxa" w:w="14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D3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шт.</w:t>
            </w:r>
          </w:p>
        </w:tc>
        <w:tc>
          <w:tcPr>
            <w:tcW w:type="dxa" w:w="102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D4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1</w:t>
            </w:r>
          </w:p>
        </w:tc>
      </w:tr>
      <w:tr>
        <w:trPr>
          <w:trHeight w:hRule="atLeast" w:val="661"/>
        </w:trPr>
        <w:tc>
          <w:tcPr>
            <w:tcW w:type="dxa" w:w="7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D5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2</w:t>
            </w:r>
          </w:p>
        </w:tc>
        <w:tc>
          <w:tcPr>
            <w:tcW w:type="dxa" w:w="717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D6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Сигнализатор оксида углерода СОУ 1</w:t>
            </w:r>
          </w:p>
        </w:tc>
        <w:tc>
          <w:tcPr>
            <w:tcW w:type="dxa" w:w="14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D7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шт.</w:t>
            </w:r>
          </w:p>
        </w:tc>
        <w:tc>
          <w:tcPr>
            <w:tcW w:type="dxa" w:w="102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D8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1</w:t>
            </w:r>
          </w:p>
        </w:tc>
      </w:tr>
      <w:tr>
        <w:trPr>
          <w:trHeight w:hRule="atLeast" w:val="661"/>
        </w:trPr>
        <w:tc>
          <w:tcPr>
            <w:tcW w:type="dxa" w:w="7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D9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3</w:t>
            </w:r>
          </w:p>
        </w:tc>
        <w:tc>
          <w:tcPr>
            <w:tcW w:type="dxa" w:w="717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DA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Сигнализатор СТГ-1</w:t>
            </w:r>
          </w:p>
        </w:tc>
        <w:tc>
          <w:tcPr>
            <w:tcW w:type="dxa" w:w="14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DB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шт.</w:t>
            </w:r>
          </w:p>
        </w:tc>
        <w:tc>
          <w:tcPr>
            <w:tcW w:type="dxa" w:w="102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DC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1</w:t>
            </w:r>
          </w:p>
          <w:p w14:paraId="DD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(2 канала)</w:t>
            </w:r>
          </w:p>
        </w:tc>
      </w:tr>
      <w:tr>
        <w:trPr>
          <w:trHeight w:hRule="atLeast" w:val="661"/>
        </w:trPr>
        <w:tc>
          <w:tcPr>
            <w:tcW w:type="dxa" w:w="7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DE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4</w:t>
            </w:r>
          </w:p>
        </w:tc>
        <w:tc>
          <w:tcPr>
            <w:tcW w:type="dxa" w:w="717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DF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Манометры, показывающие ТМ, МПЗ, МП4</w:t>
            </w:r>
          </w:p>
        </w:tc>
        <w:tc>
          <w:tcPr>
            <w:tcW w:type="dxa" w:w="14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E0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шт.</w:t>
            </w:r>
          </w:p>
        </w:tc>
        <w:tc>
          <w:tcPr>
            <w:tcW w:type="dxa" w:w="102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E1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20</w:t>
            </w:r>
          </w:p>
        </w:tc>
      </w:tr>
      <w:tr>
        <w:trPr>
          <w:trHeight w:hRule="atLeast" w:val="661"/>
        </w:trPr>
        <w:tc>
          <w:tcPr>
            <w:tcW w:type="dxa" w:w="7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E2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5</w:t>
            </w:r>
          </w:p>
        </w:tc>
        <w:tc>
          <w:tcPr>
            <w:tcW w:type="dxa" w:w="717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E3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Манометры избыточного давления вакуумметры и мановакуумметры показывающие и сигнализирующие ДМ2010ф</w:t>
            </w:r>
          </w:p>
        </w:tc>
        <w:tc>
          <w:tcPr>
            <w:tcW w:type="dxa" w:w="14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E4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шт.</w:t>
            </w:r>
          </w:p>
        </w:tc>
        <w:tc>
          <w:tcPr>
            <w:tcW w:type="dxa" w:w="102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E5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2</w:t>
            </w:r>
          </w:p>
        </w:tc>
      </w:tr>
      <w:tr>
        <w:trPr>
          <w:trHeight w:hRule="atLeast" w:val="661"/>
        </w:trPr>
        <w:tc>
          <w:tcPr>
            <w:tcW w:type="dxa" w:w="7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E6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6</w:t>
            </w:r>
          </w:p>
        </w:tc>
        <w:tc>
          <w:tcPr>
            <w:tcW w:type="dxa" w:w="717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E7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Термометр БТ</w:t>
            </w:r>
          </w:p>
        </w:tc>
        <w:tc>
          <w:tcPr>
            <w:tcW w:type="dxa" w:w="14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E8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шт.</w:t>
            </w:r>
          </w:p>
        </w:tc>
        <w:tc>
          <w:tcPr>
            <w:tcW w:type="dxa" w:w="102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E9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14</w:t>
            </w:r>
          </w:p>
        </w:tc>
      </w:tr>
      <w:tr>
        <w:trPr>
          <w:trHeight w:hRule="atLeast" w:val="661"/>
        </w:trPr>
        <w:tc>
          <w:tcPr>
            <w:tcW w:type="dxa" w:w="712"/>
            <w:tcBorders>
              <w:left w:color="000000" w:sz="4" w:val="single"/>
              <w:bottom w:color="000000" w:sz="4" w:val="single"/>
              <w:right w:color="000000" w:sz="4" w:val="single"/>
            </w:tcBorders>
            <w:shd w:fill="auto" w:val="clear"/>
            <w:tcMar>
              <w:top w:type="dxa" w:w="0"/>
              <w:left w:type="dxa" w:w="108"/>
              <w:bottom w:type="dxa" w:w="0"/>
              <w:right w:type="dxa" w:w="108"/>
            </w:tcMar>
            <w:vAlign w:val="center"/>
          </w:tcPr>
          <w:p w14:paraId="EA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7</w:t>
            </w:r>
          </w:p>
        </w:tc>
        <w:tc>
          <w:tcPr>
            <w:tcW w:type="dxa" w:w="7176"/>
            <w:tcBorders>
              <w:left w:color="000000" w:sz="4" w:val="single"/>
              <w:bottom w:color="000000" w:sz="4" w:val="single"/>
              <w:right w:color="000000" w:sz="4" w:val="single"/>
            </w:tcBorders>
            <w:shd w:fill="auto" w:val="clear"/>
            <w:tcMar>
              <w:top w:type="dxa" w:w="0"/>
              <w:left w:type="dxa" w:w="108"/>
              <w:bottom w:type="dxa" w:w="0"/>
              <w:right w:type="dxa" w:w="108"/>
            </w:tcMar>
            <w:vAlign w:val="center"/>
          </w:tcPr>
          <w:p w14:paraId="EB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Термометр ТПТ-1</w:t>
            </w:r>
          </w:p>
        </w:tc>
        <w:tc>
          <w:tcPr>
            <w:tcW w:type="dxa" w:w="1412"/>
            <w:tcBorders>
              <w:left w:color="000000" w:sz="4" w:val="single"/>
              <w:bottom w:color="000000" w:sz="4" w:val="single"/>
              <w:right w:color="000000" w:sz="4" w:val="single"/>
            </w:tcBorders>
            <w:shd w:fill="auto" w:val="clear"/>
            <w:tcMar>
              <w:top w:type="dxa" w:w="0"/>
              <w:left w:type="dxa" w:w="108"/>
              <w:bottom w:type="dxa" w:w="0"/>
              <w:right w:type="dxa" w:w="108"/>
            </w:tcMar>
            <w:vAlign w:val="center"/>
          </w:tcPr>
          <w:p w14:paraId="EC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шт.</w:t>
            </w:r>
          </w:p>
        </w:tc>
        <w:tc>
          <w:tcPr>
            <w:tcW w:type="dxa" w:w="1024"/>
            <w:tcBorders>
              <w:left w:color="000000" w:sz="4" w:val="single"/>
              <w:bottom w:color="000000" w:sz="4" w:val="single"/>
              <w:right w:color="000000" w:sz="4" w:val="single"/>
            </w:tcBorders>
            <w:shd w:fill="auto" w:val="clear"/>
            <w:tcMar>
              <w:top w:type="dxa" w:w="0"/>
              <w:left w:type="dxa" w:w="108"/>
              <w:bottom w:type="dxa" w:w="0"/>
              <w:right w:type="dxa" w:w="108"/>
            </w:tcMar>
            <w:vAlign w:val="center"/>
          </w:tcPr>
          <w:p w14:paraId="ED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1</w:t>
            </w:r>
          </w:p>
        </w:tc>
      </w:tr>
      <w:tr>
        <w:trPr>
          <w:trHeight w:hRule="atLeast" w:val="661"/>
        </w:trPr>
        <w:tc>
          <w:tcPr>
            <w:tcW w:type="dxa" w:w="712"/>
            <w:tcBorders>
              <w:left w:color="000000" w:sz="4" w:val="single"/>
              <w:bottom w:color="000000" w:sz="4" w:val="single"/>
              <w:right w:color="000000" w:sz="4" w:val="single"/>
            </w:tcBorders>
            <w:shd w:fill="auto" w:val="clear"/>
            <w:tcMar>
              <w:top w:type="dxa" w:w="0"/>
              <w:left w:type="dxa" w:w="108"/>
              <w:bottom w:type="dxa" w:w="0"/>
              <w:right w:type="dxa" w:w="108"/>
            </w:tcMar>
            <w:vAlign w:val="center"/>
          </w:tcPr>
          <w:p w14:paraId="EE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8</w:t>
            </w:r>
          </w:p>
        </w:tc>
        <w:tc>
          <w:tcPr>
            <w:tcW w:type="dxa" w:w="7176"/>
            <w:tcBorders>
              <w:left w:color="000000" w:sz="4" w:val="single"/>
              <w:bottom w:color="000000" w:sz="4" w:val="single"/>
              <w:right w:color="000000" w:sz="4" w:val="single"/>
            </w:tcBorders>
            <w:shd w:fill="auto" w:val="clear"/>
            <w:tcMar>
              <w:top w:type="dxa" w:w="0"/>
              <w:left w:type="dxa" w:w="108"/>
              <w:bottom w:type="dxa" w:w="0"/>
              <w:right w:type="dxa" w:w="108"/>
            </w:tcMar>
            <w:vAlign w:val="center"/>
          </w:tcPr>
          <w:p w14:paraId="EF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Датчики давления 415М</w:t>
            </w:r>
          </w:p>
        </w:tc>
        <w:tc>
          <w:tcPr>
            <w:tcW w:type="dxa" w:w="1412"/>
            <w:tcBorders>
              <w:left w:color="000000" w:sz="4" w:val="single"/>
              <w:bottom w:color="000000" w:sz="4" w:val="single"/>
              <w:right w:color="000000" w:sz="4" w:val="single"/>
            </w:tcBorders>
            <w:shd w:fill="auto" w:val="clear"/>
            <w:tcMar>
              <w:top w:type="dxa" w:w="0"/>
              <w:left w:type="dxa" w:w="108"/>
              <w:bottom w:type="dxa" w:w="0"/>
              <w:right w:type="dxa" w:w="108"/>
            </w:tcMar>
            <w:vAlign w:val="center"/>
          </w:tcPr>
          <w:p w14:paraId="F0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шт.</w:t>
            </w:r>
          </w:p>
        </w:tc>
        <w:tc>
          <w:tcPr>
            <w:tcW w:type="dxa" w:w="1024"/>
            <w:tcBorders>
              <w:left w:color="000000" w:sz="4" w:val="single"/>
              <w:bottom w:color="000000" w:sz="4" w:val="single"/>
              <w:right w:color="000000" w:sz="4" w:val="single"/>
            </w:tcBorders>
            <w:shd w:fill="auto" w:val="clear"/>
            <w:tcMar>
              <w:top w:type="dxa" w:w="0"/>
              <w:left w:type="dxa" w:w="108"/>
              <w:bottom w:type="dxa" w:w="0"/>
              <w:right w:type="dxa" w:w="108"/>
            </w:tcMar>
            <w:vAlign w:val="center"/>
          </w:tcPr>
          <w:p w14:paraId="F1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2</w:t>
            </w:r>
          </w:p>
        </w:tc>
      </w:tr>
      <w:tr>
        <w:trPr>
          <w:trHeight w:hRule="atLeast" w:val="661"/>
        </w:trPr>
        <w:tc>
          <w:tcPr>
            <w:tcW w:type="dxa" w:w="712"/>
            <w:tcBorders>
              <w:left w:color="000000" w:sz="4" w:val="single"/>
              <w:bottom w:color="000000" w:sz="4" w:val="single"/>
              <w:right w:color="000000" w:sz="4" w:val="single"/>
            </w:tcBorders>
            <w:shd w:fill="auto" w:val="clear"/>
            <w:tcMar>
              <w:top w:type="dxa" w:w="0"/>
              <w:left w:type="dxa" w:w="108"/>
              <w:bottom w:type="dxa" w:w="0"/>
              <w:right w:type="dxa" w:w="108"/>
            </w:tcMar>
            <w:vAlign w:val="center"/>
          </w:tcPr>
          <w:p w14:paraId="F2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9</w:t>
            </w:r>
          </w:p>
        </w:tc>
        <w:tc>
          <w:tcPr>
            <w:tcW w:type="dxa" w:w="7176"/>
            <w:tcBorders>
              <w:left w:color="000000" w:sz="4" w:val="single"/>
              <w:bottom w:color="000000" w:sz="4" w:val="single"/>
              <w:right w:color="000000" w:sz="4" w:val="single"/>
            </w:tcBorders>
            <w:shd w:fill="auto" w:val="clear"/>
            <w:tcMar>
              <w:top w:type="dxa" w:w="0"/>
              <w:left w:type="dxa" w:w="108"/>
              <w:bottom w:type="dxa" w:w="0"/>
              <w:right w:type="dxa" w:w="108"/>
            </w:tcMar>
            <w:vAlign w:val="center"/>
          </w:tcPr>
          <w:p w14:paraId="F3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Мультиметр цифровой VA-19</w:t>
            </w:r>
          </w:p>
        </w:tc>
        <w:tc>
          <w:tcPr>
            <w:tcW w:type="dxa" w:w="1412"/>
            <w:tcBorders>
              <w:left w:color="000000" w:sz="4" w:val="single"/>
              <w:bottom w:color="000000" w:sz="4" w:val="single"/>
              <w:right w:color="000000" w:sz="4" w:val="single"/>
            </w:tcBorders>
            <w:shd w:fill="auto" w:val="clear"/>
            <w:tcMar>
              <w:top w:type="dxa" w:w="0"/>
              <w:left w:type="dxa" w:w="108"/>
              <w:bottom w:type="dxa" w:w="0"/>
              <w:right w:type="dxa" w:w="108"/>
            </w:tcMar>
            <w:vAlign w:val="center"/>
          </w:tcPr>
          <w:p w14:paraId="F4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шт.</w:t>
            </w:r>
          </w:p>
        </w:tc>
        <w:tc>
          <w:tcPr>
            <w:tcW w:type="dxa" w:w="1024"/>
            <w:tcBorders>
              <w:left w:color="000000" w:sz="4" w:val="single"/>
              <w:bottom w:color="000000" w:sz="4" w:val="single"/>
              <w:right w:color="000000" w:sz="4" w:val="single"/>
            </w:tcBorders>
            <w:shd w:fill="auto" w:val="clear"/>
            <w:tcMar>
              <w:top w:type="dxa" w:w="0"/>
              <w:left w:type="dxa" w:w="108"/>
              <w:bottom w:type="dxa" w:w="0"/>
              <w:right w:type="dxa" w:w="108"/>
            </w:tcMar>
            <w:vAlign w:val="center"/>
          </w:tcPr>
          <w:p w14:paraId="F5000000">
            <w:pPr>
              <w:pStyle w:val="Style_1"/>
              <w:spacing w:after="0" w:before="0" w:line="240" w:lineRule="auto"/>
              <w:ind w:firstLine="0" w:left="0" w:right="0"/>
              <w:jc w:val="center"/>
              <w:rPr>
                <w:rFonts w:ascii="Serif" w:hAnsi="Serif"/>
                <w:color w:val="000000"/>
                <w:sz w:val="24"/>
              </w:rPr>
            </w:pPr>
            <w:r>
              <w:rPr>
                <w:rFonts w:ascii="Serif" w:hAnsi="Serif"/>
                <w:color w:val="000000"/>
                <w:sz w:val="24"/>
              </w:rPr>
              <w:t>1</w:t>
            </w:r>
          </w:p>
        </w:tc>
      </w:tr>
    </w:tbl>
    <w:p w14:paraId="F6000000">
      <w:pPr>
        <w:pStyle w:val="Style_1"/>
        <w:rPr>
          <w:rFonts w:ascii="Serif" w:hAnsi="Serif"/>
          <w:sz w:val="24"/>
        </w:rPr>
      </w:pPr>
    </w:p>
    <w:p w14:paraId="F7000000">
      <w:pPr>
        <w:pStyle w:val="Style_1"/>
        <w:rPr>
          <w:rFonts w:ascii="Serif" w:hAnsi="Serif"/>
          <w:sz w:val="24"/>
        </w:rPr>
      </w:pPr>
    </w:p>
    <w:p w14:paraId="F8000000">
      <w:pPr>
        <w:pStyle w:val="Style_1"/>
        <w:rPr>
          <w:rFonts w:ascii="Serif" w:hAnsi="Serif"/>
          <w:sz w:val="24"/>
        </w:rPr>
      </w:pPr>
      <w:r>
        <w:rPr>
          <w:rFonts w:ascii="Serif" w:hAnsi="Serif"/>
          <w:sz w:val="24"/>
        </w:rPr>
        <w:t>Главный специалист отдела ИТО</w:t>
      </w:r>
      <w:r>
        <w:rPr>
          <w:rFonts w:ascii="Serif" w:hAnsi="Serif"/>
          <w:sz w:val="24"/>
        </w:rPr>
        <w:tab/>
      </w:r>
      <w:r>
        <w:rPr>
          <w:rFonts w:ascii="Serif" w:hAnsi="Serif"/>
          <w:sz w:val="24"/>
        </w:rPr>
        <w:tab/>
      </w:r>
      <w:r>
        <w:rPr>
          <w:rFonts w:ascii="Serif" w:hAnsi="Serif"/>
          <w:sz w:val="24"/>
        </w:rPr>
        <w:tab/>
      </w:r>
      <w:r>
        <w:rPr>
          <w:rFonts w:ascii="Serif" w:hAnsi="Serif"/>
          <w:sz w:val="24"/>
        </w:rPr>
        <w:tab/>
      </w:r>
      <w:r>
        <w:rPr>
          <w:rFonts w:ascii="Serif" w:hAnsi="Serif"/>
          <w:sz w:val="24"/>
        </w:rPr>
        <w:tab/>
      </w:r>
      <w:r>
        <w:rPr>
          <w:rFonts w:ascii="Serif" w:hAnsi="Serif"/>
          <w:sz w:val="24"/>
        </w:rPr>
        <w:tab/>
      </w:r>
      <w:r>
        <w:rPr>
          <w:rFonts w:ascii="Serif" w:hAnsi="Serif"/>
          <w:sz w:val="24"/>
        </w:rPr>
        <w:t>А.В. Тимофеев.</w:t>
      </w:r>
    </w:p>
    <w:p w14:paraId="F9000000">
      <w:pPr>
        <w:pStyle w:val="Style_1"/>
        <w:widowControl w:val="0"/>
        <w:tabs>
          <w:tab w:leader="none" w:pos="720" w:val="clear"/>
          <w:tab w:leader="none" w:pos="1368" w:val="left"/>
        </w:tabs>
        <w:spacing w:after="0" w:before="0"/>
        <w:ind/>
        <w:jc w:val="center"/>
        <w:rPr>
          <w:rFonts w:ascii="Serif" w:hAnsi="Serif"/>
          <w:b w:val="1"/>
          <w:sz w:val="24"/>
        </w:rPr>
      </w:pPr>
    </w:p>
    <w:p w14:paraId="FA000000">
      <w:pPr>
        <w:pStyle w:val="Style_1"/>
        <w:widowControl w:val="0"/>
        <w:tabs>
          <w:tab w:leader="none" w:pos="720" w:val="clear"/>
          <w:tab w:leader="none" w:pos="1368" w:val="left"/>
        </w:tabs>
        <w:spacing w:after="0" w:before="0"/>
        <w:ind/>
        <w:jc w:val="center"/>
        <w:rPr>
          <w:rFonts w:ascii="Serif" w:hAnsi="Serif"/>
          <w:b w:val="1"/>
          <w:sz w:val="24"/>
        </w:rPr>
      </w:pPr>
    </w:p>
    <w:p w14:paraId="FB000000">
      <w:pPr>
        <w:pStyle w:val="Style_1"/>
        <w:widowControl w:val="0"/>
        <w:tabs>
          <w:tab w:leader="none" w:pos="720" w:val="clear"/>
          <w:tab w:leader="none" w:pos="1368" w:val="left"/>
        </w:tabs>
        <w:spacing w:after="0" w:before="0"/>
        <w:ind/>
        <w:jc w:val="center"/>
        <w:rPr>
          <w:rFonts w:ascii="Serif" w:hAnsi="Serif"/>
          <w:b w:val="1"/>
          <w:sz w:val="24"/>
        </w:rPr>
      </w:pPr>
    </w:p>
    <w:tbl>
      <w:tblPr>
        <w:tblStyle w:val="Style_7"/>
        <w:tblW w:type="auto" w:w="0"/>
        <w:jc w:val="left"/>
        <w:tblInd w:type="dxa" w:w="-26"/>
        <w:tblLayout w:type="fixed"/>
        <w:tblCellMar>
          <w:top w:type="dxa" w:w="0"/>
          <w:left w:type="dxa" w:w="108"/>
          <w:bottom w:type="dxa" w:w="0"/>
          <w:right w:type="dxa" w:w="108"/>
        </w:tblCellMar>
      </w:tblPr>
      <w:tblGrid>
        <w:gridCol w:w="5213"/>
        <w:gridCol w:w="4936"/>
      </w:tblGrid>
      <w:tr>
        <w:tc>
          <w:tcPr>
            <w:tcW w:type="dxa" w:w="5213"/>
            <w:tcBorders>
              <w:top w:sz="4" w:val="nil"/>
              <w:left w:sz="4" w:val="nil"/>
              <w:bottom w:sz="4" w:val="nil"/>
              <w:right w:sz="4" w:val="nil"/>
            </w:tcBorders>
            <w:tcMar>
              <w:top w:type="dxa" w:w="0"/>
              <w:left w:type="dxa" w:w="108"/>
              <w:bottom w:type="dxa" w:w="0"/>
              <w:right w:type="dxa" w:w="108"/>
            </w:tcMar>
          </w:tcPr>
          <w:p w14:paraId="FC000000">
            <w:pPr>
              <w:pStyle w:val="Style_1"/>
              <w:spacing w:after="0" w:before="0" w:line="240" w:lineRule="auto"/>
              <w:ind w:firstLine="0" w:left="0" w:right="0"/>
              <w:rPr>
                <w:rFonts w:ascii="Times New Roman" w:hAnsi="Times New Roman"/>
                <w:b w:val="1"/>
                <w:sz w:val="24"/>
              </w:rPr>
            </w:pPr>
            <w:r>
              <w:rPr>
                <w:rFonts w:ascii="Times New Roman" w:hAnsi="Times New Roman"/>
                <w:b w:val="1"/>
                <w:color w:val="000000"/>
                <w:spacing w:val="0"/>
                <w:sz w:val="24"/>
              </w:rPr>
              <w:t>ЗАКАЗЧИК:</w:t>
            </w:r>
          </w:p>
          <w:p w14:paraId="FD000000">
            <w:pPr>
              <w:pStyle w:val="Style_1"/>
              <w:spacing w:after="0" w:before="0" w:line="240" w:lineRule="auto"/>
              <w:ind w:firstLine="0" w:left="0" w:right="0"/>
              <w:rPr>
                <w:rFonts w:ascii="Times New Roman" w:hAnsi="Times New Roman"/>
                <w:sz w:val="24"/>
              </w:rPr>
            </w:pPr>
            <w:r>
              <w:rPr>
                <w:rFonts w:ascii="Times New Roman" w:hAnsi="Times New Roman"/>
                <w:b w:val="1"/>
                <w:color w:val="000000"/>
                <w:spacing w:val="0"/>
                <w:sz w:val="24"/>
              </w:rPr>
              <w:t>Федеральное казенное учреждение</w:t>
            </w:r>
          </w:p>
          <w:p w14:paraId="FE000000">
            <w:pPr>
              <w:pStyle w:val="Style_1"/>
              <w:spacing w:after="0" w:before="0" w:line="240" w:lineRule="auto"/>
              <w:ind w:firstLine="0" w:left="0" w:right="0"/>
              <w:rPr>
                <w:rFonts w:ascii="Times New Roman" w:hAnsi="Times New Roman"/>
                <w:sz w:val="24"/>
              </w:rPr>
            </w:pPr>
            <w:r>
              <w:rPr>
                <w:rFonts w:ascii="Times New Roman" w:hAnsi="Times New Roman"/>
                <w:b w:val="1"/>
                <w:color w:val="000000"/>
                <w:spacing w:val="0"/>
                <w:sz w:val="24"/>
              </w:rPr>
              <w:t>«Центр хранения страхового фонда»</w:t>
            </w:r>
          </w:p>
          <w:p w14:paraId="FF000000">
            <w:pPr>
              <w:pStyle w:val="Style_1"/>
              <w:spacing w:after="0" w:before="0" w:line="240" w:lineRule="auto"/>
              <w:ind w:firstLine="720" w:left="0" w:right="0"/>
              <w:rPr>
                <w:rFonts w:ascii="Times New Roman" w:hAnsi="Times New Roman"/>
                <w:sz w:val="24"/>
              </w:rPr>
            </w:pPr>
          </w:p>
          <w:p w14:paraId="00010000">
            <w:pPr>
              <w:pStyle w:val="Style_1"/>
              <w:spacing w:after="0" w:before="0" w:line="240" w:lineRule="auto"/>
              <w:ind w:firstLine="720" w:left="0" w:right="0"/>
              <w:rPr>
                <w:rFonts w:ascii="Times New Roman" w:hAnsi="Times New Roman"/>
                <w:sz w:val="24"/>
              </w:rPr>
            </w:pPr>
          </w:p>
          <w:p w14:paraId="01010000">
            <w:pPr>
              <w:pStyle w:val="Style_1"/>
              <w:spacing w:after="0" w:before="0" w:line="240" w:lineRule="auto"/>
              <w:ind w:firstLine="0" w:left="0" w:right="0"/>
              <w:rPr>
                <w:rFonts w:ascii="Times New Roman" w:hAnsi="Times New Roman"/>
                <w:sz w:val="24"/>
              </w:rPr>
            </w:pPr>
            <w:r>
              <w:rPr>
                <w:rFonts w:ascii="Times New Roman" w:hAnsi="Times New Roman"/>
                <w:color w:val="000000"/>
                <w:spacing w:val="0"/>
                <w:sz w:val="24"/>
              </w:rPr>
              <w:t>Директор ____________ Д.С. Васильев</w:t>
            </w:r>
          </w:p>
          <w:p w14:paraId="02010000">
            <w:pPr>
              <w:pStyle w:val="Style_1"/>
              <w:spacing w:after="0" w:before="0" w:line="240" w:lineRule="auto"/>
              <w:ind w:firstLine="0" w:left="0" w:right="0"/>
              <w:rPr>
                <w:rFonts w:ascii="Times New Roman" w:hAnsi="Times New Roman"/>
                <w:sz w:val="24"/>
              </w:rPr>
            </w:pPr>
            <w:r>
              <w:rPr>
                <w:rFonts w:ascii="Times New Roman" w:hAnsi="Times New Roman"/>
                <w:color w:val="000000"/>
                <w:spacing w:val="0"/>
                <w:sz w:val="24"/>
              </w:rPr>
              <w:t>М.П.</w:t>
            </w:r>
          </w:p>
        </w:tc>
        <w:tc>
          <w:tcPr>
            <w:tcW w:type="dxa" w:w="4936"/>
            <w:tcBorders>
              <w:top w:sz="4" w:val="nil"/>
              <w:left w:sz="4" w:val="nil"/>
              <w:bottom w:sz="4" w:val="nil"/>
              <w:right w:sz="4" w:val="nil"/>
            </w:tcBorders>
            <w:tcMar>
              <w:top w:type="dxa" w:w="0"/>
              <w:left w:type="dxa" w:w="108"/>
              <w:bottom w:type="dxa" w:w="0"/>
              <w:right w:type="dxa" w:w="108"/>
            </w:tcMar>
          </w:tcPr>
          <w:p w14:paraId="03010000">
            <w:pPr>
              <w:pStyle w:val="Style_1"/>
              <w:widowControl w:val="0"/>
              <w:spacing w:after="0" w:before="0" w:line="276" w:lineRule="auto"/>
              <w:ind w:firstLine="0" w:left="113" w:right="113"/>
              <w:jc w:val="both"/>
              <w:rPr>
                <w:sz w:val="20"/>
              </w:rPr>
            </w:pPr>
            <w:r>
              <w:rPr>
                <w:rFonts w:ascii="Times New Roman" w:hAnsi="Times New Roman"/>
                <w:b w:val="1"/>
                <w:color w:themeColor="text1" w:val="000000"/>
                <w:spacing w:val="0"/>
                <w:sz w:val="24"/>
              </w:rPr>
              <w:t>ИСПОЛНИТЕЛЬ:</w:t>
            </w:r>
          </w:p>
          <w:p w14:paraId="04010000">
            <w:pPr>
              <w:pStyle w:val="Style_1"/>
              <w:widowControl w:val="0"/>
              <w:spacing w:after="0" w:before="0" w:line="240" w:lineRule="auto"/>
              <w:ind w:firstLine="0" w:left="113" w:right="113"/>
              <w:jc w:val="both"/>
              <w:rPr>
                <w:rFonts w:ascii="Times New Roman" w:hAnsi="Times New Roman"/>
                <w:color w:themeColor="text1" w:val="000000"/>
                <w:sz w:val="24"/>
              </w:rPr>
            </w:pPr>
          </w:p>
          <w:p w14:paraId="05010000">
            <w:pPr>
              <w:pStyle w:val="Style_1"/>
              <w:widowControl w:val="0"/>
              <w:spacing w:after="0" w:before="0" w:line="240" w:lineRule="auto"/>
              <w:ind w:firstLine="0" w:left="113" w:right="113"/>
              <w:jc w:val="both"/>
              <w:rPr>
                <w:rFonts w:ascii="Times New Roman" w:hAnsi="Times New Roman"/>
                <w:color w:themeColor="text1" w:val="000000"/>
                <w:sz w:val="24"/>
              </w:rPr>
            </w:pPr>
          </w:p>
          <w:p w14:paraId="06010000">
            <w:pPr>
              <w:pStyle w:val="Style_1"/>
              <w:widowControl w:val="0"/>
              <w:spacing w:after="0" w:before="0" w:line="240" w:lineRule="auto"/>
              <w:ind w:firstLine="0" w:left="113" w:right="113"/>
              <w:jc w:val="both"/>
              <w:rPr>
                <w:rFonts w:ascii="Times New Roman" w:hAnsi="Times New Roman"/>
                <w:color w:themeColor="text1" w:val="000000"/>
                <w:sz w:val="24"/>
              </w:rPr>
            </w:pPr>
          </w:p>
          <w:p w14:paraId="07010000">
            <w:pPr>
              <w:pStyle w:val="Style_1"/>
              <w:widowControl w:val="0"/>
              <w:spacing w:after="0" w:before="0" w:line="240" w:lineRule="auto"/>
              <w:ind w:firstLine="0" w:left="113" w:right="113"/>
              <w:jc w:val="both"/>
              <w:rPr>
                <w:rFonts w:ascii="Times New Roman" w:hAnsi="Times New Roman"/>
                <w:color w:themeColor="text1" w:val="000000"/>
                <w:sz w:val="24"/>
              </w:rPr>
            </w:pPr>
          </w:p>
          <w:p w14:paraId="08010000">
            <w:pPr>
              <w:pStyle w:val="Style_1"/>
              <w:widowControl w:val="0"/>
              <w:spacing w:after="0" w:before="0" w:line="240" w:lineRule="auto"/>
              <w:ind w:firstLine="0" w:left="113" w:right="113"/>
              <w:jc w:val="both"/>
              <w:rPr>
                <w:rFonts w:ascii="Times New Roman" w:hAnsi="Times New Roman"/>
                <w:color w:themeColor="text1" w:val="000000"/>
                <w:sz w:val="24"/>
              </w:rPr>
            </w:pPr>
          </w:p>
          <w:p w14:paraId="09010000">
            <w:pPr>
              <w:pStyle w:val="Style_1"/>
              <w:widowControl w:val="0"/>
              <w:spacing w:after="0" w:before="0" w:line="240" w:lineRule="auto"/>
              <w:ind w:firstLine="0" w:left="113" w:right="113"/>
              <w:jc w:val="both"/>
              <w:rPr>
                <w:sz w:val="20"/>
              </w:rPr>
            </w:pPr>
            <w:r>
              <w:rPr>
                <w:rFonts w:ascii="Times New Roman" w:hAnsi="Times New Roman"/>
                <w:color w:themeColor="text1" w:val="000000"/>
                <w:spacing w:val="0"/>
                <w:sz w:val="24"/>
              </w:rPr>
              <w:t>М.П.</w:t>
            </w:r>
          </w:p>
        </w:tc>
      </w:tr>
    </w:tbl>
    <w:p w14:paraId="0A010000">
      <w:pPr>
        <w:pStyle w:val="Style_1"/>
        <w:rPr>
          <w:rFonts w:ascii="Times New Roman" w:hAnsi="Times New Roman"/>
          <w:sz w:val="24"/>
        </w:rPr>
      </w:pPr>
    </w:p>
    <w:p w14:paraId="0B010000">
      <w:pPr>
        <w:pStyle w:val="Style_1"/>
        <w:ind/>
        <w:jc w:val="right"/>
        <w:rPr>
          <w:rFonts w:ascii="Serif" w:hAnsi="Serif"/>
          <w:sz w:val="24"/>
        </w:rPr>
      </w:pPr>
      <w:r>
        <w:br w:type="column"/>
      </w:r>
      <w:r>
        <w:rPr>
          <w:rFonts w:ascii="Serif" w:hAnsi="Serif"/>
          <w:sz w:val="24"/>
        </w:rPr>
        <w:t>Приложение № 2 к Контракту</w:t>
      </w:r>
    </w:p>
    <w:p w14:paraId="0C010000">
      <w:pPr>
        <w:pStyle w:val="Style_8"/>
        <w:ind/>
        <w:jc w:val="right"/>
        <w:rPr>
          <w:rFonts w:ascii="Serif" w:hAnsi="Serif"/>
          <w:sz w:val="24"/>
        </w:rPr>
      </w:pPr>
      <w:r>
        <w:rPr>
          <w:rFonts w:ascii="Serif" w:hAnsi="Serif"/>
          <w:sz w:val="24"/>
        </w:rPr>
        <w:t>от «____» ______ 20__ г. № ____</w:t>
      </w:r>
    </w:p>
    <w:p w14:paraId="0D010000">
      <w:pPr>
        <w:pStyle w:val="Style_1"/>
        <w:spacing w:after="0" w:before="0"/>
        <w:ind w:hanging="6" w:left="-346" w:right="0"/>
        <w:rPr>
          <w:rFonts w:ascii="Serif" w:hAnsi="Serif"/>
          <w:b w:val="1"/>
          <w:sz w:val="24"/>
        </w:rPr>
      </w:pPr>
    </w:p>
    <w:p w14:paraId="0E010000">
      <w:pPr>
        <w:pStyle w:val="Style_1"/>
        <w:widowControl w:val="0"/>
        <w:tabs>
          <w:tab w:leader="none" w:pos="720" w:val="clear"/>
          <w:tab w:leader="none" w:pos="1368" w:val="left"/>
        </w:tabs>
        <w:spacing w:after="0" w:before="0"/>
        <w:ind/>
        <w:jc w:val="center"/>
        <w:rPr>
          <w:rFonts w:ascii="Serif" w:hAnsi="Serif"/>
          <w:b w:val="1"/>
          <w:sz w:val="24"/>
        </w:rPr>
      </w:pPr>
      <w:r>
        <w:rPr>
          <w:rFonts w:ascii="Serif" w:hAnsi="Serif"/>
          <w:b w:val="1"/>
          <w:sz w:val="24"/>
        </w:rPr>
        <w:t>Спецификация</w:t>
      </w:r>
    </w:p>
    <w:p w14:paraId="0F010000">
      <w:pPr>
        <w:pStyle w:val="Style_1"/>
        <w:spacing w:after="0" w:before="0"/>
        <w:ind w:firstLine="708" w:left="0" w:right="0"/>
        <w:rPr>
          <w:rFonts w:ascii="Serif" w:hAnsi="Serif"/>
          <w:b w:val="1"/>
          <w:color w:val="000000"/>
          <w:sz w:val="24"/>
        </w:rPr>
      </w:pPr>
    </w:p>
    <w:tbl>
      <w:tblPr>
        <w:tblStyle w:val="Style_4"/>
        <w:tblW w:type="auto" w:w="0"/>
        <w:jc w:val="left"/>
        <w:tblInd w:type="dxa" w:w="0"/>
        <w:tblLayout w:type="fixed"/>
        <w:tblCellMar>
          <w:top w:type="dxa" w:w="0"/>
          <w:left w:type="dxa" w:w="108"/>
          <w:bottom w:type="dxa" w:w="0"/>
          <w:right w:type="dxa" w:w="108"/>
        </w:tblCellMar>
      </w:tblPr>
      <w:tblGrid>
        <w:gridCol w:w="585"/>
        <w:gridCol w:w="4049"/>
        <w:gridCol w:w="691"/>
        <w:gridCol w:w="1304"/>
        <w:gridCol w:w="1760"/>
        <w:gridCol w:w="1930"/>
      </w:tblGrid>
      <w:tr>
        <w:trPr>
          <w:trHeight w:hRule="atLeast" w:val="661"/>
        </w:trPr>
        <w:tc>
          <w:tcPr>
            <w:tcW w:type="dxa" w:w="58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0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 xml:space="preserve">№ </w:t>
            </w:r>
            <w:r>
              <w:rPr>
                <w:rFonts w:ascii="Serif" w:hAnsi="Serif"/>
                <w:color w:val="000000"/>
                <w:sz w:val="24"/>
              </w:rPr>
              <w:t>п/п</w:t>
            </w:r>
          </w:p>
        </w:tc>
        <w:tc>
          <w:tcPr>
            <w:tcW w:type="dxa" w:w="404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1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Наименование СИ</w:t>
            </w:r>
          </w:p>
        </w:tc>
        <w:tc>
          <w:tcPr>
            <w:tcW w:type="dxa" w:w="69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2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Ед. изм.</w:t>
            </w:r>
          </w:p>
        </w:tc>
        <w:tc>
          <w:tcPr>
            <w:tcW w:type="dxa" w:w="1304"/>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13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Кол-во</w:t>
            </w:r>
          </w:p>
        </w:tc>
        <w:tc>
          <w:tcPr>
            <w:tcW w:type="dxa" w:w="1760"/>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14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Цена за ед. руб.</w:t>
            </w:r>
          </w:p>
          <w:p w14:paraId="15010000">
            <w:pPr>
              <w:pStyle w:val="Style_1"/>
              <w:widowControl w:val="0"/>
              <w:spacing w:after="0" w:before="0" w:line="240" w:lineRule="auto"/>
              <w:ind w:firstLine="0" w:left="57" w:right="0"/>
              <w:jc w:val="center"/>
              <w:rPr>
                <w:rFonts w:ascii="Serif" w:hAnsi="Serif"/>
                <w:color w:val="000000"/>
                <w:sz w:val="24"/>
              </w:rPr>
            </w:pPr>
            <w:r>
              <w:rPr>
                <w:rFonts w:ascii="Serif" w:hAnsi="Serif"/>
                <w:color w:val="000000"/>
                <w:sz w:val="24"/>
              </w:rPr>
              <w:t>(с НДС/ без НДС)</w:t>
            </w:r>
          </w:p>
        </w:tc>
        <w:tc>
          <w:tcPr>
            <w:tcW w:type="dxa" w:w="193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6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Общая стоимость, руб. (с НДС/ без НДС)</w:t>
            </w:r>
          </w:p>
        </w:tc>
      </w:tr>
      <w:tr>
        <w:trPr>
          <w:trHeight w:hRule="atLeast" w:val="679"/>
        </w:trPr>
        <w:tc>
          <w:tcPr>
            <w:tcW w:type="dxa" w:w="58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7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1</w:t>
            </w:r>
          </w:p>
        </w:tc>
        <w:tc>
          <w:tcPr>
            <w:tcW w:type="dxa" w:w="404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8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Сигнализатор одноканальный SEITRON</w:t>
            </w:r>
          </w:p>
        </w:tc>
        <w:tc>
          <w:tcPr>
            <w:tcW w:type="dxa" w:w="69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9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шт.</w:t>
            </w:r>
          </w:p>
        </w:tc>
        <w:tc>
          <w:tcPr>
            <w:tcW w:type="dxa" w:w="1304"/>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1A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1</w:t>
            </w:r>
          </w:p>
        </w:tc>
        <w:tc>
          <w:tcPr>
            <w:tcW w:type="dxa" w:w="1760"/>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1B010000">
            <w:pPr>
              <w:pStyle w:val="Style_1"/>
              <w:spacing w:after="0" w:before="0" w:line="240" w:lineRule="auto"/>
              <w:ind w:firstLine="0" w:left="0" w:right="0"/>
              <w:jc w:val="center"/>
              <w:rPr>
                <w:rFonts w:ascii="Serif" w:hAnsi="Serif"/>
                <w:color w:val="000000"/>
                <w:sz w:val="24"/>
              </w:rPr>
            </w:pPr>
          </w:p>
        </w:tc>
        <w:tc>
          <w:tcPr>
            <w:tcW w:type="dxa" w:w="193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C010000">
            <w:pPr>
              <w:pStyle w:val="Style_1"/>
              <w:spacing w:after="0" w:before="0" w:line="240" w:lineRule="auto"/>
              <w:ind w:firstLine="0" w:left="0" w:right="0"/>
              <w:jc w:val="center"/>
              <w:rPr>
                <w:rFonts w:ascii="Serif" w:hAnsi="Serif"/>
                <w:color w:val="000000"/>
                <w:sz w:val="24"/>
              </w:rPr>
            </w:pPr>
          </w:p>
        </w:tc>
      </w:tr>
      <w:tr>
        <w:trPr>
          <w:trHeight w:hRule="atLeast" w:val="661"/>
        </w:trPr>
        <w:tc>
          <w:tcPr>
            <w:tcW w:type="dxa" w:w="58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D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2</w:t>
            </w:r>
          </w:p>
        </w:tc>
        <w:tc>
          <w:tcPr>
            <w:tcW w:type="dxa" w:w="404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E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Сигнализатор оксида углерода СОУ 1</w:t>
            </w:r>
          </w:p>
        </w:tc>
        <w:tc>
          <w:tcPr>
            <w:tcW w:type="dxa" w:w="69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F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шт.</w:t>
            </w:r>
          </w:p>
        </w:tc>
        <w:tc>
          <w:tcPr>
            <w:tcW w:type="dxa" w:w="1304"/>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20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1</w:t>
            </w:r>
          </w:p>
        </w:tc>
        <w:tc>
          <w:tcPr>
            <w:tcW w:type="dxa" w:w="1760"/>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21010000">
            <w:pPr>
              <w:pStyle w:val="Style_1"/>
              <w:spacing w:after="0" w:before="0" w:line="240" w:lineRule="auto"/>
              <w:ind w:firstLine="0" w:left="0" w:right="0"/>
              <w:jc w:val="center"/>
              <w:rPr>
                <w:rFonts w:ascii="Serif" w:hAnsi="Serif"/>
                <w:color w:val="000000"/>
                <w:sz w:val="24"/>
              </w:rPr>
            </w:pPr>
          </w:p>
        </w:tc>
        <w:tc>
          <w:tcPr>
            <w:tcW w:type="dxa" w:w="193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22010000">
            <w:pPr>
              <w:pStyle w:val="Style_1"/>
              <w:spacing w:after="0" w:before="0" w:line="240" w:lineRule="auto"/>
              <w:ind w:firstLine="0" w:left="0" w:right="0"/>
              <w:jc w:val="center"/>
              <w:rPr>
                <w:rFonts w:ascii="Serif" w:hAnsi="Serif"/>
                <w:color w:val="000000"/>
                <w:sz w:val="24"/>
              </w:rPr>
            </w:pPr>
          </w:p>
        </w:tc>
      </w:tr>
      <w:tr>
        <w:trPr>
          <w:trHeight w:hRule="atLeast" w:val="661"/>
        </w:trPr>
        <w:tc>
          <w:tcPr>
            <w:tcW w:type="dxa" w:w="58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23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3</w:t>
            </w:r>
          </w:p>
        </w:tc>
        <w:tc>
          <w:tcPr>
            <w:tcW w:type="dxa" w:w="404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24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Сигнализатор СТГ-1</w:t>
            </w:r>
          </w:p>
        </w:tc>
        <w:tc>
          <w:tcPr>
            <w:tcW w:type="dxa" w:w="69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25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шт.</w:t>
            </w:r>
          </w:p>
        </w:tc>
        <w:tc>
          <w:tcPr>
            <w:tcW w:type="dxa" w:w="1304"/>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26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1</w:t>
            </w:r>
          </w:p>
          <w:p w14:paraId="27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(2 канала)</w:t>
            </w:r>
          </w:p>
        </w:tc>
        <w:tc>
          <w:tcPr>
            <w:tcW w:type="dxa" w:w="1760"/>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28010000">
            <w:pPr>
              <w:pStyle w:val="Style_1"/>
              <w:spacing w:after="0" w:before="0" w:line="240" w:lineRule="auto"/>
              <w:ind w:firstLine="0" w:left="0" w:right="0"/>
              <w:jc w:val="center"/>
              <w:rPr>
                <w:rFonts w:ascii="Serif" w:hAnsi="Serif"/>
                <w:color w:val="000000"/>
                <w:sz w:val="24"/>
              </w:rPr>
            </w:pPr>
          </w:p>
        </w:tc>
        <w:tc>
          <w:tcPr>
            <w:tcW w:type="dxa" w:w="193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29010000">
            <w:pPr>
              <w:pStyle w:val="Style_1"/>
              <w:spacing w:after="0" w:before="0" w:line="240" w:lineRule="auto"/>
              <w:ind w:firstLine="0" w:left="0" w:right="0"/>
              <w:jc w:val="center"/>
              <w:rPr>
                <w:rFonts w:ascii="Serif" w:hAnsi="Serif"/>
                <w:color w:val="000000"/>
                <w:sz w:val="24"/>
              </w:rPr>
            </w:pPr>
          </w:p>
        </w:tc>
      </w:tr>
      <w:tr>
        <w:trPr>
          <w:trHeight w:hRule="atLeast" w:val="661"/>
        </w:trPr>
        <w:tc>
          <w:tcPr>
            <w:tcW w:type="dxa" w:w="58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2A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4</w:t>
            </w:r>
          </w:p>
        </w:tc>
        <w:tc>
          <w:tcPr>
            <w:tcW w:type="dxa" w:w="404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2B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Манометры, показывающие ТМ, МПЗ, МП4</w:t>
            </w:r>
          </w:p>
        </w:tc>
        <w:tc>
          <w:tcPr>
            <w:tcW w:type="dxa" w:w="69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2C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шт.</w:t>
            </w:r>
          </w:p>
        </w:tc>
        <w:tc>
          <w:tcPr>
            <w:tcW w:type="dxa" w:w="1304"/>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2D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20</w:t>
            </w:r>
          </w:p>
        </w:tc>
        <w:tc>
          <w:tcPr>
            <w:tcW w:type="dxa" w:w="1760"/>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2E010000">
            <w:pPr>
              <w:pStyle w:val="Style_1"/>
              <w:spacing w:after="0" w:before="0" w:line="240" w:lineRule="auto"/>
              <w:ind w:firstLine="0" w:left="0" w:right="0"/>
              <w:jc w:val="center"/>
              <w:rPr>
                <w:rFonts w:ascii="Serif" w:hAnsi="Serif"/>
                <w:color w:val="000000"/>
                <w:sz w:val="24"/>
              </w:rPr>
            </w:pPr>
          </w:p>
        </w:tc>
        <w:tc>
          <w:tcPr>
            <w:tcW w:type="dxa" w:w="193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2F010000">
            <w:pPr>
              <w:pStyle w:val="Style_1"/>
              <w:spacing w:after="0" w:before="0" w:line="240" w:lineRule="auto"/>
              <w:ind w:firstLine="0" w:left="0" w:right="0"/>
              <w:jc w:val="center"/>
              <w:rPr>
                <w:rFonts w:ascii="Serif" w:hAnsi="Serif"/>
                <w:color w:val="000000"/>
                <w:sz w:val="24"/>
              </w:rPr>
            </w:pPr>
          </w:p>
        </w:tc>
      </w:tr>
      <w:tr>
        <w:trPr>
          <w:trHeight w:hRule="atLeast" w:val="661"/>
        </w:trPr>
        <w:tc>
          <w:tcPr>
            <w:tcW w:type="dxa" w:w="58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0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5</w:t>
            </w:r>
          </w:p>
        </w:tc>
        <w:tc>
          <w:tcPr>
            <w:tcW w:type="dxa" w:w="404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1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Манометры избыточного давления вакуумметры и мановакуумметры показывающие и сигнализирующие ДМ2010ф</w:t>
            </w:r>
          </w:p>
        </w:tc>
        <w:tc>
          <w:tcPr>
            <w:tcW w:type="dxa" w:w="69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2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шт.</w:t>
            </w:r>
          </w:p>
        </w:tc>
        <w:tc>
          <w:tcPr>
            <w:tcW w:type="dxa" w:w="1304"/>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33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2</w:t>
            </w:r>
          </w:p>
        </w:tc>
        <w:tc>
          <w:tcPr>
            <w:tcW w:type="dxa" w:w="1760"/>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34010000">
            <w:pPr>
              <w:pStyle w:val="Style_1"/>
              <w:spacing w:after="0" w:before="0" w:line="240" w:lineRule="auto"/>
              <w:ind w:firstLine="0" w:left="0" w:right="0"/>
              <w:jc w:val="center"/>
              <w:rPr>
                <w:rFonts w:ascii="Serif" w:hAnsi="Serif"/>
                <w:color w:val="000000"/>
                <w:sz w:val="24"/>
              </w:rPr>
            </w:pPr>
          </w:p>
        </w:tc>
        <w:tc>
          <w:tcPr>
            <w:tcW w:type="dxa" w:w="193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5010000">
            <w:pPr>
              <w:pStyle w:val="Style_1"/>
              <w:spacing w:after="0" w:before="0" w:line="240" w:lineRule="auto"/>
              <w:ind w:firstLine="0" w:left="0" w:right="0"/>
              <w:jc w:val="center"/>
              <w:rPr>
                <w:rFonts w:ascii="Serif" w:hAnsi="Serif"/>
                <w:color w:val="000000"/>
                <w:sz w:val="24"/>
              </w:rPr>
            </w:pPr>
          </w:p>
        </w:tc>
      </w:tr>
      <w:tr>
        <w:trPr>
          <w:trHeight w:hRule="atLeast" w:val="661"/>
        </w:trPr>
        <w:tc>
          <w:tcPr>
            <w:tcW w:type="dxa" w:w="58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6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6</w:t>
            </w:r>
          </w:p>
        </w:tc>
        <w:tc>
          <w:tcPr>
            <w:tcW w:type="dxa" w:w="404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7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Термометр БТ</w:t>
            </w:r>
          </w:p>
        </w:tc>
        <w:tc>
          <w:tcPr>
            <w:tcW w:type="dxa" w:w="69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8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шт.</w:t>
            </w:r>
          </w:p>
        </w:tc>
        <w:tc>
          <w:tcPr>
            <w:tcW w:type="dxa" w:w="1304"/>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39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14</w:t>
            </w:r>
          </w:p>
        </w:tc>
        <w:tc>
          <w:tcPr>
            <w:tcW w:type="dxa" w:w="1760"/>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3A010000">
            <w:pPr>
              <w:pStyle w:val="Style_1"/>
              <w:spacing w:after="0" w:before="0" w:line="240" w:lineRule="auto"/>
              <w:ind w:firstLine="0" w:left="0" w:right="0"/>
              <w:jc w:val="center"/>
              <w:rPr>
                <w:rFonts w:ascii="Serif" w:hAnsi="Serif"/>
                <w:color w:val="000000"/>
                <w:sz w:val="24"/>
              </w:rPr>
            </w:pPr>
          </w:p>
        </w:tc>
        <w:tc>
          <w:tcPr>
            <w:tcW w:type="dxa" w:w="193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B010000">
            <w:pPr>
              <w:pStyle w:val="Style_1"/>
              <w:spacing w:after="0" w:before="0" w:line="240" w:lineRule="auto"/>
              <w:ind w:firstLine="0" w:left="0" w:right="0"/>
              <w:jc w:val="center"/>
              <w:rPr>
                <w:rFonts w:ascii="Serif" w:hAnsi="Serif"/>
                <w:color w:val="000000"/>
                <w:sz w:val="24"/>
              </w:rPr>
            </w:pPr>
          </w:p>
        </w:tc>
      </w:tr>
      <w:tr>
        <w:trPr>
          <w:trHeight w:hRule="atLeast" w:val="661"/>
        </w:trPr>
        <w:tc>
          <w:tcPr>
            <w:tcW w:type="dxa" w:w="585"/>
            <w:tcBorders>
              <w:left w:color="000000" w:sz="4" w:val="single"/>
              <w:bottom w:color="000000" w:sz="4" w:val="single"/>
              <w:right w:color="000000" w:sz="4" w:val="single"/>
            </w:tcBorders>
            <w:shd w:fill="auto" w:val="clear"/>
            <w:tcMar>
              <w:top w:type="dxa" w:w="0"/>
              <w:left w:type="dxa" w:w="108"/>
              <w:bottom w:type="dxa" w:w="0"/>
              <w:right w:type="dxa" w:w="108"/>
            </w:tcMar>
            <w:vAlign w:val="center"/>
          </w:tcPr>
          <w:p w14:paraId="3C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7</w:t>
            </w:r>
          </w:p>
        </w:tc>
        <w:tc>
          <w:tcPr>
            <w:tcW w:type="dxa" w:w="4049"/>
            <w:tcBorders>
              <w:left w:color="000000" w:sz="4" w:val="single"/>
              <w:bottom w:color="000000" w:sz="4" w:val="single"/>
              <w:right w:color="000000" w:sz="4" w:val="single"/>
            </w:tcBorders>
            <w:shd w:fill="auto" w:val="clear"/>
            <w:tcMar>
              <w:top w:type="dxa" w:w="0"/>
              <w:left w:type="dxa" w:w="108"/>
              <w:bottom w:type="dxa" w:w="0"/>
              <w:right w:type="dxa" w:w="108"/>
            </w:tcMar>
            <w:vAlign w:val="center"/>
          </w:tcPr>
          <w:p w14:paraId="3D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Термометр ТПТ-1</w:t>
            </w:r>
          </w:p>
        </w:tc>
        <w:tc>
          <w:tcPr>
            <w:tcW w:type="dxa" w:w="691"/>
            <w:tcBorders>
              <w:left w:color="000000" w:sz="4" w:val="single"/>
              <w:bottom w:color="000000" w:sz="4" w:val="single"/>
              <w:right w:color="000000" w:sz="4" w:val="single"/>
            </w:tcBorders>
            <w:shd w:fill="auto" w:val="clear"/>
            <w:tcMar>
              <w:top w:type="dxa" w:w="0"/>
              <w:left w:type="dxa" w:w="108"/>
              <w:bottom w:type="dxa" w:w="0"/>
              <w:right w:type="dxa" w:w="108"/>
            </w:tcMar>
            <w:vAlign w:val="center"/>
          </w:tcPr>
          <w:p w14:paraId="3E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шт.</w:t>
            </w:r>
          </w:p>
        </w:tc>
        <w:tc>
          <w:tcPr>
            <w:tcW w:type="dxa" w:w="1304"/>
            <w:tcBorders>
              <w:left w:color="000000" w:sz="4" w:val="single"/>
              <w:bottom w:color="000000" w:sz="4" w:val="single"/>
            </w:tcBorders>
            <w:shd w:fill="auto" w:val="clear"/>
            <w:tcMar>
              <w:top w:type="dxa" w:w="0"/>
              <w:left w:type="dxa" w:w="108"/>
              <w:bottom w:type="dxa" w:w="0"/>
              <w:right w:type="dxa" w:w="108"/>
            </w:tcMar>
            <w:vAlign w:val="center"/>
          </w:tcPr>
          <w:p w14:paraId="3F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1</w:t>
            </w:r>
          </w:p>
        </w:tc>
        <w:tc>
          <w:tcPr>
            <w:tcW w:type="dxa" w:w="1760"/>
            <w:tcBorders>
              <w:left w:color="000000" w:sz="4" w:val="single"/>
              <w:bottom w:color="000000" w:sz="4" w:val="single"/>
            </w:tcBorders>
            <w:shd w:fill="auto" w:val="clear"/>
            <w:tcMar>
              <w:top w:type="dxa" w:w="0"/>
              <w:left w:type="dxa" w:w="108"/>
              <w:bottom w:type="dxa" w:w="0"/>
              <w:right w:type="dxa" w:w="108"/>
            </w:tcMar>
            <w:vAlign w:val="center"/>
          </w:tcPr>
          <w:p w14:paraId="40010000">
            <w:pPr>
              <w:pStyle w:val="Style_1"/>
              <w:spacing w:after="0" w:before="0" w:line="240" w:lineRule="auto"/>
              <w:ind w:firstLine="0" w:left="0" w:right="0"/>
              <w:jc w:val="center"/>
              <w:rPr>
                <w:rFonts w:ascii="Serif" w:hAnsi="Serif"/>
                <w:color w:val="000000"/>
                <w:sz w:val="24"/>
              </w:rPr>
            </w:pPr>
          </w:p>
        </w:tc>
        <w:tc>
          <w:tcPr>
            <w:tcW w:type="dxa" w:w="1930"/>
            <w:tcBorders>
              <w:left w:color="000000" w:sz="4" w:val="single"/>
              <w:bottom w:color="000000" w:sz="4" w:val="single"/>
              <w:right w:color="000000" w:sz="4" w:val="single"/>
            </w:tcBorders>
            <w:shd w:fill="auto" w:val="clear"/>
            <w:tcMar>
              <w:top w:type="dxa" w:w="0"/>
              <w:left w:type="dxa" w:w="108"/>
              <w:bottom w:type="dxa" w:w="0"/>
              <w:right w:type="dxa" w:w="108"/>
            </w:tcMar>
            <w:vAlign w:val="center"/>
          </w:tcPr>
          <w:p w14:paraId="41010000">
            <w:pPr>
              <w:pStyle w:val="Style_1"/>
              <w:spacing w:after="0" w:before="0" w:line="240" w:lineRule="auto"/>
              <w:ind w:firstLine="0" w:left="0" w:right="0"/>
              <w:jc w:val="center"/>
              <w:rPr>
                <w:rFonts w:ascii="Serif" w:hAnsi="Serif"/>
                <w:color w:val="000000"/>
                <w:sz w:val="24"/>
              </w:rPr>
            </w:pPr>
          </w:p>
        </w:tc>
      </w:tr>
      <w:tr>
        <w:trPr>
          <w:trHeight w:hRule="atLeast" w:val="661"/>
        </w:trPr>
        <w:tc>
          <w:tcPr>
            <w:tcW w:type="dxa" w:w="585"/>
            <w:tcBorders>
              <w:left w:color="000000" w:sz="4" w:val="single"/>
              <w:bottom w:color="000000" w:sz="4" w:val="single"/>
              <w:right w:color="000000" w:sz="4" w:val="single"/>
            </w:tcBorders>
            <w:shd w:fill="auto" w:val="clear"/>
            <w:tcMar>
              <w:top w:type="dxa" w:w="0"/>
              <w:left w:type="dxa" w:w="108"/>
              <w:bottom w:type="dxa" w:w="0"/>
              <w:right w:type="dxa" w:w="108"/>
            </w:tcMar>
            <w:vAlign w:val="center"/>
          </w:tcPr>
          <w:p w14:paraId="42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8</w:t>
            </w:r>
          </w:p>
        </w:tc>
        <w:tc>
          <w:tcPr>
            <w:tcW w:type="dxa" w:w="4049"/>
            <w:tcBorders>
              <w:left w:color="000000" w:sz="4" w:val="single"/>
              <w:bottom w:color="000000" w:sz="4" w:val="single"/>
              <w:right w:color="000000" w:sz="4" w:val="single"/>
            </w:tcBorders>
            <w:shd w:fill="auto" w:val="clear"/>
            <w:tcMar>
              <w:top w:type="dxa" w:w="0"/>
              <w:left w:type="dxa" w:w="108"/>
              <w:bottom w:type="dxa" w:w="0"/>
              <w:right w:type="dxa" w:w="108"/>
            </w:tcMar>
            <w:vAlign w:val="center"/>
          </w:tcPr>
          <w:p w14:paraId="43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Датчики давления 415М</w:t>
            </w:r>
          </w:p>
        </w:tc>
        <w:tc>
          <w:tcPr>
            <w:tcW w:type="dxa" w:w="691"/>
            <w:tcBorders>
              <w:left w:color="000000" w:sz="4" w:val="single"/>
              <w:bottom w:color="000000" w:sz="4" w:val="single"/>
              <w:right w:color="000000" w:sz="4" w:val="single"/>
            </w:tcBorders>
            <w:shd w:fill="auto" w:val="clear"/>
            <w:tcMar>
              <w:top w:type="dxa" w:w="0"/>
              <w:left w:type="dxa" w:w="108"/>
              <w:bottom w:type="dxa" w:w="0"/>
              <w:right w:type="dxa" w:w="108"/>
            </w:tcMar>
            <w:vAlign w:val="center"/>
          </w:tcPr>
          <w:p w14:paraId="44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шт.</w:t>
            </w:r>
          </w:p>
        </w:tc>
        <w:tc>
          <w:tcPr>
            <w:tcW w:type="dxa" w:w="1304"/>
            <w:tcBorders>
              <w:left w:color="000000" w:sz="4" w:val="single"/>
              <w:bottom w:color="000000" w:sz="4" w:val="single"/>
            </w:tcBorders>
            <w:shd w:fill="auto" w:val="clear"/>
            <w:tcMar>
              <w:top w:type="dxa" w:w="0"/>
              <w:left w:type="dxa" w:w="108"/>
              <w:bottom w:type="dxa" w:w="0"/>
              <w:right w:type="dxa" w:w="108"/>
            </w:tcMar>
            <w:vAlign w:val="center"/>
          </w:tcPr>
          <w:p w14:paraId="45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2</w:t>
            </w:r>
          </w:p>
        </w:tc>
        <w:tc>
          <w:tcPr>
            <w:tcW w:type="dxa" w:w="1760"/>
            <w:tcBorders>
              <w:left w:color="000000" w:sz="4" w:val="single"/>
              <w:bottom w:color="000000" w:sz="4" w:val="single"/>
            </w:tcBorders>
            <w:shd w:fill="auto" w:val="clear"/>
            <w:tcMar>
              <w:top w:type="dxa" w:w="0"/>
              <w:left w:type="dxa" w:w="108"/>
              <w:bottom w:type="dxa" w:w="0"/>
              <w:right w:type="dxa" w:w="108"/>
            </w:tcMar>
            <w:vAlign w:val="center"/>
          </w:tcPr>
          <w:p w14:paraId="46010000">
            <w:pPr>
              <w:pStyle w:val="Style_1"/>
              <w:spacing w:after="0" w:before="0" w:line="240" w:lineRule="auto"/>
              <w:ind w:firstLine="0" w:left="0" w:right="0"/>
              <w:jc w:val="center"/>
              <w:rPr>
                <w:rFonts w:ascii="Serif" w:hAnsi="Serif"/>
                <w:color w:val="000000"/>
                <w:sz w:val="24"/>
              </w:rPr>
            </w:pPr>
          </w:p>
        </w:tc>
        <w:tc>
          <w:tcPr>
            <w:tcW w:type="dxa" w:w="1930"/>
            <w:tcBorders>
              <w:left w:color="000000" w:sz="4" w:val="single"/>
              <w:bottom w:color="000000" w:sz="4" w:val="single"/>
              <w:right w:color="000000" w:sz="4" w:val="single"/>
            </w:tcBorders>
            <w:shd w:fill="auto" w:val="clear"/>
            <w:tcMar>
              <w:top w:type="dxa" w:w="0"/>
              <w:left w:type="dxa" w:w="108"/>
              <w:bottom w:type="dxa" w:w="0"/>
              <w:right w:type="dxa" w:w="108"/>
            </w:tcMar>
            <w:vAlign w:val="center"/>
          </w:tcPr>
          <w:p w14:paraId="47010000">
            <w:pPr>
              <w:pStyle w:val="Style_1"/>
              <w:spacing w:after="0" w:before="0" w:line="240" w:lineRule="auto"/>
              <w:ind w:firstLine="0" w:left="0" w:right="0"/>
              <w:jc w:val="center"/>
              <w:rPr>
                <w:rFonts w:ascii="Serif" w:hAnsi="Serif"/>
                <w:color w:val="000000"/>
                <w:sz w:val="24"/>
              </w:rPr>
            </w:pPr>
          </w:p>
        </w:tc>
      </w:tr>
      <w:tr>
        <w:trPr>
          <w:trHeight w:hRule="atLeast" w:val="661"/>
        </w:trPr>
        <w:tc>
          <w:tcPr>
            <w:tcW w:type="dxa" w:w="585"/>
            <w:tcBorders>
              <w:left w:color="000000" w:sz="4" w:val="single"/>
              <w:bottom w:color="000000" w:sz="4" w:val="single"/>
              <w:right w:color="000000" w:sz="4" w:val="single"/>
            </w:tcBorders>
            <w:shd w:fill="auto" w:val="clear"/>
            <w:tcMar>
              <w:top w:type="dxa" w:w="0"/>
              <w:left w:type="dxa" w:w="108"/>
              <w:bottom w:type="dxa" w:w="0"/>
              <w:right w:type="dxa" w:w="108"/>
            </w:tcMar>
            <w:vAlign w:val="center"/>
          </w:tcPr>
          <w:p w14:paraId="48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9</w:t>
            </w:r>
          </w:p>
        </w:tc>
        <w:tc>
          <w:tcPr>
            <w:tcW w:type="dxa" w:w="4049"/>
            <w:tcBorders>
              <w:left w:color="000000" w:sz="4" w:val="single"/>
              <w:bottom w:color="000000" w:sz="4" w:val="single"/>
              <w:right w:color="000000" w:sz="4" w:val="single"/>
            </w:tcBorders>
            <w:shd w:fill="auto" w:val="clear"/>
            <w:tcMar>
              <w:top w:type="dxa" w:w="0"/>
              <w:left w:type="dxa" w:w="108"/>
              <w:bottom w:type="dxa" w:w="0"/>
              <w:right w:type="dxa" w:w="108"/>
            </w:tcMar>
            <w:vAlign w:val="center"/>
          </w:tcPr>
          <w:p w14:paraId="49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Мультиметр цифровой VA-19</w:t>
            </w:r>
          </w:p>
        </w:tc>
        <w:tc>
          <w:tcPr>
            <w:tcW w:type="dxa" w:w="691"/>
            <w:tcBorders>
              <w:left w:color="000000" w:sz="4" w:val="single"/>
              <w:bottom w:color="000000" w:sz="4" w:val="single"/>
              <w:right w:color="000000" w:sz="4" w:val="single"/>
            </w:tcBorders>
            <w:shd w:fill="auto" w:val="clear"/>
            <w:tcMar>
              <w:top w:type="dxa" w:w="0"/>
              <w:left w:type="dxa" w:w="108"/>
              <w:bottom w:type="dxa" w:w="0"/>
              <w:right w:type="dxa" w:w="108"/>
            </w:tcMar>
            <w:vAlign w:val="center"/>
          </w:tcPr>
          <w:p w14:paraId="4A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шт.</w:t>
            </w:r>
          </w:p>
        </w:tc>
        <w:tc>
          <w:tcPr>
            <w:tcW w:type="dxa" w:w="1304"/>
            <w:tcBorders>
              <w:left w:color="000000" w:sz="4" w:val="single"/>
              <w:bottom w:color="000000" w:sz="4" w:val="single"/>
            </w:tcBorders>
            <w:shd w:fill="auto" w:val="clear"/>
            <w:tcMar>
              <w:top w:type="dxa" w:w="0"/>
              <w:left w:type="dxa" w:w="108"/>
              <w:bottom w:type="dxa" w:w="0"/>
              <w:right w:type="dxa" w:w="108"/>
            </w:tcMar>
            <w:vAlign w:val="center"/>
          </w:tcPr>
          <w:p w14:paraId="4B010000">
            <w:pPr>
              <w:pStyle w:val="Style_1"/>
              <w:spacing w:after="0" w:before="0" w:line="240" w:lineRule="auto"/>
              <w:ind w:firstLine="0" w:left="0" w:right="0"/>
              <w:jc w:val="center"/>
              <w:rPr>
                <w:rFonts w:ascii="Serif" w:hAnsi="Serif"/>
                <w:color w:val="000000"/>
                <w:sz w:val="24"/>
              </w:rPr>
            </w:pPr>
            <w:r>
              <w:rPr>
                <w:rFonts w:ascii="Serif" w:hAnsi="Serif"/>
                <w:color w:val="000000"/>
                <w:sz w:val="24"/>
              </w:rPr>
              <w:t>1</w:t>
            </w:r>
          </w:p>
        </w:tc>
        <w:tc>
          <w:tcPr>
            <w:tcW w:type="dxa" w:w="1760"/>
            <w:tcBorders>
              <w:left w:color="000000" w:sz="4" w:val="single"/>
              <w:bottom w:color="000000" w:sz="4" w:val="single"/>
            </w:tcBorders>
            <w:shd w:fill="auto" w:val="clear"/>
            <w:tcMar>
              <w:top w:type="dxa" w:w="0"/>
              <w:left w:type="dxa" w:w="108"/>
              <w:bottom w:type="dxa" w:w="0"/>
              <w:right w:type="dxa" w:w="108"/>
            </w:tcMar>
            <w:vAlign w:val="center"/>
          </w:tcPr>
          <w:p w14:paraId="4C010000">
            <w:pPr>
              <w:pStyle w:val="Style_1"/>
              <w:spacing w:after="0" w:before="0" w:line="240" w:lineRule="auto"/>
              <w:ind w:firstLine="0" w:left="0" w:right="0"/>
              <w:jc w:val="center"/>
              <w:rPr>
                <w:rFonts w:ascii="Serif" w:hAnsi="Serif"/>
                <w:color w:val="000000"/>
                <w:sz w:val="24"/>
              </w:rPr>
            </w:pPr>
          </w:p>
        </w:tc>
        <w:tc>
          <w:tcPr>
            <w:tcW w:type="dxa" w:w="1930"/>
            <w:tcBorders>
              <w:left w:color="000000" w:sz="4" w:val="single"/>
              <w:bottom w:color="000000" w:sz="4" w:val="single"/>
              <w:right w:color="000000" w:sz="4" w:val="single"/>
            </w:tcBorders>
            <w:shd w:fill="auto" w:val="clear"/>
            <w:tcMar>
              <w:top w:type="dxa" w:w="0"/>
              <w:left w:type="dxa" w:w="108"/>
              <w:bottom w:type="dxa" w:w="0"/>
              <w:right w:type="dxa" w:w="108"/>
            </w:tcMar>
            <w:vAlign w:val="center"/>
          </w:tcPr>
          <w:p w14:paraId="4D010000">
            <w:pPr>
              <w:pStyle w:val="Style_1"/>
              <w:spacing w:after="0" w:before="0" w:line="240" w:lineRule="auto"/>
              <w:ind w:firstLine="0" w:left="0" w:right="0"/>
              <w:jc w:val="center"/>
              <w:rPr>
                <w:rFonts w:ascii="Serif" w:hAnsi="Serif"/>
                <w:color w:val="000000"/>
                <w:sz w:val="24"/>
              </w:rPr>
            </w:pPr>
          </w:p>
        </w:tc>
      </w:tr>
      <w:tr>
        <w:trPr>
          <w:trHeight w:hRule="atLeast" w:val="339"/>
        </w:trPr>
        <w:tc>
          <w:tcPr>
            <w:tcW w:type="dxa" w:w="8389"/>
            <w:gridSpan w:val="5"/>
            <w:tcBorders>
              <w:left w:color="000000" w:sz="4" w:val="single"/>
              <w:bottom w:color="000000" w:sz="4" w:val="single"/>
            </w:tcBorders>
            <w:shd w:fill="auto" w:val="clear"/>
            <w:tcMar>
              <w:top w:type="dxa" w:w="0"/>
              <w:left w:type="dxa" w:w="108"/>
              <w:bottom w:type="dxa" w:w="0"/>
              <w:right w:type="dxa" w:w="108"/>
            </w:tcMar>
            <w:vAlign w:val="center"/>
          </w:tcPr>
          <w:p w14:paraId="4E010000">
            <w:pPr>
              <w:pStyle w:val="Style_1"/>
              <w:spacing w:after="0" w:before="0" w:line="240" w:lineRule="auto"/>
              <w:ind w:firstLine="0" w:left="0" w:right="0"/>
              <w:jc w:val="right"/>
              <w:rPr>
                <w:rFonts w:ascii="Serif" w:hAnsi="Serif"/>
                <w:color w:val="000000"/>
                <w:sz w:val="24"/>
              </w:rPr>
            </w:pPr>
            <w:r>
              <w:rPr>
                <w:rFonts w:ascii="Serif" w:hAnsi="Serif"/>
                <w:color w:val="000000"/>
                <w:sz w:val="24"/>
              </w:rPr>
              <w:t>ИТОГО:</w:t>
            </w:r>
          </w:p>
        </w:tc>
        <w:tc>
          <w:tcPr>
            <w:tcW w:type="dxa" w:w="1930"/>
            <w:tcBorders>
              <w:left w:color="000000" w:sz="4" w:val="single"/>
              <w:bottom w:color="000000" w:sz="4" w:val="single"/>
              <w:right w:color="000000" w:sz="4" w:val="single"/>
            </w:tcBorders>
            <w:shd w:fill="auto" w:val="clear"/>
            <w:tcMar>
              <w:top w:type="dxa" w:w="0"/>
              <w:left w:type="dxa" w:w="108"/>
              <w:bottom w:type="dxa" w:w="0"/>
              <w:right w:type="dxa" w:w="108"/>
            </w:tcMar>
            <w:vAlign w:val="center"/>
          </w:tcPr>
          <w:p w14:paraId="4F010000">
            <w:pPr>
              <w:pStyle w:val="Style_1"/>
              <w:spacing w:after="0" w:before="0" w:line="240" w:lineRule="auto"/>
              <w:ind w:firstLine="0" w:left="0" w:right="0"/>
              <w:jc w:val="center"/>
              <w:rPr>
                <w:rFonts w:ascii="Serif" w:hAnsi="Serif"/>
                <w:color w:val="000000"/>
                <w:sz w:val="24"/>
              </w:rPr>
            </w:pPr>
          </w:p>
        </w:tc>
      </w:tr>
      <w:tr>
        <w:trPr>
          <w:trHeight w:hRule="atLeast" w:val="240"/>
        </w:trPr>
        <w:tc>
          <w:tcPr>
            <w:tcW w:type="dxa" w:w="8389"/>
            <w:gridSpan w:val="5"/>
            <w:tcBorders>
              <w:left w:color="000000" w:sz="4" w:val="single"/>
              <w:bottom w:color="000000" w:sz="4" w:val="single"/>
            </w:tcBorders>
            <w:shd w:fill="auto" w:val="clear"/>
            <w:tcMar>
              <w:top w:type="dxa" w:w="0"/>
              <w:left w:type="dxa" w:w="108"/>
              <w:bottom w:type="dxa" w:w="0"/>
              <w:right w:type="dxa" w:w="108"/>
            </w:tcMar>
            <w:vAlign w:val="center"/>
          </w:tcPr>
          <w:p w14:paraId="50010000">
            <w:pPr>
              <w:pStyle w:val="Style_1"/>
              <w:spacing w:after="0" w:before="0" w:line="240" w:lineRule="auto"/>
              <w:ind w:firstLine="0" w:left="0" w:right="0"/>
              <w:jc w:val="right"/>
              <w:rPr>
                <w:rFonts w:ascii="Serif" w:hAnsi="Serif"/>
                <w:color w:val="000000"/>
                <w:sz w:val="24"/>
              </w:rPr>
            </w:pPr>
            <w:r>
              <w:rPr>
                <w:rFonts w:ascii="Serif" w:hAnsi="Serif"/>
                <w:color w:val="000000"/>
                <w:sz w:val="24"/>
              </w:rPr>
              <w:t>В том числе НДС:</w:t>
            </w:r>
          </w:p>
        </w:tc>
        <w:tc>
          <w:tcPr>
            <w:tcW w:type="dxa" w:w="1930"/>
            <w:tcBorders>
              <w:left w:color="000000" w:sz="4" w:val="single"/>
              <w:bottom w:color="000000" w:sz="4" w:val="single"/>
              <w:right w:color="000000" w:sz="4" w:val="single"/>
            </w:tcBorders>
            <w:shd w:fill="auto" w:val="clear"/>
            <w:tcMar>
              <w:top w:type="dxa" w:w="0"/>
              <w:left w:type="dxa" w:w="108"/>
              <w:bottom w:type="dxa" w:w="0"/>
              <w:right w:type="dxa" w:w="108"/>
            </w:tcMar>
            <w:vAlign w:val="center"/>
          </w:tcPr>
          <w:p w14:paraId="51010000">
            <w:pPr>
              <w:pStyle w:val="Style_1"/>
              <w:spacing w:after="0" w:before="0" w:line="240" w:lineRule="auto"/>
              <w:ind w:firstLine="0" w:left="0" w:right="0"/>
              <w:jc w:val="center"/>
              <w:rPr>
                <w:rFonts w:ascii="Serif" w:hAnsi="Serif"/>
                <w:color w:val="000000"/>
                <w:sz w:val="24"/>
              </w:rPr>
            </w:pPr>
          </w:p>
        </w:tc>
      </w:tr>
    </w:tbl>
    <w:p w14:paraId="52010000">
      <w:pPr>
        <w:pStyle w:val="Style_1"/>
        <w:rPr>
          <w:rFonts w:ascii="Serif" w:hAnsi="Serif"/>
          <w:sz w:val="24"/>
        </w:rPr>
      </w:pPr>
    </w:p>
    <w:p w14:paraId="53010000">
      <w:pPr>
        <w:pStyle w:val="Style_1"/>
        <w:rPr>
          <w:rFonts w:ascii="Times New Roman" w:hAnsi="Times New Roman"/>
          <w:sz w:val="24"/>
        </w:rPr>
      </w:pPr>
    </w:p>
    <w:p w14:paraId="54010000">
      <w:pPr>
        <w:pStyle w:val="Style_1"/>
        <w:rPr>
          <w:rFonts w:ascii="Times New Roman" w:hAnsi="Times New Roman"/>
          <w:sz w:val="24"/>
        </w:rPr>
      </w:pPr>
    </w:p>
    <w:tbl>
      <w:tblPr>
        <w:tblStyle w:val="Style_7"/>
        <w:tblW w:type="auto" w:w="0"/>
        <w:jc w:val="left"/>
        <w:tblInd w:type="dxa" w:w="-26"/>
        <w:tblLayout w:type="fixed"/>
        <w:tblCellMar>
          <w:top w:type="dxa" w:w="0"/>
          <w:left w:type="dxa" w:w="108"/>
          <w:bottom w:type="dxa" w:w="0"/>
          <w:right w:type="dxa" w:w="108"/>
        </w:tblCellMar>
      </w:tblPr>
      <w:tblGrid>
        <w:gridCol w:w="5213"/>
        <w:gridCol w:w="4936"/>
      </w:tblGrid>
      <w:tr>
        <w:tc>
          <w:tcPr>
            <w:tcW w:type="dxa" w:w="5213"/>
            <w:tcBorders>
              <w:top w:sz="4" w:val="nil"/>
              <w:left w:sz="4" w:val="nil"/>
              <w:bottom w:sz="4" w:val="nil"/>
              <w:right w:sz="4" w:val="nil"/>
            </w:tcBorders>
            <w:tcMar>
              <w:top w:type="dxa" w:w="0"/>
              <w:left w:type="dxa" w:w="108"/>
              <w:bottom w:type="dxa" w:w="0"/>
              <w:right w:type="dxa" w:w="108"/>
            </w:tcMar>
          </w:tcPr>
          <w:p w14:paraId="55010000">
            <w:pPr>
              <w:pStyle w:val="Style_1"/>
              <w:spacing w:after="0" w:before="0" w:line="240" w:lineRule="auto"/>
              <w:ind w:firstLine="0" w:left="0" w:right="0"/>
              <w:rPr>
                <w:rFonts w:ascii="Times New Roman" w:hAnsi="Times New Roman"/>
                <w:b w:val="1"/>
                <w:sz w:val="24"/>
              </w:rPr>
            </w:pPr>
            <w:r>
              <w:rPr>
                <w:rFonts w:ascii="Times New Roman" w:hAnsi="Times New Roman"/>
                <w:b w:val="1"/>
                <w:color w:val="000000"/>
                <w:spacing w:val="0"/>
                <w:sz w:val="24"/>
              </w:rPr>
              <w:t>ЗАКАЗЧИК:</w:t>
            </w:r>
          </w:p>
          <w:p w14:paraId="56010000">
            <w:pPr>
              <w:pStyle w:val="Style_1"/>
              <w:spacing w:after="0" w:before="0" w:line="240" w:lineRule="auto"/>
              <w:ind w:firstLine="0" w:left="0" w:right="0"/>
              <w:rPr>
                <w:rFonts w:ascii="Times New Roman" w:hAnsi="Times New Roman"/>
                <w:sz w:val="24"/>
              </w:rPr>
            </w:pPr>
            <w:r>
              <w:rPr>
                <w:rFonts w:ascii="Times New Roman" w:hAnsi="Times New Roman"/>
                <w:b w:val="1"/>
                <w:color w:val="000000"/>
                <w:spacing w:val="0"/>
                <w:sz w:val="24"/>
              </w:rPr>
              <w:t>Федеральное казенное учреждение</w:t>
            </w:r>
          </w:p>
          <w:p w14:paraId="57010000">
            <w:pPr>
              <w:pStyle w:val="Style_1"/>
              <w:spacing w:after="0" w:before="0" w:line="240" w:lineRule="auto"/>
              <w:ind w:firstLine="0" w:left="0" w:right="0"/>
              <w:rPr>
                <w:rFonts w:ascii="Times New Roman" w:hAnsi="Times New Roman"/>
                <w:sz w:val="24"/>
              </w:rPr>
            </w:pPr>
            <w:r>
              <w:rPr>
                <w:rFonts w:ascii="Times New Roman" w:hAnsi="Times New Roman"/>
                <w:b w:val="1"/>
                <w:color w:val="000000"/>
                <w:spacing w:val="0"/>
                <w:sz w:val="24"/>
              </w:rPr>
              <w:t>«Центр хранения страхового фонда»</w:t>
            </w:r>
          </w:p>
          <w:p w14:paraId="58010000">
            <w:pPr>
              <w:pStyle w:val="Style_1"/>
              <w:spacing w:after="0" w:before="0" w:line="240" w:lineRule="auto"/>
              <w:ind w:firstLine="720" w:left="0" w:right="0"/>
              <w:rPr>
                <w:rFonts w:ascii="Times New Roman" w:hAnsi="Times New Roman"/>
                <w:sz w:val="24"/>
              </w:rPr>
            </w:pPr>
          </w:p>
          <w:p w14:paraId="59010000">
            <w:pPr>
              <w:pStyle w:val="Style_1"/>
              <w:spacing w:after="0" w:before="0" w:line="240" w:lineRule="auto"/>
              <w:ind w:firstLine="720" w:left="0" w:right="0"/>
              <w:rPr>
                <w:rFonts w:ascii="Times New Roman" w:hAnsi="Times New Roman"/>
                <w:sz w:val="24"/>
              </w:rPr>
            </w:pPr>
          </w:p>
          <w:p w14:paraId="5A010000">
            <w:pPr>
              <w:pStyle w:val="Style_1"/>
              <w:spacing w:after="0" w:before="0" w:line="240" w:lineRule="auto"/>
              <w:ind w:firstLine="0" w:left="0" w:right="0"/>
              <w:rPr>
                <w:rFonts w:ascii="Times New Roman" w:hAnsi="Times New Roman"/>
                <w:sz w:val="24"/>
              </w:rPr>
            </w:pPr>
            <w:r>
              <w:rPr>
                <w:rFonts w:ascii="Times New Roman" w:hAnsi="Times New Roman"/>
                <w:color w:val="000000"/>
                <w:spacing w:val="0"/>
                <w:sz w:val="24"/>
              </w:rPr>
              <w:t>Директор ____________ Д.С. Васильев</w:t>
            </w:r>
          </w:p>
          <w:p w14:paraId="5B010000">
            <w:pPr>
              <w:pStyle w:val="Style_1"/>
              <w:spacing w:after="0" w:before="0" w:line="240" w:lineRule="auto"/>
              <w:ind w:firstLine="0" w:left="0" w:right="0"/>
              <w:rPr>
                <w:rFonts w:ascii="Times New Roman" w:hAnsi="Times New Roman"/>
                <w:sz w:val="24"/>
              </w:rPr>
            </w:pPr>
            <w:r>
              <w:rPr>
                <w:rFonts w:ascii="Times New Roman" w:hAnsi="Times New Roman"/>
                <w:color w:val="000000"/>
                <w:spacing w:val="0"/>
                <w:sz w:val="24"/>
              </w:rPr>
              <w:t>М.П.</w:t>
            </w:r>
          </w:p>
        </w:tc>
        <w:tc>
          <w:tcPr>
            <w:tcW w:type="dxa" w:w="4936"/>
            <w:tcBorders>
              <w:top w:sz="4" w:val="nil"/>
              <w:left w:sz="4" w:val="nil"/>
              <w:bottom w:sz="4" w:val="nil"/>
              <w:right w:sz="4" w:val="nil"/>
            </w:tcBorders>
            <w:tcMar>
              <w:top w:type="dxa" w:w="0"/>
              <w:left w:type="dxa" w:w="108"/>
              <w:bottom w:type="dxa" w:w="0"/>
              <w:right w:type="dxa" w:w="108"/>
            </w:tcMar>
          </w:tcPr>
          <w:p w14:paraId="5C010000">
            <w:pPr>
              <w:pStyle w:val="Style_1"/>
              <w:widowControl w:val="0"/>
              <w:spacing w:after="0" w:before="0" w:line="276" w:lineRule="auto"/>
              <w:ind w:firstLine="0" w:left="113" w:right="113"/>
              <w:jc w:val="both"/>
              <w:rPr>
                <w:sz w:val="20"/>
              </w:rPr>
            </w:pPr>
            <w:r>
              <w:rPr>
                <w:rFonts w:ascii="Times New Roman" w:hAnsi="Times New Roman"/>
                <w:b w:val="1"/>
                <w:color w:themeColor="text1" w:val="000000"/>
                <w:spacing w:val="0"/>
                <w:sz w:val="24"/>
              </w:rPr>
              <w:t>ИСПОЛНИТЕЛЬ:</w:t>
            </w:r>
          </w:p>
          <w:p w14:paraId="5D010000">
            <w:pPr>
              <w:pStyle w:val="Style_1"/>
              <w:widowControl w:val="0"/>
              <w:spacing w:after="0" w:before="0" w:line="240" w:lineRule="auto"/>
              <w:ind w:firstLine="0" w:left="113" w:right="113"/>
              <w:jc w:val="both"/>
              <w:rPr>
                <w:rFonts w:ascii="Times New Roman" w:hAnsi="Times New Roman"/>
                <w:color w:themeColor="text1" w:val="000000"/>
                <w:sz w:val="24"/>
              </w:rPr>
            </w:pPr>
          </w:p>
          <w:p w14:paraId="5E010000">
            <w:pPr>
              <w:pStyle w:val="Style_1"/>
              <w:widowControl w:val="0"/>
              <w:spacing w:after="0" w:before="0" w:line="240" w:lineRule="auto"/>
              <w:ind w:firstLine="0" w:left="113" w:right="113"/>
              <w:jc w:val="both"/>
              <w:rPr>
                <w:rFonts w:ascii="Times New Roman" w:hAnsi="Times New Roman"/>
                <w:color w:themeColor="text1" w:val="000000"/>
                <w:sz w:val="24"/>
              </w:rPr>
            </w:pPr>
          </w:p>
          <w:p w14:paraId="5F010000">
            <w:pPr>
              <w:pStyle w:val="Style_1"/>
              <w:widowControl w:val="0"/>
              <w:spacing w:after="0" w:before="0" w:line="240" w:lineRule="auto"/>
              <w:ind w:firstLine="0" w:left="113" w:right="113"/>
              <w:jc w:val="both"/>
              <w:rPr>
                <w:rFonts w:ascii="Times New Roman" w:hAnsi="Times New Roman"/>
                <w:color w:themeColor="text1" w:val="000000"/>
                <w:sz w:val="24"/>
              </w:rPr>
            </w:pPr>
          </w:p>
          <w:p w14:paraId="60010000">
            <w:pPr>
              <w:pStyle w:val="Style_1"/>
              <w:widowControl w:val="0"/>
              <w:spacing w:after="0" w:before="0" w:line="240" w:lineRule="auto"/>
              <w:ind w:firstLine="0" w:left="113" w:right="113"/>
              <w:jc w:val="both"/>
              <w:rPr>
                <w:rFonts w:ascii="Times New Roman" w:hAnsi="Times New Roman"/>
                <w:color w:themeColor="text1" w:val="000000"/>
                <w:sz w:val="24"/>
              </w:rPr>
            </w:pPr>
          </w:p>
          <w:p w14:paraId="61010000">
            <w:pPr>
              <w:pStyle w:val="Style_1"/>
              <w:widowControl w:val="0"/>
              <w:spacing w:after="0" w:before="0" w:line="240" w:lineRule="auto"/>
              <w:ind w:firstLine="0" w:left="113" w:right="113"/>
              <w:jc w:val="both"/>
              <w:rPr>
                <w:rFonts w:ascii="Times New Roman" w:hAnsi="Times New Roman"/>
                <w:color w:themeColor="text1" w:val="000000"/>
                <w:sz w:val="24"/>
              </w:rPr>
            </w:pPr>
          </w:p>
          <w:p w14:paraId="62010000">
            <w:pPr>
              <w:pStyle w:val="Style_1"/>
              <w:widowControl w:val="0"/>
              <w:spacing w:after="0" w:before="0" w:line="240" w:lineRule="auto"/>
              <w:ind w:firstLine="0" w:left="113" w:right="113"/>
              <w:jc w:val="both"/>
              <w:rPr>
                <w:sz w:val="20"/>
              </w:rPr>
            </w:pPr>
            <w:r>
              <w:rPr>
                <w:rFonts w:ascii="Times New Roman" w:hAnsi="Times New Roman"/>
                <w:color w:themeColor="text1" w:val="000000"/>
                <w:spacing w:val="0"/>
                <w:sz w:val="24"/>
              </w:rPr>
              <w:t>М.П.</w:t>
            </w:r>
          </w:p>
        </w:tc>
      </w:tr>
    </w:tbl>
    <w:p w14:paraId="63010000">
      <w:pPr>
        <w:pStyle w:val="Style_1"/>
        <w:rPr>
          <w:rFonts w:ascii="Times New Roman" w:hAnsi="Times New Roman"/>
          <w:sz w:val="24"/>
        </w:rPr>
      </w:pPr>
    </w:p>
    <w:sectPr>
      <w:headerReference r:id="rId1" w:type="default"/>
      <w:headerReference r:id="rId2" w:type="first"/>
      <w:headerReference r:id="rId3" w:type="even"/>
      <w:type w:val="nextPage"/>
      <w:pgSz w:h="16800" w:orient="portrait" w:w="11906"/>
      <w:pgMar w:bottom="889" w:footer="0" w:gutter="0" w:header="611" w:left="1134" w:right="567" w:top="1037"/>
      <w:pgNumType w:fmt="decimal"/>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pPr>
    <w:r>
      <w:fldChar w:fldCharType="begin"/>
    </w:r>
    <w:r>
      <w:instrText xml:space="preserve">PAGE </w:instrText>
    </w:r>
    <w:r>
      <w:fldChar w:fldCharType="separate"/>
    </w:r>
    <w:r>
      <w:t xml:space="preserve"> </w:t>
    </w:r>
    <w:r>
      <w:fldChar w:fldCharType="end"/>
    </w: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2"/>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2"/>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widowControl w:val="0"/>
      <w:spacing w:after="0" w:before="0" w:line="240" w:lineRule="auto"/>
      <w:ind w:firstLine="720" w:left="0" w:right="0"/>
      <w:jc w:val="both"/>
    </w:pPr>
    <w:rPr>
      <w:rFonts w:ascii="Times New Roman CYR" w:hAnsi="Times New Roman CYR"/>
      <w:color w:val="000000"/>
      <w:spacing w:val="0"/>
      <w:sz w:val="24"/>
    </w:rPr>
  </w:style>
  <w:style w:default="1" w:styleId="Style_1_ch" w:type="character">
    <w:name w:val="Normal"/>
    <w:link w:val="Style_1"/>
    <w:rPr>
      <w:rFonts w:ascii="Times New Roman CYR" w:hAnsi="Times New Roman CYR"/>
      <w:color w:val="000000"/>
      <w:spacing w:val="0"/>
      <w:sz w:val="24"/>
    </w:rPr>
  </w:style>
  <w:style w:styleId="Style_9" w:type="paragraph">
    <w:name w:val="toc 2"/>
    <w:next w:val="Style_1"/>
    <w:link w:val="Style_9_ch"/>
    <w:uiPriority w:val="39"/>
    <w:pPr>
      <w:widowControl w:val="1"/>
      <w:spacing w:after="0" w:before="0" w:line="240" w:lineRule="auto"/>
      <w:ind w:firstLine="0" w:left="200" w:right="0"/>
      <w:jc w:val="left"/>
    </w:pPr>
    <w:rPr>
      <w:rFonts w:asciiTheme="minorAscii" w:hAnsiTheme="minorHAnsi"/>
      <w:color w:val="000000"/>
      <w:spacing w:val="0"/>
      <w:sz w:val="22"/>
    </w:rPr>
  </w:style>
  <w:style w:styleId="Style_9_ch" w:type="character">
    <w:name w:val="toc 2"/>
    <w:link w:val="Style_9"/>
    <w:rPr>
      <w:rFonts w:asciiTheme="minorAscii" w:hAnsiTheme="minorHAnsi"/>
      <w:color w:val="000000"/>
      <w:spacing w:val="0"/>
      <w:sz w:val="22"/>
    </w:rPr>
  </w:style>
  <w:style w:styleId="Style_10" w:type="paragraph">
    <w:name w:val="Contents 5"/>
    <w:link w:val="Style_10_ch"/>
  </w:style>
  <w:style w:styleId="Style_10_ch" w:type="character">
    <w:name w:val="Contents 5"/>
    <w:link w:val="Style_10"/>
  </w:style>
  <w:style w:styleId="Style_11" w:type="paragraph">
    <w:name w:val="Heading 51"/>
    <w:link w:val="Style_11_ch"/>
    <w:rPr>
      <w:rFonts w:ascii="XO Thames" w:hAnsi="XO Thames"/>
      <w:b w:val="1"/>
    </w:rPr>
  </w:style>
  <w:style w:styleId="Style_11_ch" w:type="character">
    <w:name w:val="Heading 51"/>
    <w:link w:val="Style_11"/>
    <w:rPr>
      <w:rFonts w:ascii="XO Thames" w:hAnsi="XO Thames"/>
      <w:b w:val="1"/>
    </w:rPr>
  </w:style>
  <w:style w:styleId="Style_12" w:type="paragraph">
    <w:name w:val="toc 4"/>
    <w:next w:val="Style_1"/>
    <w:link w:val="Style_12_ch"/>
    <w:uiPriority w:val="39"/>
    <w:pPr>
      <w:widowControl w:val="1"/>
      <w:spacing w:after="0" w:before="0" w:line="240" w:lineRule="auto"/>
      <w:ind w:firstLine="0" w:left="600" w:right="0"/>
      <w:jc w:val="left"/>
    </w:pPr>
    <w:rPr>
      <w:rFonts w:asciiTheme="minorAscii" w:hAnsiTheme="minorHAnsi"/>
      <w:color w:val="000000"/>
      <w:spacing w:val="0"/>
      <w:sz w:val="22"/>
    </w:rPr>
  </w:style>
  <w:style w:styleId="Style_12_ch" w:type="character">
    <w:name w:val="toc 4"/>
    <w:link w:val="Style_12"/>
    <w:rPr>
      <w:rFonts w:asciiTheme="minorAscii" w:hAnsiTheme="minorHAnsi"/>
      <w:color w:val="000000"/>
      <w:spacing w:val="0"/>
      <w:sz w:val="22"/>
    </w:rPr>
  </w:style>
  <w:style w:styleId="Style_13" w:type="paragraph">
    <w:name w:val="Цветовое выделение для Текст1"/>
    <w:link w:val="Style_13_ch"/>
    <w:pPr>
      <w:widowControl w:val="1"/>
      <w:spacing w:after="0" w:before="0" w:line="240" w:lineRule="auto"/>
      <w:ind w:firstLine="0" w:left="0" w:right="0"/>
      <w:jc w:val="left"/>
    </w:pPr>
    <w:rPr>
      <w:rFonts w:ascii="Times New Roman CYR" w:hAnsi="Times New Roman CYR"/>
      <w:color w:val="000000"/>
      <w:spacing w:val="0"/>
      <w:sz w:val="22"/>
    </w:rPr>
  </w:style>
  <w:style w:styleId="Style_13_ch" w:type="character">
    <w:name w:val="Цветовое выделение для Текст1"/>
    <w:link w:val="Style_13"/>
    <w:rPr>
      <w:rFonts w:ascii="Times New Roman CYR" w:hAnsi="Times New Roman CYR"/>
      <w:color w:val="000000"/>
      <w:spacing w:val="0"/>
      <w:sz w:val="22"/>
    </w:rPr>
  </w:style>
  <w:style w:styleId="Style_14" w:type="paragraph">
    <w:name w:val="toc 6"/>
    <w:next w:val="Style_1"/>
    <w:link w:val="Style_14_ch"/>
    <w:uiPriority w:val="39"/>
    <w:pPr>
      <w:widowControl w:val="1"/>
      <w:spacing w:after="0" w:before="0" w:line="240" w:lineRule="auto"/>
      <w:ind w:firstLine="0" w:left="1000" w:right="0"/>
      <w:jc w:val="left"/>
    </w:pPr>
    <w:rPr>
      <w:rFonts w:asciiTheme="minorAscii" w:hAnsiTheme="minorHAnsi"/>
      <w:color w:val="000000"/>
      <w:spacing w:val="0"/>
      <w:sz w:val="22"/>
    </w:rPr>
  </w:style>
  <w:style w:styleId="Style_14_ch" w:type="character">
    <w:name w:val="toc 6"/>
    <w:link w:val="Style_14"/>
    <w:rPr>
      <w:rFonts w:asciiTheme="minorAscii" w:hAnsiTheme="minorHAnsi"/>
      <w:color w:val="000000"/>
      <w:spacing w:val="0"/>
      <w:sz w:val="22"/>
    </w:rPr>
  </w:style>
  <w:style w:styleId="Style_15" w:type="paragraph">
    <w:name w:val="toc 7"/>
    <w:next w:val="Style_1"/>
    <w:link w:val="Style_15_ch"/>
    <w:uiPriority w:val="39"/>
    <w:pPr>
      <w:widowControl w:val="1"/>
      <w:spacing w:after="0" w:before="0" w:line="240" w:lineRule="auto"/>
      <w:ind w:firstLine="0" w:left="1200" w:right="0"/>
      <w:jc w:val="left"/>
    </w:pPr>
    <w:rPr>
      <w:rFonts w:asciiTheme="minorAscii" w:hAnsiTheme="minorHAnsi"/>
      <w:color w:val="000000"/>
      <w:spacing w:val="0"/>
      <w:sz w:val="22"/>
    </w:rPr>
  </w:style>
  <w:style w:styleId="Style_15_ch" w:type="character">
    <w:name w:val="toc 7"/>
    <w:link w:val="Style_15"/>
    <w:rPr>
      <w:rFonts w:asciiTheme="minorAscii" w:hAnsiTheme="minorHAnsi"/>
      <w:color w:val="000000"/>
      <w:spacing w:val="0"/>
      <w:sz w:val="22"/>
    </w:rPr>
  </w:style>
  <w:style w:styleId="Style_16" w:type="paragraph">
    <w:name w:val="Body Text"/>
    <w:basedOn w:val="Style_1"/>
    <w:link w:val="Style_16_ch"/>
    <w:pPr>
      <w:spacing w:after="140" w:before="0" w:line="276" w:lineRule="auto"/>
      <w:ind/>
    </w:pPr>
  </w:style>
  <w:style w:styleId="Style_16_ch" w:type="character">
    <w:name w:val="Body Text"/>
    <w:basedOn w:val="Style_1_ch"/>
    <w:link w:val="Style_16"/>
  </w:style>
  <w:style w:styleId="Style_17" w:type="paragraph">
    <w:name w:val="Contents 1"/>
    <w:link w:val="Style_17_ch"/>
    <w:rPr>
      <w:rFonts w:ascii="XO Thames" w:hAnsi="XO Thames"/>
      <w:b w:val="1"/>
    </w:rPr>
  </w:style>
  <w:style w:styleId="Style_17_ch" w:type="character">
    <w:name w:val="Contents 1"/>
    <w:link w:val="Style_17"/>
    <w:rPr>
      <w:rFonts w:ascii="XO Thames" w:hAnsi="XO Thames"/>
      <w:b w:val="1"/>
    </w:rPr>
  </w:style>
  <w:style w:styleId="Style_18" w:type="paragraph">
    <w:name w:val="Заголовок (user)"/>
    <w:basedOn w:val="Style_1"/>
    <w:next w:val="Style_16"/>
    <w:link w:val="Style_18_ch"/>
    <w:pPr>
      <w:keepNext w:val="1"/>
      <w:spacing w:after="120" w:before="240"/>
      <w:ind/>
    </w:pPr>
    <w:rPr>
      <w:rFonts w:ascii="PT Astra Serif" w:hAnsi="PT Astra Serif"/>
      <w:sz w:val="28"/>
    </w:rPr>
  </w:style>
  <w:style w:styleId="Style_18_ch" w:type="character">
    <w:name w:val="Заголовок (user)"/>
    <w:basedOn w:val="Style_1_ch"/>
    <w:link w:val="Style_18"/>
    <w:rPr>
      <w:rFonts w:ascii="PT Astra Serif" w:hAnsi="PT Astra Serif"/>
      <w:sz w:val="28"/>
    </w:rPr>
  </w:style>
  <w:style w:styleId="Style_19" w:type="paragraph">
    <w:name w:val="Internet link"/>
    <w:link w:val="Style_19_ch"/>
    <w:pPr>
      <w:widowControl w:val="1"/>
      <w:spacing w:after="0" w:before="0" w:line="240" w:lineRule="auto"/>
      <w:ind w:firstLine="0" w:left="0" w:right="0"/>
      <w:jc w:val="left"/>
    </w:pPr>
    <w:rPr>
      <w:rFonts w:ascii="Calibri" w:hAnsi="Calibri"/>
      <w:color w:val="0000FF"/>
      <w:spacing w:val="0"/>
      <w:sz w:val="22"/>
      <w:u w:val="single"/>
    </w:rPr>
  </w:style>
  <w:style w:styleId="Style_19_ch" w:type="character">
    <w:name w:val="Internet link"/>
    <w:link w:val="Style_19"/>
    <w:rPr>
      <w:rFonts w:ascii="Calibri" w:hAnsi="Calibri"/>
      <w:color w:val="0000FF"/>
      <w:spacing w:val="0"/>
      <w:sz w:val="22"/>
      <w:u w:val="single"/>
    </w:rPr>
  </w:style>
  <w:style w:styleId="Style_20" w:type="paragraph">
    <w:name w:val="Endnote"/>
    <w:link w:val="Style_20_ch"/>
    <w:pPr>
      <w:ind w:firstLine="851" w:left="0"/>
      <w:jc w:val="both"/>
    </w:pPr>
    <w:rPr>
      <w:rFonts w:ascii="XO Thames" w:hAnsi="XO Thames"/>
      <w:sz w:val="22"/>
    </w:rPr>
  </w:style>
  <w:style w:styleId="Style_20_ch" w:type="character">
    <w:name w:val="Endnote"/>
    <w:link w:val="Style_20"/>
    <w:rPr>
      <w:rFonts w:ascii="XO Thames" w:hAnsi="XO Thames"/>
      <w:sz w:val="22"/>
    </w:rPr>
  </w:style>
  <w:style w:styleId="Style_21" w:type="paragraph">
    <w:name w:val="heading 3"/>
    <w:next w:val="Style_1"/>
    <w:link w:val="Style_21_ch"/>
    <w:uiPriority w:val="9"/>
    <w:qFormat/>
    <w:pPr>
      <w:widowControl w:val="1"/>
      <w:spacing w:after="0" w:before="0" w:line="240" w:lineRule="auto"/>
      <w:ind w:firstLine="0" w:left="0" w:right="0"/>
      <w:jc w:val="left"/>
      <w:outlineLvl w:val="2"/>
    </w:pPr>
    <w:rPr>
      <w:rFonts w:ascii="XO Thames" w:hAnsi="XO Thames"/>
      <w:b w:val="1"/>
      <w:i w:val="1"/>
      <w:color w:val="000000"/>
      <w:spacing w:val="0"/>
      <w:sz w:val="22"/>
    </w:rPr>
  </w:style>
  <w:style w:styleId="Style_21_ch" w:type="character">
    <w:name w:val="heading 3"/>
    <w:link w:val="Style_21"/>
    <w:rPr>
      <w:rFonts w:ascii="XO Thames" w:hAnsi="XO Thames"/>
      <w:b w:val="1"/>
      <w:i w:val="1"/>
      <w:color w:val="000000"/>
      <w:spacing w:val="0"/>
      <w:sz w:val="22"/>
    </w:rPr>
  </w:style>
  <w:style w:styleId="Style_22" w:type="paragraph">
    <w:name w:val="Header and Footer1"/>
    <w:link w:val="Style_22_ch"/>
    <w:pPr>
      <w:widowControl w:val="1"/>
      <w:spacing w:after="0" w:before="0" w:line="360" w:lineRule="auto"/>
      <w:ind w:firstLine="0" w:left="0" w:right="0"/>
      <w:jc w:val="left"/>
    </w:pPr>
    <w:rPr>
      <w:rFonts w:ascii="XO Thames" w:hAnsi="XO Thames"/>
      <w:color w:val="000000"/>
      <w:spacing w:val="0"/>
      <w:sz w:val="20"/>
    </w:rPr>
  </w:style>
  <w:style w:styleId="Style_22_ch" w:type="character">
    <w:name w:val="Header and Footer1"/>
    <w:link w:val="Style_22"/>
    <w:rPr>
      <w:rFonts w:ascii="XO Thames" w:hAnsi="XO Thames"/>
      <w:color w:val="000000"/>
      <w:spacing w:val="0"/>
      <w:sz w:val="20"/>
    </w:rPr>
  </w:style>
  <w:style w:styleId="Style_23" w:type="paragraph">
    <w:name w:val="Гиперссылка11"/>
    <w:link w:val="Style_23_ch"/>
    <w:pPr>
      <w:widowControl w:val="1"/>
      <w:spacing w:after="0" w:before="0" w:line="240" w:lineRule="auto"/>
      <w:ind w:firstLine="0" w:left="0" w:right="0"/>
      <w:jc w:val="left"/>
    </w:pPr>
    <w:rPr>
      <w:rFonts w:ascii="Calibri" w:hAnsi="Calibri"/>
      <w:color w:val="0000FF"/>
      <w:spacing w:val="0"/>
      <w:sz w:val="22"/>
      <w:u w:val="single"/>
    </w:rPr>
  </w:style>
  <w:style w:styleId="Style_23_ch" w:type="character">
    <w:name w:val="Гиперссылка11"/>
    <w:link w:val="Style_23"/>
    <w:rPr>
      <w:rFonts w:ascii="Calibri" w:hAnsi="Calibri"/>
      <w:color w:val="0000FF"/>
      <w:spacing w:val="0"/>
      <w:sz w:val="22"/>
      <w:u w:val="single"/>
    </w:rPr>
  </w:style>
  <w:style w:styleId="Style_24" w:type="paragraph">
    <w:name w:val="Header1"/>
    <w:link w:val="Style_24_ch"/>
  </w:style>
  <w:style w:styleId="Style_24_ch" w:type="character">
    <w:name w:val="Header1"/>
    <w:link w:val="Style_24"/>
  </w:style>
  <w:style w:styleId="Style_25" w:type="paragraph">
    <w:name w:val="Указатель (user)"/>
    <w:basedOn w:val="Style_1"/>
    <w:link w:val="Style_25_ch"/>
    <w:rPr>
      <w:rFonts w:ascii="PT Astra Serif" w:hAnsi="PT Astra Serif"/>
    </w:rPr>
  </w:style>
  <w:style w:styleId="Style_25_ch" w:type="character">
    <w:name w:val="Указатель (user)"/>
    <w:basedOn w:val="Style_1_ch"/>
    <w:link w:val="Style_25"/>
    <w:rPr>
      <w:rFonts w:ascii="PT Astra Serif" w:hAnsi="PT Astra Serif"/>
    </w:rPr>
  </w:style>
  <w:style w:styleId="Style_26" w:type="paragraph">
    <w:name w:val="Footer1"/>
    <w:link w:val="Style_26_ch"/>
  </w:style>
  <w:style w:styleId="Style_26_ch" w:type="character">
    <w:name w:val="Footer1"/>
    <w:link w:val="Style_26"/>
  </w:style>
  <w:style w:styleId="Style_27" w:type="paragraph">
    <w:name w:val="Цветовое выделение1"/>
    <w:link w:val="Style_27_ch"/>
    <w:pPr>
      <w:widowControl w:val="1"/>
      <w:spacing w:after="0" w:before="0" w:line="240" w:lineRule="auto"/>
      <w:ind w:firstLine="0" w:left="0" w:right="0"/>
      <w:jc w:val="left"/>
    </w:pPr>
    <w:rPr>
      <w:rFonts w:ascii="Calibri" w:hAnsi="Calibri"/>
      <w:b w:val="1"/>
      <w:color w:val="26282F"/>
      <w:spacing w:val="0"/>
      <w:sz w:val="22"/>
    </w:rPr>
  </w:style>
  <w:style w:styleId="Style_27_ch" w:type="character">
    <w:name w:val="Цветовое выделение1"/>
    <w:link w:val="Style_27"/>
    <w:rPr>
      <w:rFonts w:ascii="Calibri" w:hAnsi="Calibri"/>
      <w:b w:val="1"/>
      <w:color w:val="26282F"/>
      <w:spacing w:val="0"/>
      <w:sz w:val="22"/>
    </w:rPr>
  </w:style>
  <w:style w:styleId="Style_28" w:type="paragraph">
    <w:name w:val="Heading 11"/>
    <w:link w:val="Style_28_ch"/>
    <w:rPr>
      <w:b w:val="1"/>
      <w:color w:val="26282F"/>
    </w:rPr>
  </w:style>
  <w:style w:styleId="Style_28_ch" w:type="character">
    <w:name w:val="Heading 11"/>
    <w:link w:val="Style_28"/>
    <w:rPr>
      <w:b w:val="1"/>
      <w:color w:val="26282F"/>
    </w:rPr>
  </w:style>
  <w:style w:styleId="Style_29" w:type="paragraph">
    <w:name w:val="Footnote1"/>
    <w:link w:val="Style_29_ch"/>
    <w:pPr>
      <w:widowControl w:val="1"/>
      <w:spacing w:after="0" w:before="0" w:line="240" w:lineRule="auto"/>
      <w:ind w:firstLine="0" w:left="0" w:right="0"/>
      <w:jc w:val="left"/>
    </w:pPr>
    <w:rPr>
      <w:rFonts w:ascii="XO Thames" w:hAnsi="XO Thames"/>
      <w:color w:val="000000"/>
      <w:spacing w:val="0"/>
      <w:sz w:val="22"/>
    </w:rPr>
  </w:style>
  <w:style w:styleId="Style_29_ch" w:type="character">
    <w:name w:val="Footnote1"/>
    <w:link w:val="Style_29"/>
    <w:rPr>
      <w:rFonts w:ascii="XO Thames" w:hAnsi="XO Thames"/>
      <w:color w:val="000000"/>
      <w:spacing w:val="0"/>
      <w:sz w:val="22"/>
    </w:rPr>
  </w:style>
  <w:style w:styleId="Style_30" w:type="paragraph">
    <w:name w:val="Header and Footer4"/>
    <w:basedOn w:val="Style_1"/>
    <w:link w:val="Style_30_ch"/>
  </w:style>
  <w:style w:styleId="Style_30_ch" w:type="character">
    <w:name w:val="Header and Footer4"/>
    <w:basedOn w:val="Style_1_ch"/>
    <w:link w:val="Style_30"/>
  </w:style>
  <w:style w:styleId="Style_31" w:type="paragraph">
    <w:name w:val="Содержимое таблицы (user)"/>
    <w:basedOn w:val="Style_1"/>
    <w:link w:val="Style_31_ch"/>
    <w:pPr>
      <w:widowControl w:val="0"/>
      <w:ind/>
    </w:pPr>
  </w:style>
  <w:style w:styleId="Style_31_ch" w:type="character">
    <w:name w:val="Содержимое таблицы (user)"/>
    <w:basedOn w:val="Style_1_ch"/>
    <w:link w:val="Style_31"/>
  </w:style>
  <w:style w:styleId="Style_32" w:type="paragraph">
    <w:name w:val="Header and Footer3"/>
    <w:basedOn w:val="Style_1"/>
    <w:link w:val="Style_32_ch"/>
  </w:style>
  <w:style w:styleId="Style_32_ch" w:type="character">
    <w:name w:val="Header and Footer3"/>
    <w:basedOn w:val="Style_1_ch"/>
    <w:link w:val="Style_32"/>
  </w:style>
  <w:style w:styleId="Style_33" w:type="paragraph">
    <w:name w:val="Heading 21"/>
    <w:link w:val="Style_33_ch"/>
    <w:rPr>
      <w:rFonts w:ascii="XO Thames" w:hAnsi="XO Thames"/>
      <w:b w:val="1"/>
      <w:color w:val="00A0FF"/>
      <w:sz w:val="26"/>
    </w:rPr>
  </w:style>
  <w:style w:styleId="Style_33_ch" w:type="character">
    <w:name w:val="Heading 21"/>
    <w:link w:val="Style_33"/>
    <w:rPr>
      <w:rFonts w:ascii="XO Thames" w:hAnsi="XO Thames"/>
      <w:b w:val="1"/>
      <w:color w:val="00A0FF"/>
      <w:sz w:val="26"/>
    </w:rPr>
  </w:style>
  <w:style w:styleId="Style_34" w:type="paragraph">
    <w:name w:val="Contents 7"/>
    <w:link w:val="Style_34_ch"/>
  </w:style>
  <w:style w:styleId="Style_34_ch" w:type="character">
    <w:name w:val="Contents 7"/>
    <w:link w:val="Style_34"/>
  </w:style>
  <w:style w:styleId="Style_35" w:type="paragraph">
    <w:name w:val="List"/>
    <w:basedOn w:val="Style_16"/>
    <w:link w:val="Style_35_ch"/>
    <w:rPr>
      <w:rFonts w:ascii="PT Astra Serif" w:hAnsi="PT Astra Serif"/>
    </w:rPr>
  </w:style>
  <w:style w:styleId="Style_35_ch" w:type="character">
    <w:name w:val="List"/>
    <w:basedOn w:val="Style_16_ch"/>
    <w:link w:val="Style_35"/>
    <w:rPr>
      <w:rFonts w:ascii="PT Astra Serif" w:hAnsi="PT Astra Serif"/>
    </w:rPr>
  </w:style>
  <w:style w:styleId="Style_36" w:type="paragraph">
    <w:name w:val="Основной шрифт абзаца11"/>
    <w:link w:val="Style_36_ch"/>
    <w:pPr>
      <w:widowControl w:val="1"/>
      <w:spacing w:after="0" w:before="0" w:line="240" w:lineRule="auto"/>
      <w:ind w:firstLine="0" w:left="0" w:right="0"/>
      <w:jc w:val="left"/>
    </w:pPr>
    <w:rPr>
      <w:rFonts w:asciiTheme="minorAscii" w:hAnsiTheme="minorHAnsi"/>
      <w:color w:val="000000"/>
      <w:spacing w:val="0"/>
      <w:sz w:val="22"/>
    </w:rPr>
  </w:style>
  <w:style w:styleId="Style_36_ch" w:type="character">
    <w:name w:val="Основной шрифт абзаца11"/>
    <w:link w:val="Style_36"/>
    <w:rPr>
      <w:rFonts w:asciiTheme="minorAscii" w:hAnsiTheme="minorHAnsi"/>
      <w:color w:val="000000"/>
      <w:spacing w:val="0"/>
      <w:sz w:val="22"/>
    </w:rPr>
  </w:style>
  <w:style w:styleId="Style_37" w:type="paragraph">
    <w:name w:val="toc 3"/>
    <w:next w:val="Style_1"/>
    <w:link w:val="Style_37_ch"/>
    <w:uiPriority w:val="39"/>
    <w:pPr>
      <w:widowControl w:val="1"/>
      <w:spacing w:after="0" w:before="0" w:line="240" w:lineRule="auto"/>
      <w:ind w:firstLine="0" w:left="400" w:right="0"/>
      <w:jc w:val="left"/>
    </w:pPr>
    <w:rPr>
      <w:rFonts w:asciiTheme="minorAscii" w:hAnsiTheme="minorHAnsi"/>
      <w:color w:val="000000"/>
      <w:spacing w:val="0"/>
      <w:sz w:val="22"/>
    </w:rPr>
  </w:style>
  <w:style w:styleId="Style_37_ch" w:type="character">
    <w:name w:val="toc 3"/>
    <w:link w:val="Style_37"/>
    <w:rPr>
      <w:rFonts w:asciiTheme="minorAscii" w:hAnsiTheme="minorHAnsi"/>
      <w:color w:val="000000"/>
      <w:spacing w:val="0"/>
      <w:sz w:val="22"/>
    </w:rPr>
  </w:style>
  <w:style w:styleId="Style_38" w:type="paragraph">
    <w:name w:val="Contents 9"/>
    <w:link w:val="Style_38_ch"/>
  </w:style>
  <w:style w:styleId="Style_38_ch" w:type="character">
    <w:name w:val="Contents 9"/>
    <w:link w:val="Style_38"/>
  </w:style>
  <w:style w:styleId="Style_39" w:type="paragraph">
    <w:name w:val="Heading 41"/>
    <w:link w:val="Style_39_ch"/>
    <w:rPr>
      <w:rFonts w:ascii="XO Thames" w:hAnsi="XO Thames"/>
      <w:b w:val="1"/>
      <w:color w:val="595959"/>
      <w:sz w:val="26"/>
    </w:rPr>
  </w:style>
  <w:style w:styleId="Style_39_ch" w:type="character">
    <w:name w:val="Heading 41"/>
    <w:link w:val="Style_39"/>
    <w:rPr>
      <w:rFonts w:ascii="XO Thames" w:hAnsi="XO Thames"/>
      <w:b w:val="1"/>
      <w:color w:val="595959"/>
      <w:sz w:val="26"/>
    </w:rPr>
  </w:style>
  <w:style w:styleId="Style_5" w:type="paragraph">
    <w:name w:val="Прижатый влево1"/>
    <w:basedOn w:val="Style_1"/>
    <w:next w:val="Style_1"/>
    <w:link w:val="Style_5_ch"/>
    <w:pPr>
      <w:ind w:firstLine="0" w:left="0"/>
      <w:jc w:val="left"/>
    </w:pPr>
  </w:style>
  <w:style w:styleId="Style_5_ch" w:type="character">
    <w:name w:val="Прижатый влево1"/>
    <w:basedOn w:val="Style_1_ch"/>
    <w:link w:val="Style_5"/>
  </w:style>
  <w:style w:styleId="Style_40" w:type="paragraph">
    <w:name w:val="Contents 3"/>
    <w:link w:val="Style_40_ch"/>
  </w:style>
  <w:style w:styleId="Style_40_ch" w:type="character">
    <w:name w:val="Contents 3"/>
    <w:link w:val="Style_40"/>
  </w:style>
  <w:style w:styleId="Style_6" w:type="paragraph">
    <w:name w:val="Нормальный (таблица)1"/>
    <w:basedOn w:val="Style_1"/>
    <w:next w:val="Style_1"/>
    <w:link w:val="Style_6_ch"/>
    <w:pPr>
      <w:ind w:firstLine="0" w:left="0"/>
    </w:pPr>
  </w:style>
  <w:style w:styleId="Style_6_ch" w:type="character">
    <w:name w:val="Нормальный (таблица)1"/>
    <w:basedOn w:val="Style_1_ch"/>
    <w:link w:val="Style_6"/>
  </w:style>
  <w:style w:styleId="Style_41" w:type="paragraph">
    <w:name w:val="Текст (справка)1"/>
    <w:basedOn w:val="Style_1"/>
    <w:next w:val="Style_1"/>
    <w:link w:val="Style_41_ch"/>
    <w:pPr>
      <w:ind w:firstLine="0" w:left="170" w:right="170"/>
      <w:jc w:val="left"/>
    </w:pPr>
  </w:style>
  <w:style w:styleId="Style_41_ch" w:type="character">
    <w:name w:val="Текст (справка)1"/>
    <w:basedOn w:val="Style_1_ch"/>
    <w:link w:val="Style_41"/>
  </w:style>
  <w:style w:styleId="Style_42" w:type="paragraph">
    <w:name w:val="heading 5"/>
    <w:next w:val="Style_1"/>
    <w:link w:val="Style_42_ch"/>
    <w:uiPriority w:val="9"/>
    <w:qFormat/>
    <w:pPr>
      <w:widowControl w:val="1"/>
      <w:spacing w:after="120" w:before="120" w:line="240" w:lineRule="auto"/>
      <w:ind w:firstLine="0" w:left="0" w:right="0"/>
      <w:jc w:val="left"/>
      <w:outlineLvl w:val="4"/>
    </w:pPr>
    <w:rPr>
      <w:rFonts w:ascii="XO Thames" w:hAnsi="XO Thames"/>
      <w:b w:val="1"/>
      <w:color w:val="000000"/>
      <w:spacing w:val="0"/>
      <w:sz w:val="22"/>
    </w:rPr>
  </w:style>
  <w:style w:styleId="Style_42_ch" w:type="character">
    <w:name w:val="heading 5"/>
    <w:link w:val="Style_42"/>
    <w:rPr>
      <w:rFonts w:ascii="XO Thames" w:hAnsi="XO Thames"/>
      <w:b w:val="1"/>
      <w:color w:val="000000"/>
      <w:spacing w:val="0"/>
      <w:sz w:val="22"/>
    </w:rPr>
  </w:style>
  <w:style w:styleId="Style_43" w:type="paragraph">
    <w:name w:val="Endnote1"/>
    <w:link w:val="Style_43_ch"/>
    <w:pPr>
      <w:widowControl w:val="1"/>
      <w:spacing w:after="0" w:before="0" w:line="240" w:lineRule="auto"/>
      <w:ind w:firstLine="851" w:left="0" w:right="0"/>
      <w:jc w:val="both"/>
    </w:pPr>
    <w:rPr>
      <w:rFonts w:ascii="XO Thames" w:hAnsi="XO Thames"/>
      <w:color w:val="000000"/>
      <w:spacing w:val="0"/>
      <w:sz w:val="22"/>
    </w:rPr>
  </w:style>
  <w:style w:styleId="Style_43_ch" w:type="character">
    <w:name w:val="Endnote1"/>
    <w:link w:val="Style_43"/>
    <w:rPr>
      <w:rFonts w:ascii="XO Thames" w:hAnsi="XO Thames"/>
      <w:color w:val="000000"/>
      <w:spacing w:val="0"/>
      <w:sz w:val="22"/>
    </w:rPr>
  </w:style>
  <w:style w:styleId="Style_44" w:type="paragraph">
    <w:name w:val="Contents 6"/>
    <w:link w:val="Style_44_ch"/>
  </w:style>
  <w:style w:styleId="Style_44_ch" w:type="character">
    <w:name w:val="Contents 6"/>
    <w:link w:val="Style_44"/>
  </w:style>
  <w:style w:styleId="Style_3" w:type="paragraph">
    <w:name w:val="heading 1"/>
    <w:basedOn w:val="Style_1"/>
    <w:next w:val="Style_1"/>
    <w:link w:val="Style_3_ch"/>
    <w:uiPriority w:val="9"/>
    <w:qFormat/>
    <w:pPr>
      <w:spacing w:after="108" w:before="108"/>
      <w:ind w:firstLine="0" w:left="0"/>
      <w:jc w:val="center"/>
      <w:outlineLvl w:val="0"/>
    </w:pPr>
    <w:rPr>
      <w:b w:val="1"/>
      <w:color w:val="26282F"/>
    </w:rPr>
  </w:style>
  <w:style w:styleId="Style_3_ch" w:type="character">
    <w:name w:val="heading 1"/>
    <w:basedOn w:val="Style_1_ch"/>
    <w:link w:val="Style_3"/>
    <w:rPr>
      <w:b w:val="1"/>
      <w:color w:val="26282F"/>
    </w:rPr>
  </w:style>
  <w:style w:styleId="Style_45" w:type="paragraph">
    <w:name w:val="Header and Footer7"/>
    <w:basedOn w:val="Style_1"/>
    <w:link w:val="Style_45_ch"/>
  </w:style>
  <w:style w:styleId="Style_45_ch" w:type="character">
    <w:name w:val="Header and Footer7"/>
    <w:basedOn w:val="Style_1_ch"/>
    <w:link w:val="Style_45"/>
  </w:style>
  <w:style w:styleId="Style_2" w:type="paragraph">
    <w:name w:val="header"/>
    <w:basedOn w:val="Style_1"/>
    <w:link w:val="Style_2_ch"/>
    <w:pPr>
      <w:tabs>
        <w:tab w:leader="none" w:pos="720" w:val="clear"/>
        <w:tab w:leader="none" w:pos="4677" w:val="center"/>
        <w:tab w:leader="none" w:pos="9355" w:val="right"/>
      </w:tabs>
      <w:ind/>
    </w:pPr>
  </w:style>
  <w:style w:styleId="Style_2_ch" w:type="character">
    <w:name w:val="header"/>
    <w:basedOn w:val="Style_1_ch"/>
    <w:link w:val="Style_2"/>
  </w:style>
  <w:style w:styleId="Style_46" w:type="paragraph">
    <w:name w:val="Header and Footer2"/>
    <w:basedOn w:val="Style_1"/>
    <w:link w:val="Style_46_ch"/>
  </w:style>
  <w:style w:styleId="Style_46_ch" w:type="character">
    <w:name w:val="Header and Footer2"/>
    <w:basedOn w:val="Style_1_ch"/>
    <w:link w:val="Style_46"/>
  </w:style>
  <w:style w:styleId="Style_47" w:type="paragraph">
    <w:name w:val="Hyperlink"/>
    <w:link w:val="Style_47_ch"/>
    <w:rPr>
      <w:color w:val="0000FF"/>
      <w:u w:val="single"/>
    </w:rPr>
  </w:style>
  <w:style w:styleId="Style_47_ch" w:type="character">
    <w:name w:val="Hyperlink"/>
    <w:link w:val="Style_47"/>
    <w:rPr>
      <w:color w:val="0000FF"/>
      <w:u w:val="single"/>
    </w:rPr>
  </w:style>
  <w:style w:styleId="Style_48" w:type="paragraph">
    <w:name w:val="Footnote"/>
    <w:link w:val="Style_48_ch"/>
    <w:pPr>
      <w:ind w:firstLine="851" w:left="0"/>
      <w:jc w:val="both"/>
    </w:pPr>
    <w:rPr>
      <w:rFonts w:ascii="XO Thames" w:hAnsi="XO Thames"/>
      <w:sz w:val="22"/>
    </w:rPr>
  </w:style>
  <w:style w:styleId="Style_48_ch" w:type="character">
    <w:name w:val="Footnote"/>
    <w:link w:val="Style_48"/>
    <w:rPr>
      <w:rFonts w:ascii="XO Thames" w:hAnsi="XO Thames"/>
      <w:sz w:val="22"/>
    </w:rPr>
  </w:style>
  <w:style w:styleId="Style_49" w:type="paragraph">
    <w:name w:val="toc 1"/>
    <w:next w:val="Style_1"/>
    <w:link w:val="Style_49_ch"/>
    <w:uiPriority w:val="39"/>
    <w:pPr>
      <w:widowControl w:val="1"/>
      <w:spacing w:after="0" w:before="0" w:line="240" w:lineRule="auto"/>
      <w:ind w:firstLine="0" w:left="0" w:right="0"/>
      <w:jc w:val="left"/>
    </w:pPr>
    <w:rPr>
      <w:rFonts w:ascii="XO Thames" w:hAnsi="XO Thames"/>
      <w:b w:val="1"/>
      <w:color w:val="000000"/>
      <w:spacing w:val="0"/>
      <w:sz w:val="22"/>
    </w:rPr>
  </w:style>
  <w:style w:styleId="Style_49_ch" w:type="character">
    <w:name w:val="toc 1"/>
    <w:link w:val="Style_49"/>
    <w:rPr>
      <w:rFonts w:ascii="XO Thames" w:hAnsi="XO Thames"/>
      <w:b w:val="1"/>
      <w:color w:val="000000"/>
      <w:spacing w:val="0"/>
      <w:sz w:val="22"/>
    </w:rPr>
  </w:style>
  <w:style w:styleId="Style_50" w:type="paragraph">
    <w:name w:val="Header and Footer"/>
    <w:link w:val="Style_50_ch"/>
    <w:pPr>
      <w:spacing w:line="240" w:lineRule="auto"/>
      <w:ind/>
      <w:jc w:val="both"/>
    </w:pPr>
    <w:rPr>
      <w:rFonts w:ascii="XO Thames" w:hAnsi="XO Thames"/>
      <w:sz w:val="28"/>
    </w:rPr>
  </w:style>
  <w:style w:styleId="Style_50_ch" w:type="character">
    <w:name w:val="Header and Footer"/>
    <w:link w:val="Style_50"/>
    <w:rPr>
      <w:rFonts w:ascii="XO Thames" w:hAnsi="XO Thames"/>
      <w:sz w:val="28"/>
    </w:rPr>
  </w:style>
  <w:style w:styleId="Style_51" w:type="paragraph">
    <w:name w:val="Header and Footer8"/>
    <w:basedOn w:val="Style_1"/>
    <w:link w:val="Style_51_ch"/>
  </w:style>
  <w:style w:styleId="Style_51_ch" w:type="character">
    <w:name w:val="Header and Footer8"/>
    <w:basedOn w:val="Style_1_ch"/>
    <w:link w:val="Style_51"/>
  </w:style>
  <w:style w:styleId="Style_52" w:type="paragraph">
    <w:name w:val="Title1"/>
    <w:link w:val="Style_52_ch"/>
    <w:rPr>
      <w:rFonts w:ascii="XO Thames" w:hAnsi="XO Thames"/>
      <w:b w:val="1"/>
      <w:sz w:val="52"/>
    </w:rPr>
  </w:style>
  <w:style w:styleId="Style_52_ch" w:type="character">
    <w:name w:val="Title1"/>
    <w:link w:val="Style_52"/>
    <w:rPr>
      <w:rFonts w:ascii="XO Thames" w:hAnsi="XO Thames"/>
      <w:b w:val="1"/>
      <w:sz w:val="52"/>
    </w:rPr>
  </w:style>
  <w:style w:styleId="Style_53" w:type="paragraph">
    <w:name w:val="Заголовок"/>
    <w:basedOn w:val="Style_1"/>
    <w:next w:val="Style_16"/>
    <w:link w:val="Style_53_ch"/>
    <w:pPr>
      <w:keepNext w:val="1"/>
      <w:spacing w:after="120" w:before="240"/>
      <w:ind/>
    </w:pPr>
    <w:rPr>
      <w:rFonts w:ascii="PT Astra Serif" w:hAnsi="PT Astra Serif"/>
      <w:sz w:val="28"/>
    </w:rPr>
  </w:style>
  <w:style w:styleId="Style_53_ch" w:type="character">
    <w:name w:val="Заголовок"/>
    <w:basedOn w:val="Style_1_ch"/>
    <w:link w:val="Style_53"/>
    <w:rPr>
      <w:rFonts w:ascii="PT Astra Serif" w:hAnsi="PT Astra Serif"/>
      <w:sz w:val="28"/>
    </w:rPr>
  </w:style>
  <w:style w:styleId="Style_54" w:type="paragraph">
    <w:name w:val="toc 9"/>
    <w:next w:val="Style_1"/>
    <w:link w:val="Style_54_ch"/>
    <w:uiPriority w:val="39"/>
    <w:pPr>
      <w:widowControl w:val="1"/>
      <w:spacing w:after="0" w:before="0" w:line="240" w:lineRule="auto"/>
      <w:ind w:firstLine="0" w:left="1600" w:right="0"/>
      <w:jc w:val="left"/>
    </w:pPr>
    <w:rPr>
      <w:rFonts w:asciiTheme="minorAscii" w:hAnsiTheme="minorHAnsi"/>
      <w:color w:val="000000"/>
      <w:spacing w:val="0"/>
      <w:sz w:val="22"/>
    </w:rPr>
  </w:style>
  <w:style w:styleId="Style_54_ch" w:type="character">
    <w:name w:val="toc 9"/>
    <w:link w:val="Style_54"/>
    <w:rPr>
      <w:rFonts w:asciiTheme="minorAscii" w:hAnsiTheme="minorHAnsi"/>
      <w:color w:val="000000"/>
      <w:spacing w:val="0"/>
      <w:sz w:val="22"/>
    </w:rPr>
  </w:style>
  <w:style w:styleId="Style_55" w:type="paragraph">
    <w:name w:val="Комментарий1"/>
    <w:basedOn w:val="Style_41"/>
    <w:next w:val="Style_1"/>
    <w:link w:val="Style_55_ch"/>
    <w:pPr>
      <w:spacing w:after="0" w:before="75"/>
      <w:ind w:firstLine="0" w:left="0" w:right="0"/>
      <w:jc w:val="both"/>
    </w:pPr>
    <w:rPr>
      <w:color w:val="353842"/>
    </w:rPr>
  </w:style>
  <w:style w:styleId="Style_55_ch" w:type="character">
    <w:name w:val="Комментарий1"/>
    <w:basedOn w:val="Style_41_ch"/>
    <w:link w:val="Style_55"/>
    <w:rPr>
      <w:color w:val="353842"/>
    </w:rPr>
  </w:style>
  <w:style w:styleId="Style_56" w:type="paragraph">
    <w:name w:val="Contents 2"/>
    <w:link w:val="Style_56_ch"/>
  </w:style>
  <w:style w:styleId="Style_56_ch" w:type="character">
    <w:name w:val="Contents 2"/>
    <w:link w:val="Style_56"/>
  </w:style>
  <w:style w:styleId="Style_57" w:type="paragraph">
    <w:name w:val="Heading 31"/>
    <w:link w:val="Style_57_ch"/>
    <w:rPr>
      <w:rFonts w:ascii="XO Thames" w:hAnsi="XO Thames"/>
      <w:b w:val="1"/>
      <w:i w:val="1"/>
    </w:rPr>
  </w:style>
  <w:style w:styleId="Style_57_ch" w:type="character">
    <w:name w:val="Heading 31"/>
    <w:link w:val="Style_57"/>
    <w:rPr>
      <w:rFonts w:ascii="XO Thames" w:hAnsi="XO Thames"/>
      <w:b w:val="1"/>
      <w:i w:val="1"/>
    </w:rPr>
  </w:style>
  <w:style w:styleId="Style_58" w:type="paragraph">
    <w:name w:val="Заголовок таблицы (user)"/>
    <w:basedOn w:val="Style_31"/>
    <w:link w:val="Style_58_ch"/>
    <w:pPr>
      <w:ind/>
      <w:jc w:val="center"/>
    </w:pPr>
    <w:rPr>
      <w:b w:val="1"/>
    </w:rPr>
  </w:style>
  <w:style w:styleId="Style_58_ch" w:type="character">
    <w:name w:val="Заголовок таблицы (user)"/>
    <w:basedOn w:val="Style_31_ch"/>
    <w:link w:val="Style_58"/>
    <w:rPr>
      <w:b w:val="1"/>
    </w:rPr>
  </w:style>
  <w:style w:styleId="Style_59" w:type="paragraph">
    <w:name w:val="toc 8"/>
    <w:next w:val="Style_1"/>
    <w:link w:val="Style_59_ch"/>
    <w:uiPriority w:val="39"/>
    <w:pPr>
      <w:widowControl w:val="1"/>
      <w:spacing w:after="0" w:before="0" w:line="240" w:lineRule="auto"/>
      <w:ind w:firstLine="0" w:left="1400" w:right="0"/>
      <w:jc w:val="left"/>
    </w:pPr>
    <w:rPr>
      <w:rFonts w:asciiTheme="minorAscii" w:hAnsiTheme="minorHAnsi"/>
      <w:color w:val="000000"/>
      <w:spacing w:val="0"/>
      <w:sz w:val="22"/>
    </w:rPr>
  </w:style>
  <w:style w:styleId="Style_59_ch" w:type="character">
    <w:name w:val="toc 8"/>
    <w:link w:val="Style_59"/>
    <w:rPr>
      <w:rFonts w:asciiTheme="minorAscii" w:hAnsiTheme="minorHAnsi"/>
      <w:color w:val="000000"/>
      <w:spacing w:val="0"/>
      <w:sz w:val="22"/>
    </w:rPr>
  </w:style>
  <w:style w:styleId="Style_60" w:type="paragraph">
    <w:name w:val="Subtitle1"/>
    <w:link w:val="Style_60_ch"/>
    <w:rPr>
      <w:rFonts w:ascii="XO Thames" w:hAnsi="XO Thames"/>
      <w:i w:val="1"/>
      <w:color w:val="616161"/>
      <w:sz w:val="24"/>
    </w:rPr>
  </w:style>
  <w:style w:styleId="Style_60_ch" w:type="character">
    <w:name w:val="Subtitle1"/>
    <w:link w:val="Style_60"/>
    <w:rPr>
      <w:rFonts w:ascii="XO Thames" w:hAnsi="XO Thames"/>
      <w:i w:val="1"/>
      <w:color w:val="616161"/>
      <w:sz w:val="24"/>
    </w:rPr>
  </w:style>
  <w:style w:styleId="Style_61" w:type="paragraph">
    <w:name w:val="Default Paragraph Font1"/>
    <w:link w:val="Style_61_ch"/>
    <w:pPr>
      <w:widowControl w:val="1"/>
      <w:spacing w:after="0" w:before="0" w:line="240" w:lineRule="auto"/>
      <w:ind w:firstLine="0" w:left="0" w:right="0"/>
      <w:jc w:val="left"/>
    </w:pPr>
    <w:rPr>
      <w:rFonts w:asciiTheme="minorAscii" w:hAnsiTheme="minorHAnsi"/>
      <w:color w:val="000000"/>
      <w:spacing w:val="0"/>
      <w:sz w:val="22"/>
    </w:rPr>
  </w:style>
  <w:style w:styleId="Style_61_ch" w:type="character">
    <w:name w:val="Default Paragraph Font1"/>
    <w:link w:val="Style_61"/>
    <w:rPr>
      <w:rFonts w:asciiTheme="minorAscii" w:hAnsiTheme="minorHAnsi"/>
      <w:color w:val="000000"/>
      <w:spacing w:val="0"/>
      <w:sz w:val="22"/>
    </w:rPr>
  </w:style>
  <w:style w:styleId="Style_62" w:type="paragraph">
    <w:name w:val="Contents 8"/>
    <w:link w:val="Style_62_ch"/>
  </w:style>
  <w:style w:styleId="Style_62_ch" w:type="character">
    <w:name w:val="Contents 8"/>
    <w:link w:val="Style_62"/>
  </w:style>
  <w:style w:styleId="Style_63" w:type="paragraph">
    <w:name w:val="toc 5"/>
    <w:next w:val="Style_1"/>
    <w:link w:val="Style_63_ch"/>
    <w:uiPriority w:val="39"/>
    <w:pPr>
      <w:widowControl w:val="1"/>
      <w:spacing w:after="0" w:before="0" w:line="240" w:lineRule="auto"/>
      <w:ind w:firstLine="0" w:left="800" w:right="0"/>
      <w:jc w:val="left"/>
    </w:pPr>
    <w:rPr>
      <w:rFonts w:asciiTheme="minorAscii" w:hAnsiTheme="minorHAnsi"/>
      <w:color w:val="000000"/>
      <w:spacing w:val="0"/>
      <w:sz w:val="22"/>
    </w:rPr>
  </w:style>
  <w:style w:styleId="Style_63_ch" w:type="character">
    <w:name w:val="toc 5"/>
    <w:link w:val="Style_63"/>
    <w:rPr>
      <w:rFonts w:asciiTheme="minorAscii" w:hAnsiTheme="minorHAnsi"/>
      <w:color w:val="000000"/>
      <w:spacing w:val="0"/>
      <w:sz w:val="22"/>
    </w:rPr>
  </w:style>
  <w:style w:styleId="Style_64" w:type="paragraph">
    <w:name w:val="Header and Footer6"/>
    <w:basedOn w:val="Style_1"/>
    <w:link w:val="Style_64_ch"/>
  </w:style>
  <w:style w:styleId="Style_64_ch" w:type="character">
    <w:name w:val="Header and Footer6"/>
    <w:basedOn w:val="Style_1_ch"/>
    <w:link w:val="Style_64"/>
  </w:style>
  <w:style w:styleId="Style_8" w:type="paragraph">
    <w:name w:val="No Spacing1"/>
    <w:link w:val="Style_8_ch"/>
    <w:pPr>
      <w:widowControl w:val="1"/>
      <w:spacing w:after="0" w:before="0" w:line="240" w:lineRule="auto"/>
      <w:ind w:firstLine="0" w:left="0" w:right="0"/>
      <w:jc w:val="left"/>
    </w:pPr>
    <w:rPr>
      <w:rFonts w:asciiTheme="minorAscii" w:hAnsiTheme="minorHAnsi"/>
      <w:color w:val="000000"/>
      <w:spacing w:val="0"/>
      <w:sz w:val="22"/>
    </w:rPr>
  </w:style>
  <w:style w:styleId="Style_8_ch" w:type="character">
    <w:name w:val="No Spacing1"/>
    <w:link w:val="Style_8"/>
    <w:rPr>
      <w:rFonts w:asciiTheme="minorAscii" w:hAnsiTheme="minorHAnsi"/>
      <w:color w:val="000000"/>
      <w:spacing w:val="0"/>
      <w:sz w:val="22"/>
    </w:rPr>
  </w:style>
  <w:style w:styleId="Style_65" w:type="paragraph">
    <w:name w:val="Balloon Text1"/>
    <w:basedOn w:val="Style_1"/>
    <w:link w:val="Style_65_ch"/>
    <w:rPr>
      <w:rFonts w:ascii="Segoe UI" w:hAnsi="Segoe UI"/>
      <w:sz w:val="18"/>
    </w:rPr>
  </w:style>
  <w:style w:styleId="Style_65_ch" w:type="character">
    <w:name w:val="Balloon Text1"/>
    <w:basedOn w:val="Style_1_ch"/>
    <w:link w:val="Style_65"/>
    <w:rPr>
      <w:rFonts w:ascii="Segoe UI" w:hAnsi="Segoe UI"/>
      <w:sz w:val="18"/>
    </w:rPr>
  </w:style>
  <w:style w:styleId="Style_66" w:type="paragraph">
    <w:name w:val="Contents 4"/>
    <w:link w:val="Style_66_ch"/>
  </w:style>
  <w:style w:styleId="Style_66_ch" w:type="character">
    <w:name w:val="Contents 4"/>
    <w:link w:val="Style_66"/>
  </w:style>
  <w:style w:styleId="Style_67" w:type="paragraph">
    <w:name w:val="Гипертекстовая ссылка1"/>
    <w:basedOn w:val="Style_27"/>
    <w:link w:val="Style_67_ch"/>
    <w:rPr>
      <w:b w:val="0"/>
      <w:color w:val="106BBE"/>
    </w:rPr>
  </w:style>
  <w:style w:styleId="Style_67_ch" w:type="character">
    <w:name w:val="Гипертекстовая ссылка1"/>
    <w:basedOn w:val="Style_27_ch"/>
    <w:link w:val="Style_67"/>
    <w:rPr>
      <w:b w:val="0"/>
      <w:color w:val="106BBE"/>
    </w:rPr>
  </w:style>
  <w:style w:styleId="Style_68" w:type="paragraph">
    <w:name w:val="Header and Footer5"/>
    <w:basedOn w:val="Style_1"/>
    <w:link w:val="Style_68_ch"/>
  </w:style>
  <w:style w:styleId="Style_68_ch" w:type="character">
    <w:name w:val="Header and Footer5"/>
    <w:basedOn w:val="Style_1_ch"/>
    <w:link w:val="Style_68"/>
  </w:style>
  <w:style w:styleId="Style_69" w:type="paragraph">
    <w:name w:val="Subtitle"/>
    <w:next w:val="Style_1"/>
    <w:link w:val="Style_69_ch"/>
    <w:uiPriority w:val="11"/>
    <w:qFormat/>
    <w:pPr>
      <w:widowControl w:val="1"/>
      <w:spacing w:after="0" w:before="0" w:line="240" w:lineRule="auto"/>
      <w:ind w:firstLine="0" w:left="0" w:right="0"/>
      <w:jc w:val="left"/>
    </w:pPr>
    <w:rPr>
      <w:rFonts w:ascii="XO Thames" w:hAnsi="XO Thames"/>
      <w:i w:val="1"/>
      <w:color w:val="616161"/>
      <w:spacing w:val="0"/>
      <w:sz w:val="24"/>
    </w:rPr>
  </w:style>
  <w:style w:styleId="Style_69_ch" w:type="character">
    <w:name w:val="Subtitle"/>
    <w:link w:val="Style_69"/>
    <w:rPr>
      <w:rFonts w:ascii="XO Thames" w:hAnsi="XO Thames"/>
      <w:i w:val="1"/>
      <w:color w:val="616161"/>
      <w:spacing w:val="0"/>
      <w:sz w:val="24"/>
    </w:rPr>
  </w:style>
  <w:style w:styleId="Style_70" w:type="paragraph">
    <w:name w:val="toc 101"/>
    <w:next w:val="Style_1"/>
    <w:link w:val="Style_70_ch"/>
    <w:pPr>
      <w:widowControl w:val="1"/>
      <w:spacing w:after="0" w:before="0" w:line="240" w:lineRule="auto"/>
      <w:ind w:firstLine="0" w:left="1800" w:right="0"/>
      <w:jc w:val="left"/>
    </w:pPr>
    <w:rPr>
      <w:rFonts w:asciiTheme="minorAscii" w:hAnsiTheme="minorHAnsi"/>
      <w:color w:val="000000"/>
      <w:spacing w:val="0"/>
      <w:sz w:val="22"/>
    </w:rPr>
  </w:style>
  <w:style w:styleId="Style_70_ch" w:type="character">
    <w:name w:val="toc 101"/>
    <w:link w:val="Style_70"/>
    <w:rPr>
      <w:rFonts w:asciiTheme="minorAscii" w:hAnsiTheme="minorHAnsi"/>
      <w:color w:val="000000"/>
      <w:spacing w:val="0"/>
      <w:sz w:val="22"/>
    </w:rPr>
  </w:style>
  <w:style w:styleId="Style_71" w:type="paragraph">
    <w:name w:val="caption"/>
    <w:basedOn w:val="Style_1"/>
    <w:link w:val="Style_71_ch"/>
    <w:pPr>
      <w:spacing w:after="120" w:before="120"/>
      <w:ind/>
    </w:pPr>
    <w:rPr>
      <w:rFonts w:ascii="PT Astra Serif" w:hAnsi="PT Astra Serif"/>
      <w:i w:val="1"/>
      <w:sz w:val="24"/>
    </w:rPr>
  </w:style>
  <w:style w:styleId="Style_71_ch" w:type="character">
    <w:name w:val="caption"/>
    <w:basedOn w:val="Style_1_ch"/>
    <w:link w:val="Style_71"/>
    <w:rPr>
      <w:rFonts w:ascii="PT Astra Serif" w:hAnsi="PT Astra Serif"/>
      <w:i w:val="1"/>
      <w:sz w:val="24"/>
    </w:rPr>
  </w:style>
  <w:style w:styleId="Style_72" w:type="paragraph">
    <w:name w:val="Title"/>
    <w:next w:val="Style_1"/>
    <w:link w:val="Style_72_ch"/>
    <w:uiPriority w:val="10"/>
    <w:qFormat/>
    <w:pPr>
      <w:widowControl w:val="1"/>
      <w:spacing w:after="0" w:before="0" w:line="240" w:lineRule="auto"/>
      <w:ind w:firstLine="0" w:left="0" w:right="0"/>
      <w:jc w:val="left"/>
    </w:pPr>
    <w:rPr>
      <w:rFonts w:ascii="XO Thames" w:hAnsi="XO Thames"/>
      <w:b w:val="1"/>
      <w:color w:val="000000"/>
      <w:spacing w:val="0"/>
      <w:sz w:val="52"/>
    </w:rPr>
  </w:style>
  <w:style w:styleId="Style_72_ch" w:type="character">
    <w:name w:val="Title"/>
    <w:link w:val="Style_72"/>
    <w:rPr>
      <w:rFonts w:ascii="XO Thames" w:hAnsi="XO Thames"/>
      <w:b w:val="1"/>
      <w:color w:val="000000"/>
      <w:spacing w:val="0"/>
      <w:sz w:val="52"/>
    </w:rPr>
  </w:style>
  <w:style w:styleId="Style_73" w:type="paragraph">
    <w:name w:val="heading 4"/>
    <w:next w:val="Style_1"/>
    <w:link w:val="Style_73_ch"/>
    <w:uiPriority w:val="9"/>
    <w:qFormat/>
    <w:pPr>
      <w:widowControl w:val="1"/>
      <w:spacing w:after="120" w:before="120" w:line="240" w:lineRule="auto"/>
      <w:ind w:firstLine="0" w:left="0" w:right="0"/>
      <w:jc w:val="left"/>
      <w:outlineLvl w:val="3"/>
    </w:pPr>
    <w:rPr>
      <w:rFonts w:ascii="XO Thames" w:hAnsi="XO Thames"/>
      <w:b w:val="1"/>
      <w:color w:val="595959"/>
      <w:spacing w:val="0"/>
      <w:sz w:val="26"/>
    </w:rPr>
  </w:style>
  <w:style w:styleId="Style_73_ch" w:type="character">
    <w:name w:val="heading 4"/>
    <w:link w:val="Style_73"/>
    <w:rPr>
      <w:rFonts w:ascii="XO Thames" w:hAnsi="XO Thames"/>
      <w:b w:val="1"/>
      <w:color w:val="595959"/>
      <w:spacing w:val="0"/>
      <w:sz w:val="26"/>
    </w:rPr>
  </w:style>
  <w:style w:styleId="Style_74" w:type="paragraph">
    <w:name w:val="Обычный11"/>
    <w:link w:val="Style_74_ch"/>
    <w:pPr>
      <w:widowControl w:val="1"/>
      <w:spacing w:after="0" w:before="0" w:line="240" w:lineRule="auto"/>
      <w:ind w:firstLine="0" w:left="0" w:right="0"/>
      <w:jc w:val="left"/>
    </w:pPr>
    <w:rPr>
      <w:rFonts w:ascii="Times New Roman CYR" w:hAnsi="Times New Roman CYR"/>
      <w:color w:val="000000"/>
      <w:spacing w:val="0"/>
      <w:sz w:val="24"/>
    </w:rPr>
  </w:style>
  <w:style w:styleId="Style_74_ch" w:type="character">
    <w:name w:val="Обычный11"/>
    <w:link w:val="Style_74"/>
    <w:rPr>
      <w:rFonts w:ascii="Times New Roman CYR" w:hAnsi="Times New Roman CYR"/>
      <w:color w:val="000000"/>
      <w:spacing w:val="0"/>
      <w:sz w:val="24"/>
    </w:rPr>
  </w:style>
  <w:style w:styleId="Style_75" w:type="paragraph">
    <w:name w:val="heading 2"/>
    <w:next w:val="Style_1"/>
    <w:link w:val="Style_75_ch"/>
    <w:uiPriority w:val="9"/>
    <w:qFormat/>
    <w:pPr>
      <w:widowControl w:val="1"/>
      <w:spacing w:after="120" w:before="120" w:line="240" w:lineRule="auto"/>
      <w:ind w:firstLine="0" w:left="0" w:right="0"/>
      <w:jc w:val="left"/>
      <w:outlineLvl w:val="1"/>
    </w:pPr>
    <w:rPr>
      <w:rFonts w:ascii="XO Thames" w:hAnsi="XO Thames"/>
      <w:b w:val="1"/>
      <w:color w:val="00A0FF"/>
      <w:spacing w:val="0"/>
      <w:sz w:val="26"/>
    </w:rPr>
  </w:style>
  <w:style w:styleId="Style_75_ch" w:type="character">
    <w:name w:val="heading 2"/>
    <w:link w:val="Style_75"/>
    <w:rPr>
      <w:rFonts w:ascii="XO Thames" w:hAnsi="XO Thames"/>
      <w:b w:val="1"/>
      <w:color w:val="00A0FF"/>
      <w:spacing w:val="0"/>
      <w:sz w:val="26"/>
    </w:rPr>
  </w:style>
  <w:style w:styleId="Style_76" w:type="paragraph">
    <w:name w:val="List Paragraph1"/>
    <w:basedOn w:val="Style_1"/>
    <w:link w:val="Style_76_ch"/>
    <w:pPr>
      <w:widowControl w:val="1"/>
      <w:spacing w:after="200" w:before="0" w:line="276" w:lineRule="auto"/>
      <w:ind w:firstLine="0" w:left="720"/>
      <w:contextualSpacing w:val="1"/>
      <w:jc w:val="left"/>
    </w:pPr>
    <w:rPr>
      <w:rFonts w:ascii="Calibri" w:hAnsi="Calibri"/>
      <w:sz w:val="22"/>
    </w:rPr>
  </w:style>
  <w:style w:styleId="Style_76_ch" w:type="character">
    <w:name w:val="List Paragraph1"/>
    <w:basedOn w:val="Style_1_ch"/>
    <w:link w:val="Style_76"/>
    <w:rPr>
      <w:rFonts w:ascii="Calibri" w:hAnsi="Calibri"/>
      <w:sz w:val="22"/>
    </w:rPr>
  </w:style>
  <w:style w:styleId="Style_77" w:type="paragraph">
    <w:name w:val="Указатель"/>
    <w:basedOn w:val="Style_1"/>
    <w:link w:val="Style_77_ch"/>
    <w:rPr>
      <w:rFonts w:ascii="PT Astra Serif" w:hAnsi="PT Astra Serif"/>
    </w:rPr>
  </w:style>
  <w:style w:styleId="Style_77_ch" w:type="character">
    <w:name w:val="Указатель"/>
    <w:basedOn w:val="Style_1_ch"/>
    <w:link w:val="Style_77"/>
    <w:rPr>
      <w:rFonts w:ascii="PT Astra Serif" w:hAnsi="PT Astra Serif"/>
    </w:rPr>
  </w:style>
  <w:style w:styleId="Style_78" w:type="paragraph">
    <w:name w:val="footer"/>
    <w:basedOn w:val="Style_1"/>
    <w:link w:val="Style_78_ch"/>
    <w:pPr>
      <w:tabs>
        <w:tab w:leader="none" w:pos="720" w:val="clear"/>
        <w:tab w:leader="none" w:pos="4677" w:val="center"/>
        <w:tab w:leader="none" w:pos="9355" w:val="right"/>
      </w:tabs>
      <w:ind/>
    </w:pPr>
  </w:style>
  <w:style w:styleId="Style_78_ch" w:type="character">
    <w:name w:val="footer"/>
    <w:basedOn w:val="Style_1_ch"/>
    <w:link w:val="Style_78"/>
  </w:style>
  <w:style w:default="1" w:styleId="Style_4" w:type="table">
    <w:name w:val="Normal Table"/>
    <w:tblPr>
      <w:tblCellMar>
        <w:top w:type="dxa" w:w="0"/>
        <w:left w:type="dxa" w:w="108"/>
        <w:bottom w:type="dxa" w:w="0"/>
        <w:right w:type="dxa" w:w="108"/>
      </w:tblCellMar>
    </w:tblPr>
  </w:style>
  <w:style w:styleId="Style_7" w:type="table">
    <w:name w:val="Table Grid"/>
    <w:basedOn w:val="Style_4"/>
    <w:rPr>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2" Target="header2.xml" Type="http://schemas.openxmlformats.org/officeDocument/2006/relationships/header"/>
  <Relationship Id="rId3" Target="header3.xml" Type="http://schemas.openxmlformats.org/officeDocument/2006/relationships/header"/>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gradFill>
        <a:gradFill>
          <a:gsLst>
            <a:gs pos="0">
              <a:schemeClr val="phClr">
                <a:lumMod val="102000"/>
                <a:tint val="94000"/>
              </a:schemeClr>
            </a:gs>
            <a:gs pos="50000">
              <a:schemeClr val="phClr">
                <a:lumMod val="100000"/>
                <a:shade val="100000"/>
              </a:schemeClr>
            </a:gs>
            <a:gs pos="100000">
              <a:schemeClr val="phClr">
                <a:lumMod val="99000"/>
                <a:shade val="78000"/>
              </a:schemeClr>
            </a:gs>
          </a:gsLst>
        </a:gradFill>
      </a:fillStyleLst>
      <a:lnStyleLst>
        <a:ln w="6350">
          <a:prstDash val="solid"/>
        </a:ln>
        <a:ln w="12700">
          <a:prstDash val="solid"/>
        </a:ln>
        <a:ln w="1905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2026-03-31T11:43:13Z</dcterms:modified>
</cp:coreProperties>
</file>