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59" w:before="0" w:after="0"/>
        <w:contextualSpacing/>
        <w:jc w:val="center"/>
        <w:rPr>
          <w:b/>
          <w:b/>
          <w:bCs/>
          <w:sz w:val="24"/>
          <w:szCs w:val="24"/>
        </w:rPr>
      </w:pPr>
      <w:r>
        <w:rPr>
          <w:rFonts w:ascii="PT Astra Serif" w:hAnsi="PT Astra Serif"/>
          <w:b/>
          <w:bCs/>
          <w:sz w:val="24"/>
          <w:szCs w:val="24"/>
        </w:rPr>
        <w:t>ОПИСАНИЕ ОБЪЕКТА ЗАКУПКИ</w:t>
      </w:r>
    </w:p>
    <w:p>
      <w:pPr>
        <w:pStyle w:val="Normal"/>
        <w:spacing w:lineRule="auto" w:line="259" w:before="0" w:after="0"/>
        <w:contextualSpacing/>
        <w:jc w:val="center"/>
        <w:rPr>
          <w:b/>
          <w:b/>
          <w:bCs/>
          <w:sz w:val="24"/>
          <w:szCs w:val="24"/>
        </w:rPr>
      </w:pPr>
      <w:r>
        <w:rPr>
          <w:rFonts w:ascii="PT Astra Serif" w:hAnsi="PT Astra Serif"/>
          <w:b/>
          <w:bCs/>
          <w:sz w:val="24"/>
          <w:szCs w:val="24"/>
        </w:rPr>
        <w:t>(ТЕХНИЧЕСКОЕ ЗАДАНИЕ)</w:t>
      </w:r>
    </w:p>
    <w:p>
      <w:pPr>
        <w:pStyle w:val="Normal"/>
        <w:spacing w:lineRule="auto" w:line="259" w:before="0" w:after="0"/>
        <w:contextualSpacing/>
        <w:jc w:val="center"/>
        <w:rPr>
          <w:b/>
          <w:b/>
          <w:bCs/>
          <w:sz w:val="24"/>
          <w:szCs w:val="24"/>
        </w:rPr>
      </w:pPr>
      <w:r>
        <w:rPr>
          <w:rFonts w:ascii="PT Astra Serif" w:hAnsi="PT Astra Serif"/>
          <w:b/>
          <w:bCs/>
          <w:sz w:val="24"/>
          <w:szCs w:val="24"/>
        </w:rPr>
        <w:t xml:space="preserve">на </w:t>
      </w:r>
      <w:bookmarkStart w:id="0" w:name="__DdeLink__920_2629240339"/>
      <w:bookmarkStart w:id="1" w:name="__DdeLink__1937_1997322232"/>
      <w:r>
        <w:rPr>
          <w:rFonts w:ascii="PT Astra Serif" w:hAnsi="PT Astra Serif"/>
          <w:b/>
          <w:bCs/>
          <w:sz w:val="24"/>
          <w:szCs w:val="24"/>
        </w:rPr>
        <w:t>п</w:t>
      </w:r>
      <w:r>
        <w:rPr>
          <w:rFonts w:ascii="PT Astra Serif" w:hAnsi="PT Astra Serif"/>
          <w:b/>
          <w:bCs/>
          <w:kern w:val="0"/>
          <w:sz w:val="24"/>
          <w:szCs w:val="24"/>
          <w:lang w:val="ru-RU" w:bidi="ar-SA"/>
        </w:rPr>
        <w:t>риобретение телевизоров для конференц-залов Минприроды России</w:t>
      </w:r>
      <w:bookmarkEnd w:id="0"/>
      <w:bookmarkEnd w:id="1"/>
    </w:p>
    <w:p>
      <w:pPr>
        <w:pStyle w:val="Normal"/>
        <w:spacing w:lineRule="auto" w:line="259" w:before="0" w:after="0"/>
        <w:contextualSpacing/>
        <w:jc w:val="center"/>
        <w:rPr>
          <w:rFonts w:ascii="PT Astra Serif" w:hAnsi="PT Astra Serif"/>
        </w:rPr>
      </w:pPr>
      <w:r>
        <w:rPr>
          <w:rFonts w:ascii="PT Astra Serif" w:hAnsi="PT Astra Serif"/>
        </w:rPr>
      </w:r>
    </w:p>
    <w:p>
      <w:pPr>
        <w:pStyle w:val="Normal"/>
        <w:spacing w:lineRule="auto" w:line="259" w:before="0" w:after="0"/>
        <w:contextualSpacing/>
        <w:jc w:val="both"/>
        <w:rPr>
          <w:b/>
          <w:b/>
          <w:bCs/>
          <w:sz w:val="24"/>
          <w:szCs w:val="24"/>
        </w:rPr>
      </w:pPr>
      <w:r>
        <w:rPr>
          <w:rFonts w:ascii="PT Astra Serif" w:hAnsi="PT Astra Serif"/>
          <w:b/>
          <w:bCs/>
          <w:sz w:val="24"/>
          <w:szCs w:val="24"/>
        </w:rPr>
        <w:t>1. Общая информация об объекте закупки</w:t>
      </w:r>
    </w:p>
    <w:p>
      <w:pPr>
        <w:pStyle w:val="Normal"/>
        <w:spacing w:lineRule="auto" w:line="259" w:before="0" w:after="0"/>
        <w:contextualSpacing/>
        <w:jc w:val="both"/>
        <w:rPr>
          <w:sz w:val="24"/>
          <w:szCs w:val="24"/>
        </w:rPr>
      </w:pPr>
      <w:r>
        <w:rPr>
          <w:rFonts w:ascii="PT Astra Serif" w:hAnsi="PT Astra Serif"/>
          <w:sz w:val="24"/>
          <w:szCs w:val="24"/>
        </w:rPr>
        <w:t xml:space="preserve">1.1. Объект закупки: </w:t>
      </w:r>
      <w:bookmarkStart w:id="2" w:name="__DdeLink__922_2629240339"/>
      <w:r>
        <w:rPr>
          <w:rFonts w:ascii="PT Astra Serif" w:hAnsi="PT Astra Serif"/>
          <w:b w:val="false"/>
          <w:bCs w:val="false"/>
          <w:sz w:val="24"/>
          <w:szCs w:val="24"/>
        </w:rPr>
        <w:t>п</w:t>
      </w:r>
      <w:r>
        <w:rPr>
          <w:rFonts w:ascii="PT Astra Serif" w:hAnsi="PT Astra Serif"/>
          <w:b w:val="false"/>
          <w:bCs w:val="false"/>
          <w:kern w:val="0"/>
          <w:sz w:val="24"/>
          <w:szCs w:val="24"/>
          <w:lang w:val="ru-RU" w:bidi="ar-SA"/>
        </w:rPr>
        <w:t>риобретение телевизоров для конференц-залов Минприроды России</w:t>
      </w:r>
      <w:bookmarkEnd w:id="2"/>
      <w:r>
        <w:rPr>
          <w:rFonts w:ascii="PT Astra Serif" w:hAnsi="PT Astra Serif"/>
          <w:sz w:val="24"/>
          <w:szCs w:val="24"/>
        </w:rPr>
        <w:t xml:space="preserve"> (далее — Товар).</w:t>
      </w:r>
    </w:p>
    <w:p>
      <w:pPr>
        <w:pStyle w:val="Normal"/>
        <w:spacing w:lineRule="auto" w:line="259" w:before="0" w:after="0"/>
        <w:contextualSpacing/>
        <w:jc w:val="both"/>
        <w:rPr>
          <w:sz w:val="24"/>
          <w:szCs w:val="24"/>
        </w:rPr>
      </w:pPr>
      <w:r>
        <w:rPr>
          <w:rFonts w:ascii="PT Astra Serif" w:hAnsi="PT Astra Serif"/>
          <w:sz w:val="24"/>
          <w:szCs w:val="24"/>
        </w:rPr>
        <w:t xml:space="preserve">ОКПД 2: </w:t>
      </w:r>
    </w:p>
    <w:p>
      <w:pPr>
        <w:pStyle w:val="Normal"/>
        <w:widowControl/>
        <w:suppressAutoHyphens w:val="true"/>
        <w:bidi w:val="0"/>
        <w:spacing w:lineRule="auto" w:line="259" w:before="0" w:after="0"/>
        <w:ind w:left="0" w:right="0" w:hanging="0"/>
        <w:contextualSpacing/>
        <w:jc w:val="both"/>
        <w:rPr/>
      </w:pPr>
      <w:bookmarkStart w:id="3" w:name="__DdeLink__816_2369645182"/>
      <w:r>
        <w:rPr>
          <w:rFonts w:ascii="PT Astra Serif" w:hAnsi="PT Astra Serif"/>
          <w:sz w:val="24"/>
          <w:szCs w:val="24"/>
        </w:rPr>
        <w:t>26.40.20.122</w:t>
      </w:r>
      <w:bookmarkEnd w:id="3"/>
      <w:r>
        <w:rPr>
          <w:rFonts w:ascii="PT Astra Serif" w:hAnsi="PT Astra Serif"/>
          <w:sz w:val="24"/>
          <w:szCs w:val="24"/>
        </w:rPr>
        <w:t xml:space="preserve"> — Приемники телевизионные (телевизоры) цветного изображения с жидкокристаллическим экраном, плазменной панелью;</w:t>
      </w:r>
    </w:p>
    <w:p>
      <w:pPr>
        <w:pStyle w:val="Normal"/>
        <w:spacing w:lineRule="auto" w:line="259" w:before="0" w:after="0"/>
        <w:contextualSpacing/>
        <w:jc w:val="both"/>
        <w:rPr>
          <w:sz w:val="24"/>
          <w:szCs w:val="24"/>
        </w:rPr>
      </w:pPr>
      <w:r>
        <w:rPr>
          <w:rFonts w:ascii="PT Astra Serif" w:hAnsi="PT Astra Serif"/>
          <w:sz w:val="24"/>
          <w:szCs w:val="24"/>
        </w:rPr>
        <w:t xml:space="preserve">1.2. Место поставки Товара: </w:t>
      </w:r>
      <w:bookmarkStart w:id="4" w:name="__DdeLink__2819_1997322232"/>
      <w:r>
        <w:rPr>
          <w:rFonts w:ascii="PT Astra Serif" w:hAnsi="PT Astra Serif"/>
          <w:sz w:val="24"/>
          <w:szCs w:val="24"/>
        </w:rPr>
        <w:t>Россия, г. Москва, ул. Маршала Тухачевского, д. 32, корп. А, складское помещение.</w:t>
      </w:r>
      <w:bookmarkEnd w:id="4"/>
    </w:p>
    <w:p>
      <w:pPr>
        <w:pStyle w:val="Normal"/>
        <w:spacing w:lineRule="auto" w:line="259" w:before="0" w:after="0"/>
        <w:contextualSpacing/>
        <w:jc w:val="both"/>
        <w:rPr>
          <w:sz w:val="24"/>
          <w:szCs w:val="24"/>
        </w:rPr>
      </w:pPr>
      <w:r>
        <w:rPr>
          <w:rFonts w:ascii="PT Astra Serif" w:hAnsi="PT Astra Serif"/>
          <w:sz w:val="24"/>
          <w:szCs w:val="24"/>
        </w:rPr>
        <w:t>1.3. Срок поставки и условия поставки Товара: с даты заключения контракта в течении 15 (пятнадцати) рабочих дней.</w:t>
      </w:r>
    </w:p>
    <w:p>
      <w:pPr>
        <w:pStyle w:val="Normal"/>
        <w:spacing w:lineRule="auto" w:line="259" w:before="0" w:after="0"/>
        <w:contextualSpacing/>
        <w:jc w:val="both"/>
        <w:rPr>
          <w:sz w:val="24"/>
          <w:szCs w:val="24"/>
        </w:rPr>
      </w:pPr>
      <w:r>
        <w:rPr>
          <w:rFonts w:ascii="PT Astra Serif" w:hAnsi="PT Astra Serif"/>
          <w:sz w:val="24"/>
          <w:szCs w:val="24"/>
        </w:rPr>
        <w:t>1.4. Комплект поставки: Товар, Сертификат соответствия, Технический паспорт изделия, Гарантийный талон производителя/поставщика.</w:t>
      </w:r>
    </w:p>
    <w:p>
      <w:pPr>
        <w:pStyle w:val="Normal"/>
        <w:spacing w:lineRule="auto" w:line="259" w:before="0" w:after="0"/>
        <w:contextualSpacing/>
        <w:jc w:val="both"/>
        <w:rPr>
          <w:sz w:val="24"/>
          <w:szCs w:val="24"/>
        </w:rPr>
      </w:pPr>
      <w:r>
        <w:rPr>
          <w:sz w:val="24"/>
          <w:szCs w:val="24"/>
        </w:rPr>
      </w:r>
    </w:p>
    <w:p>
      <w:pPr>
        <w:pStyle w:val="Normal"/>
        <w:spacing w:lineRule="auto" w:line="259" w:before="0" w:after="0"/>
        <w:contextualSpacing/>
        <w:jc w:val="both"/>
        <w:rPr>
          <w:b/>
          <w:b/>
          <w:bCs/>
          <w:sz w:val="24"/>
          <w:szCs w:val="24"/>
        </w:rPr>
      </w:pPr>
      <w:r>
        <w:rPr>
          <w:rFonts w:ascii="PT Astra Serif" w:hAnsi="PT Astra Serif"/>
          <w:b/>
          <w:bCs/>
          <w:sz w:val="24"/>
          <w:szCs w:val="24"/>
        </w:rPr>
        <w:t>2.  Требования к Поставщику</w:t>
      </w:r>
    </w:p>
    <w:p>
      <w:pPr>
        <w:pStyle w:val="Normal"/>
        <w:spacing w:lineRule="auto" w:line="259" w:before="0" w:after="0"/>
        <w:contextualSpacing/>
        <w:jc w:val="both"/>
        <w:rPr>
          <w:sz w:val="24"/>
          <w:szCs w:val="24"/>
        </w:rPr>
      </w:pPr>
      <w:r>
        <w:rPr>
          <w:rFonts w:ascii="PT Astra Serif" w:hAnsi="PT Astra Serif"/>
          <w:sz w:val="24"/>
          <w:szCs w:val="24"/>
        </w:rPr>
        <w:t>2.1. Поставщик должен своими силами и за свой счет обеспечить доставку, разгрузку Товара, а также совершить иные действия, необходимые для доставки Товара. Поставка Товара должна осуществляться одной партией в соответствии с режимом работы учреждения (в рабочие дни с 09.00 до 16.00 часов).</w:t>
      </w:r>
    </w:p>
    <w:p>
      <w:pPr>
        <w:pStyle w:val="Normal"/>
        <w:spacing w:lineRule="auto" w:line="259" w:before="0" w:after="0"/>
        <w:contextualSpacing/>
        <w:jc w:val="both"/>
        <w:rPr>
          <w:sz w:val="24"/>
          <w:szCs w:val="24"/>
        </w:rPr>
      </w:pPr>
      <w:r>
        <w:rPr>
          <w:rFonts w:ascii="PT Astra Serif" w:hAnsi="PT Astra Serif"/>
          <w:sz w:val="24"/>
          <w:szCs w:val="24"/>
        </w:rPr>
        <w:t>2.2. Поставщик должен назначить ответственного представителя по Контракту.</w:t>
      </w:r>
    </w:p>
    <w:p>
      <w:pPr>
        <w:pStyle w:val="Normal"/>
        <w:spacing w:lineRule="auto" w:line="259" w:before="0" w:after="0"/>
        <w:contextualSpacing/>
        <w:jc w:val="both"/>
        <w:rPr>
          <w:sz w:val="24"/>
          <w:szCs w:val="24"/>
        </w:rPr>
      </w:pPr>
      <w:r>
        <w:rPr>
          <w:rFonts w:ascii="PT Astra Serif" w:hAnsi="PT Astra Serif"/>
          <w:sz w:val="24"/>
          <w:szCs w:val="24"/>
        </w:rPr>
        <w:t>2.3. Поставщик обязуется при поставке Товара учитывать и соблюдать требования внутриобъектового режима, действующего в адресе места доставки.</w:t>
      </w:r>
    </w:p>
    <w:p>
      <w:pPr>
        <w:pStyle w:val="Normal"/>
        <w:spacing w:lineRule="auto" w:line="259" w:before="0" w:after="0"/>
        <w:contextualSpacing/>
        <w:jc w:val="both"/>
        <w:rPr>
          <w:sz w:val="24"/>
          <w:szCs w:val="24"/>
        </w:rPr>
      </w:pPr>
      <w:r>
        <w:rPr>
          <w:rFonts w:ascii="PT Astra Serif" w:hAnsi="PT Astra Serif"/>
          <w:sz w:val="24"/>
          <w:szCs w:val="24"/>
        </w:rPr>
        <w:t>2.4. За 1 (один) рабочий день до дня прибытия сотрудников Поставщика в место поставки Товара, Поставщик обязуется передать Заказчику в письменном виде сведения, необходимые для оформления пропуска на въезд транспортного средства, осуществляющего перевозку Товара (марка ТС, государственный номер ТС, Ф.И.О. собственника ТС, Ф.И.О. водителя ТС, номер телефона водителя ТС, номер и дата выдачи документа, удостоверяющего личность водителя ТС), а также необходимые для оформления пропуска на вход в здание и выход из него работникам Поставщика сведения (Ф.И.О., должность, место работы, номер телефона, номер и дата выдачи документа, удостоверяющего личность). При передаче сведений Поставщик обязан обеспечить соблюдение требований Федерального закона от 27 июля 2006 г. № 152-ФЗ «О персональных данных». При передаче сведений в отношении физических лиц, не являющихся гражданами Российской Федерации, Поставщик обязан обеспечить соблюдение требований миграционного законодательства Российской Федерации (предоставить копии документов, которые по законодательству Российской Федерации должны иметь такие лица при осуществлении трудовой деятельности и нахождении на территории Российской Федерации). Неисполнение Поставщиком обязанности, предусмотренной настоящим пунктом, либо частичное исполнение (непредоставление всех необходимых сведений) является отказом Поставщика от исполнения обязательств по поставке Товара, предусмотренных Контрактом.</w:t>
      </w:r>
    </w:p>
    <w:p>
      <w:pPr>
        <w:pStyle w:val="Normal"/>
        <w:spacing w:lineRule="auto" w:line="259" w:before="0" w:after="0"/>
        <w:contextualSpacing/>
        <w:jc w:val="both"/>
        <w:rPr>
          <w:sz w:val="24"/>
          <w:szCs w:val="24"/>
        </w:rPr>
      </w:pPr>
      <w:r>
        <w:rPr>
          <w:rFonts w:ascii="PT Astra Serif" w:hAnsi="PT Astra Serif"/>
          <w:sz w:val="24"/>
          <w:szCs w:val="24"/>
        </w:rPr>
        <w:t>2.5. Обеспечить выполнение необходимых мероприятий по технике безопасности, пожарной безопасности и охране окружающей среды во время осуществления поставки Товара, включая погрузочно-разгрузочные и такелажные работы.</w:t>
      </w:r>
    </w:p>
    <w:p>
      <w:pPr>
        <w:pStyle w:val="Normal"/>
        <w:spacing w:lineRule="auto" w:line="259" w:before="0" w:after="0"/>
        <w:contextualSpacing/>
        <w:jc w:val="both"/>
        <w:rPr>
          <w:sz w:val="24"/>
          <w:szCs w:val="24"/>
        </w:rPr>
      </w:pPr>
      <w:r>
        <w:rPr>
          <w:sz w:val="24"/>
          <w:szCs w:val="24"/>
        </w:rPr>
      </w:r>
      <w:r>
        <w:br w:type="page"/>
      </w:r>
    </w:p>
    <w:p>
      <w:pPr>
        <w:pStyle w:val="Normal"/>
        <w:spacing w:lineRule="auto" w:line="259" w:before="0" w:after="0"/>
        <w:contextualSpacing/>
        <w:jc w:val="both"/>
        <w:rPr>
          <w:rFonts w:ascii="PT Astra Serif" w:hAnsi="PT Astra Serif"/>
          <w:sz w:val="24"/>
          <w:szCs w:val="24"/>
        </w:rPr>
      </w:pPr>
      <w:r>
        <w:rPr>
          <w:rFonts w:ascii="PT Astra Serif" w:hAnsi="PT Astra Serif"/>
          <w:b/>
          <w:bCs/>
          <w:sz w:val="24"/>
          <w:szCs w:val="24"/>
        </w:rPr>
        <w:t>3. Описание поставляемого Товара (функциональные технические и качественные характеристики, эксплуатационные характеристики объекта закупки).</w:t>
      </w:r>
    </w:p>
    <w:p>
      <w:pPr>
        <w:pStyle w:val="Normal"/>
        <w:spacing w:lineRule="auto" w:line="259" w:before="0" w:after="0"/>
        <w:contextualSpacing/>
        <w:rPr>
          <w:rFonts w:ascii="PT Astra Serif" w:hAnsi="PT Astra Serif"/>
          <w:sz w:val="24"/>
          <w:szCs w:val="24"/>
        </w:rPr>
      </w:pPr>
      <w:r>
        <w:rPr>
          <w:rFonts w:ascii="PT Astra Serif" w:hAnsi="PT Astra Serif"/>
          <w:sz w:val="24"/>
          <w:szCs w:val="24"/>
        </w:rPr>
      </w:r>
    </w:p>
    <w:tbl>
      <w:tblPr>
        <w:tblW w:w="10560" w:type="dxa"/>
        <w:jc w:val="left"/>
        <w:tblInd w:w="125" w:type="dxa"/>
        <w:tblLayout w:type="fixed"/>
        <w:tblCellMar>
          <w:top w:w="0" w:type="dxa"/>
          <w:left w:w="108" w:type="dxa"/>
          <w:bottom w:w="0" w:type="dxa"/>
          <w:right w:w="108" w:type="dxa"/>
        </w:tblCellMar>
        <w:tblLook w:noVBand="1" w:val="0400" w:noHBand="0" w:lastColumn="0" w:firstColumn="0" w:lastRow="0" w:firstRow="0"/>
      </w:tblPr>
      <w:tblGrid>
        <w:gridCol w:w="687"/>
        <w:gridCol w:w="1263"/>
        <w:gridCol w:w="1410"/>
        <w:gridCol w:w="3060"/>
        <w:gridCol w:w="1939"/>
        <w:gridCol w:w="1247"/>
        <w:gridCol w:w="953"/>
      </w:tblGrid>
      <w:tr>
        <w:trPr>
          <w:trHeight w:val="510" w:hRule="atLeast"/>
        </w:trPr>
        <w:tc>
          <w:tcPr>
            <w:tcW w:w="68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57" w:hanging="0"/>
              <w:jc w:val="center"/>
              <w:rPr>
                <w:rFonts w:ascii="PT Astra Serif" w:hAnsi="PT Astra Serif"/>
                <w:sz w:val="20"/>
                <w:szCs w:val="20"/>
              </w:rPr>
            </w:pPr>
            <w:r>
              <w:rPr>
                <w:rFonts w:eastAsia="Arial" w:cs="Arial" w:ascii="PT Astra Serif" w:hAnsi="PT Astra Serif"/>
                <w:b/>
                <w:color w:val="000000"/>
                <w:sz w:val="20"/>
                <w:szCs w:val="20"/>
              </w:rPr>
              <w:t>№</w:t>
            </w:r>
          </w:p>
        </w:tc>
        <w:tc>
          <w:tcPr>
            <w:tcW w:w="1263"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1757" w:leader="none"/>
              </w:tabs>
              <w:spacing w:before="0" w:after="0"/>
              <w:jc w:val="center"/>
              <w:rPr>
                <w:rFonts w:ascii="PT Astra Serif" w:hAnsi="PT Astra Serif"/>
                <w:sz w:val="20"/>
                <w:szCs w:val="20"/>
              </w:rPr>
            </w:pPr>
            <w:r>
              <w:rPr>
                <w:rFonts w:ascii="PT Astra Serif" w:hAnsi="PT Astra Serif"/>
                <w:sz w:val="20"/>
                <w:szCs w:val="20"/>
              </w:rPr>
              <w:t>Наименование товара</w:t>
            </w:r>
          </w:p>
        </w:tc>
        <w:tc>
          <w:tcPr>
            <w:tcW w:w="1410"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tabs>
                <w:tab w:val="clear" w:pos="708"/>
                <w:tab w:val="left" w:pos="709" w:leader="none"/>
                <w:tab w:val="left" w:pos="851" w:leader="none"/>
                <w:tab w:val="left" w:pos="993" w:leader="none"/>
                <w:tab w:val="left" w:pos="1560" w:leader="none"/>
              </w:tabs>
              <w:spacing w:before="0" w:after="0"/>
              <w:jc w:val="center"/>
              <w:rPr>
                <w:rFonts w:ascii="PT Astra Serif" w:hAnsi="PT Astra Serif"/>
                <w:sz w:val="20"/>
                <w:szCs w:val="20"/>
              </w:rPr>
            </w:pPr>
            <w:r>
              <w:rPr>
                <w:rFonts w:eastAsia="Times New Roman" w:cs="PT Astra Serif" w:ascii="PT Astra Serif" w:hAnsi="PT Astra Serif"/>
                <w:color w:val="00000A"/>
                <w:sz w:val="20"/>
                <w:szCs w:val="20"/>
                <w:lang w:eastAsia="ru-RU"/>
              </w:rPr>
              <w:t>Код позиции КТРУ (код ОКПД-2)</w:t>
            </w:r>
          </w:p>
        </w:tc>
        <w:tc>
          <w:tcPr>
            <w:tcW w:w="6246" w:type="dxa"/>
            <w:gridSpan w:val="3"/>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rPr>
            </w:pPr>
            <w:r>
              <w:rPr>
                <w:rFonts w:eastAsia="Times New Roman" w:cs="Times New Roman" w:ascii="PT Astra Serif" w:hAnsi="PT Astra Serif"/>
                <w:b/>
                <w:color w:val="000000"/>
                <w:sz w:val="20"/>
                <w:szCs w:val="20"/>
                <w:lang w:eastAsia="ru-RU"/>
                <w14:ligatures w14:val="none"/>
              </w:rPr>
              <w:t>Характеристика товара, работы, услуги</w:t>
            </w:r>
          </w:p>
        </w:tc>
        <w:tc>
          <w:tcPr>
            <w:tcW w:w="95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rPr>
            </w:pPr>
            <w:r>
              <w:rPr>
                <w:rFonts w:eastAsia="Times New Roman" w:cs="Times New Roman" w:ascii="PT Astra Serif" w:hAnsi="PT Astra Serif"/>
                <w:color w:val="000000"/>
                <w:sz w:val="20"/>
                <w:szCs w:val="20"/>
                <w:lang w:eastAsia="ru-RU"/>
                <w14:ligatures w14:val="none"/>
              </w:rPr>
              <w:t>Кол-во, шт</w:t>
            </w:r>
          </w:p>
        </w:tc>
      </w:tr>
      <w:tr>
        <w:trPr>
          <w:trHeight w:val="510" w:hRule="atLeast"/>
        </w:trPr>
        <w:tc>
          <w:tcPr>
            <w:tcW w:w="68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ind w:left="57" w:hanging="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410" w:type="dxa"/>
            <w:vMerge w:val="continue"/>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rPr>
            </w:pPr>
            <w:r>
              <w:rPr>
                <w:rFonts w:eastAsia="Times New Roman" w:cs="Times New Roman" w:ascii="PT Astra Serif" w:hAnsi="PT Astra Serif"/>
                <w:color w:val="000000"/>
                <w:sz w:val="20"/>
                <w:szCs w:val="20"/>
                <w:shd w:fill="auto" w:val="clear"/>
                <w:lang w:eastAsia="ru-RU"/>
                <w14:ligatures w14:val="none"/>
              </w:rPr>
              <w:t>Наименование характеристики</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rPr>
            </w:pPr>
            <w:r>
              <w:rPr>
                <w:rFonts w:eastAsia="Times New Roman" w:cs="Times New Roman" w:ascii="PT Astra Serif" w:hAnsi="PT Astra Serif"/>
                <w:color w:val="000000"/>
                <w:sz w:val="20"/>
                <w:szCs w:val="20"/>
                <w:shd w:fill="auto" w:val="clear"/>
                <w:lang w:eastAsia="ru-RU"/>
                <w14:ligatures w14:val="none"/>
              </w:rPr>
              <w:t>Значение характеристики</w:t>
            </w:r>
          </w:p>
        </w:tc>
        <w:tc>
          <w:tcPr>
            <w:tcW w:w="1247"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rPr>
            </w:pPr>
            <w:r>
              <w:rPr>
                <w:rFonts w:eastAsia="Times New Roman" w:cs="Times New Roman" w:ascii="PT Astra Serif" w:hAnsi="PT Astra Serif"/>
                <w:color w:val="000000"/>
                <w:sz w:val="20"/>
                <w:szCs w:val="20"/>
                <w:shd w:fill="auto" w:val="clear"/>
                <w:lang w:eastAsia="ru-RU"/>
                <w14:ligatures w14:val="none"/>
              </w:rPr>
              <w:t>Единица измерения характеристики</w:t>
            </w:r>
          </w:p>
        </w:tc>
        <w:tc>
          <w:tcPr>
            <w:tcW w:w="95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431" w:hRule="atLeast"/>
        </w:trPr>
        <w:tc>
          <w:tcPr>
            <w:tcW w:w="687"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t>1.</w:t>
            </w:r>
          </w:p>
        </w:tc>
        <w:tc>
          <w:tcPr>
            <w:tcW w:w="1263" w:type="dxa"/>
            <w:vMerge w:val="restart"/>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t>Телевизор</w:t>
            </w:r>
          </w:p>
        </w:tc>
        <w:tc>
          <w:tcPr>
            <w:tcW w:w="1410" w:type="dxa"/>
            <w:vMerge w:val="restart"/>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bookmarkStart w:id="5" w:name="__DdeLink__906_1742715671"/>
            <w:bookmarkStart w:id="6" w:name="__DdeLink__1457_1742715671"/>
            <w:r>
              <w:rPr>
                <w:rFonts w:ascii="PT Astra Serif" w:hAnsi="PT Astra Serif"/>
                <w:sz w:val="20"/>
                <w:szCs w:val="20"/>
              </w:rPr>
              <w:t xml:space="preserve">КТРУ </w:t>
            </w:r>
            <w:bookmarkStart w:id="7" w:name="__DdeLink__2888_1997322232"/>
            <w:bookmarkStart w:id="8" w:name="__DdeLink__378_2822967460"/>
            <w:bookmarkStart w:id="9" w:name="__DdeLink__3423_30574281"/>
            <w:bookmarkStart w:id="10" w:name="__DdeLink__1985_831964004"/>
            <w:bookmarkStart w:id="11" w:name="__DdeLink__1112_542181138"/>
            <w:bookmarkStart w:id="12" w:name="__DdeLink__5657_1813646365"/>
            <w:bookmarkStart w:id="13" w:name="__DdeLink__3316_868506709"/>
            <w:bookmarkStart w:id="14" w:name="__DdeLink__378_3652482784"/>
            <w:bookmarkStart w:id="15" w:name="__DdeLink__380_4097654562"/>
            <w:bookmarkStart w:id="16" w:name="__DdeLink__811_2369645182"/>
            <w:bookmarkStart w:id="17" w:name="__DdeLink__1934_1997322232"/>
            <w:r>
              <w:rPr>
                <w:rFonts w:eastAsia="Times New Roman" w:ascii="PT Astra Serif" w:hAnsi="PT Astra Serif"/>
                <w:color w:val="000000"/>
                <w:sz w:val="20"/>
                <w:szCs w:val="20"/>
              </w:rPr>
              <w:t>26.40.20.122-00000004</w:t>
            </w:r>
            <w:bookmarkEnd w:id="5"/>
            <w:bookmarkEnd w:id="6"/>
            <w:bookmarkEnd w:id="7"/>
            <w:bookmarkEnd w:id="8"/>
            <w:bookmarkEnd w:id="9"/>
            <w:bookmarkEnd w:id="10"/>
            <w:bookmarkEnd w:id="11"/>
            <w:bookmarkEnd w:id="12"/>
            <w:bookmarkEnd w:id="13"/>
            <w:bookmarkEnd w:id="14"/>
            <w:bookmarkEnd w:id="15"/>
            <w:bookmarkEnd w:id="16"/>
            <w:bookmarkEnd w:id="17"/>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Диагональ экрана</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aps w:val="false"/>
                <w:smallCaps w:val="false"/>
                <w:color w:val="000000"/>
                <w:spacing w:val="0"/>
                <w:sz w:val="20"/>
                <w:szCs w:val="20"/>
              </w:rPr>
            </w:pPr>
            <w:r>
              <w:rPr>
                <w:rFonts w:ascii="PT Astra Serif" w:hAnsi="PT Astra Serif"/>
                <w:caps w:val="false"/>
                <w:smallCaps w:val="false"/>
                <w:color w:val="000000"/>
                <w:spacing w:val="0"/>
                <w:sz w:val="20"/>
                <w:szCs w:val="20"/>
              </w:rPr>
              <w:t xml:space="preserve">≥ </w:t>
            </w:r>
            <w:r>
              <w:rPr>
                <w:rFonts w:ascii="PT Astra Serif" w:hAnsi="PT Astra Serif"/>
                <w:b w:val="false"/>
                <w:i w:val="false"/>
                <w:caps w:val="false"/>
                <w:smallCaps w:val="false"/>
                <w:color w:val="000000"/>
                <w:spacing w:val="0"/>
                <w:sz w:val="20"/>
                <w:szCs w:val="20"/>
              </w:rPr>
              <w:t>65 и &lt; 70</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bookmarkStart w:id="18" w:name="__DdeLink__4926_1222368080"/>
            <w:r>
              <w:rPr>
                <w:rFonts w:ascii="PT Astra Serif" w:hAnsi="PT Astra Serif"/>
                <w:color w:val="000000"/>
                <w:sz w:val="20"/>
                <w:szCs w:val="20"/>
              </w:rPr>
              <w:t>дюйм</w:t>
            </w:r>
            <w:bookmarkEnd w:id="18"/>
          </w:p>
        </w:tc>
        <w:tc>
          <w:tcPr>
            <w:tcW w:w="953"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8"/>
                <w:szCs w:val="28"/>
              </w:rPr>
            </w:pPr>
            <w:r>
              <w:rPr>
                <w:rFonts w:ascii="PT Astra Serif" w:hAnsi="PT Astra Serif"/>
                <w:sz w:val="28"/>
                <w:szCs w:val="28"/>
                <w:shd w:fill="auto" w:val="clear"/>
              </w:rPr>
              <w:t>2</w:t>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Тип экрана</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Жидкокристаллический</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Разрешение экрана</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4K UHD</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Наличие Smart TV</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да</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lang w:val="en-US"/>
              </w:rPr>
              <w:t>Изогнутый экран</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нет</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b w:val="false"/>
                <w:b w:val="false"/>
                <w:i w:val="false"/>
                <w:i w:val="false"/>
                <w:caps w:val="false"/>
                <w:smallCaps w:val="false"/>
                <w:color w:val="000000"/>
                <w:spacing w:val="0"/>
                <w:sz w:val="20"/>
                <w:szCs w:val="20"/>
              </w:rPr>
            </w:pPr>
            <w:r>
              <w:rPr>
                <w:rFonts w:ascii="PT Astra Serif" w:hAnsi="PT Astra Serif"/>
                <w:b w:val="false"/>
                <w:i w:val="false"/>
                <w:caps w:val="false"/>
                <w:smallCaps w:val="false"/>
                <w:color w:val="000000"/>
                <w:spacing w:val="0"/>
                <w:sz w:val="20"/>
                <w:szCs w:val="20"/>
              </w:rPr>
              <w:t>Частота обновления экрана</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60</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t xml:space="preserve">Герц </w:t>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Наличие Wi-Fi</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да</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Мощность звука</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aps w:val="false"/>
                <w:smallCaps w:val="false"/>
                <w:color w:val="000000"/>
                <w:spacing w:val="0"/>
                <w:sz w:val="20"/>
                <w:szCs w:val="20"/>
              </w:rPr>
            </w:pPr>
            <w:r>
              <w:rPr>
                <w:rFonts w:ascii="PT Astra Serif" w:hAnsi="PT Astra Serif"/>
                <w:caps w:val="false"/>
                <w:smallCaps w:val="false"/>
                <w:color w:val="000000"/>
                <w:spacing w:val="0"/>
                <w:sz w:val="20"/>
                <w:szCs w:val="20"/>
              </w:rPr>
              <w:t xml:space="preserve">≥ </w:t>
            </w:r>
            <w:r>
              <w:rPr>
                <w:rFonts w:ascii="PT Astra Serif" w:hAnsi="PT Astra Serif"/>
                <w:b w:val="false"/>
                <w:i w:val="false"/>
                <w:caps w:val="false"/>
                <w:smallCaps w:val="false"/>
                <w:color w:val="000000"/>
                <w:spacing w:val="0"/>
                <w:sz w:val="20"/>
                <w:szCs w:val="20"/>
              </w:rPr>
              <w:t>20 и &lt; 30</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bookmarkStart w:id="19" w:name="__DdeLink__4924_1222368080"/>
            <w:r>
              <w:rPr>
                <w:rFonts w:ascii="PT Astra Serif" w:hAnsi="PT Astra Serif"/>
                <w:color w:val="000000"/>
                <w:sz w:val="20"/>
                <w:szCs w:val="20"/>
              </w:rPr>
              <w:t>В</w:t>
            </w:r>
            <w:bookmarkEnd w:id="19"/>
            <w:r>
              <w:rPr>
                <w:rFonts w:ascii="PT Astra Serif" w:hAnsi="PT Astra Serif"/>
                <w:color w:val="000000"/>
                <w:sz w:val="20"/>
                <w:szCs w:val="20"/>
              </w:rPr>
              <w:t>атт</w:t>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Угол обзора, град</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b w:val="false"/>
                <w:b w:val="false"/>
                <w:i w:val="false"/>
                <w:i w:val="false"/>
                <w:caps w:val="false"/>
                <w:smallCaps w:val="false"/>
                <w:color w:val="000000"/>
                <w:spacing w:val="0"/>
                <w:sz w:val="20"/>
                <w:szCs w:val="20"/>
              </w:rPr>
            </w:pPr>
            <w:r>
              <w:rPr>
                <w:rFonts w:ascii="PT Astra Serif" w:hAnsi="PT Astra Serif"/>
                <w:b w:val="false"/>
                <w:i w:val="false"/>
                <w:caps w:val="false"/>
                <w:smallCaps w:val="false"/>
                <w:color w:val="000000"/>
                <w:spacing w:val="0"/>
                <w:sz w:val="20"/>
                <w:szCs w:val="20"/>
              </w:rPr>
              <w:t>&gt; 170</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lang w:eastAsia="en-US"/>
              </w:rPr>
            </w:pPr>
            <w:r>
              <w:rPr>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b w:val="false"/>
                <w:b w:val="false"/>
                <w:i w:val="false"/>
                <w:i w:val="false"/>
                <w:caps w:val="false"/>
                <w:smallCaps w:val="false"/>
                <w:color w:val="000000"/>
                <w:spacing w:val="0"/>
                <w:sz w:val="20"/>
                <w:szCs w:val="20"/>
              </w:rPr>
            </w:pPr>
            <w:r>
              <w:rPr>
                <w:rFonts w:ascii="PT Astra Serif" w:hAnsi="PT Astra Serif"/>
                <w:b w:val="false"/>
                <w:i w:val="false"/>
                <w:caps w:val="false"/>
                <w:smallCaps w:val="false"/>
                <w:color w:val="000000"/>
                <w:spacing w:val="0"/>
                <w:sz w:val="20"/>
                <w:szCs w:val="20"/>
              </w:rPr>
              <w:t>Класс энергетической эффективности</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color w:val="auto"/>
              </w:rPr>
            </w:pPr>
            <w:r>
              <w:rPr>
                <w:rFonts w:ascii="PT Astra Serif" w:hAnsi="PT Astra Serif"/>
                <w:b w:val="false"/>
                <w:i w:val="false"/>
                <w:caps w:val="false"/>
                <w:smallCaps w:val="false"/>
                <w:color w:val="auto"/>
                <w:spacing w:val="0"/>
                <w:sz w:val="20"/>
                <w:szCs w:val="20"/>
              </w:rPr>
              <w:t>А</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Функции и возможности</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Bluetooth</w:t>
            </w:r>
          </w:p>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Голосовой ассистент</w:t>
            </w:r>
          </w:p>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 xml:space="preserve"> </w:t>
            </w:r>
            <w:r>
              <w:rPr>
                <w:rFonts w:ascii="PT Astra Serif" w:hAnsi="PT Astra Serif"/>
                <w:color w:val="000000"/>
                <w:sz w:val="20"/>
                <w:szCs w:val="20"/>
              </w:rPr>
              <w:t>Поддержка DLNA</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r>
        <w:trPr>
          <w:trHeight w:val="300" w:hRule="atLeast"/>
        </w:trPr>
        <w:tc>
          <w:tcPr>
            <w:tcW w:w="68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0"/>
              <w:jc w:val="center"/>
              <w:rPr>
                <w:rFonts w:ascii="PT Astra Serif" w:hAnsi="PT Astra Serif"/>
                <w:sz w:val="20"/>
                <w:szCs w:val="20"/>
              </w:rPr>
            </w:pPr>
            <w:r>
              <w:rPr>
                <w:rFonts w:ascii="PT Astra Serif" w:hAnsi="PT Astra Serif"/>
                <w:sz w:val="20"/>
                <w:szCs w:val="20"/>
              </w:rPr>
            </w:r>
          </w:p>
        </w:tc>
        <w:tc>
          <w:tcPr>
            <w:tcW w:w="1263"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1410" w:type="dxa"/>
            <w:vMerge w:val="continue"/>
            <w:tcBorders>
              <w:left w:val="single" w:sz="4" w:space="0" w:color="000000"/>
              <w:bottom w:val="single" w:sz="4" w:space="0" w:color="000000"/>
            </w:tcBorders>
            <w:shd w:color="auto" w:fill="auto" w:val="clear"/>
          </w:tcPr>
          <w:p>
            <w:pPr>
              <w:pStyle w:val="Normal"/>
              <w:widowControl w:val="false"/>
              <w:spacing w:before="0" w:after="0"/>
              <w:rPr>
                <w:rFonts w:ascii="PT Astra Serif" w:hAnsi="PT Astra Serif"/>
                <w:sz w:val="20"/>
                <w:szCs w:val="20"/>
              </w:rPr>
            </w:pPr>
            <w:r>
              <w:rPr>
                <w:rFonts w:ascii="PT Astra Serif" w:hAnsi="PT Astra Serif"/>
                <w:sz w:val="20"/>
                <w:szCs w:val="20"/>
              </w:rPr>
            </w:r>
          </w:p>
        </w:tc>
        <w:tc>
          <w:tcPr>
            <w:tcW w:w="3060"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Разъемы</w:t>
            </w:r>
          </w:p>
        </w:tc>
        <w:tc>
          <w:tcPr>
            <w:tcW w:w="1939"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HDMI</w:t>
            </w:r>
          </w:p>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LAN</w:t>
            </w:r>
          </w:p>
          <w:p>
            <w:pPr>
              <w:pStyle w:val="Normal"/>
              <w:widowControl w:val="false"/>
              <w:spacing w:lineRule="auto" w:line="240" w:before="0" w:after="0"/>
              <w:contextualSpacing/>
              <w:jc w:val="center"/>
              <w:rPr>
                <w:rFonts w:ascii="PT Astra Serif" w:hAnsi="PT Astra Serif"/>
                <w:color w:val="000000"/>
                <w:sz w:val="20"/>
                <w:szCs w:val="20"/>
              </w:rPr>
            </w:pPr>
            <w:r>
              <w:rPr>
                <w:rFonts w:ascii="PT Astra Serif" w:hAnsi="PT Astra Serif"/>
                <w:color w:val="000000"/>
                <w:sz w:val="20"/>
                <w:szCs w:val="20"/>
              </w:rPr>
              <w:t>USB</w:t>
            </w:r>
          </w:p>
        </w:tc>
        <w:tc>
          <w:tcPr>
            <w:tcW w:w="1247" w:type="dxa"/>
            <w:tcBorders>
              <w:left w:val="single" w:sz="4" w:space="0" w:color="000000"/>
              <w:bottom w:val="single" w:sz="4" w:space="0" w:color="000000"/>
            </w:tcBorders>
            <w:shd w:color="auto" w:fill="auto" w:val="clear"/>
            <w:vAlign w:val="center"/>
          </w:tcPr>
          <w:p>
            <w:pPr>
              <w:pStyle w:val="Normal"/>
              <w:widowControl w:val="false"/>
              <w:spacing w:lineRule="auto" w:line="240" w:before="0" w:after="0"/>
              <w:contextualSpacing/>
              <w:jc w:val="center"/>
              <w:rPr>
                <w:rFonts w:ascii="PT Astra Serif" w:hAnsi="PT Astra Serif"/>
                <w:color w:val="000000"/>
                <w:sz w:val="20"/>
                <w:szCs w:val="20"/>
                <w:lang w:eastAsia="en-US"/>
              </w:rPr>
            </w:pPr>
            <w:r>
              <w:rPr>
                <w:rFonts w:ascii="PT Astra Serif" w:hAnsi="PT Astra Serif"/>
                <w:color w:val="000000"/>
                <w:sz w:val="20"/>
                <w:szCs w:val="20"/>
                <w:lang w:eastAsia="en-US"/>
              </w:rPr>
            </w:r>
          </w:p>
        </w:tc>
        <w:tc>
          <w:tcPr>
            <w:tcW w:w="953"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0"/>
              <w:jc w:val="center"/>
              <w:rPr>
                <w:rFonts w:ascii="PT Astra Serif" w:hAnsi="PT Astra Serif"/>
                <w:sz w:val="20"/>
                <w:szCs w:val="20"/>
                <w:highlight w:val="none"/>
                <w:shd w:fill="auto" w:val="clear"/>
              </w:rPr>
            </w:pPr>
            <w:r>
              <w:rPr>
                <w:rFonts w:ascii="PT Astra Serif" w:hAnsi="PT Astra Serif"/>
                <w:sz w:val="20"/>
                <w:szCs w:val="20"/>
                <w:shd w:fill="auto" w:val="clear"/>
              </w:rPr>
            </w:r>
          </w:p>
        </w:tc>
      </w:tr>
    </w:tbl>
    <w:p>
      <w:pPr>
        <w:pStyle w:val="Normal"/>
        <w:tabs>
          <w:tab w:val="clear" w:pos="708"/>
          <w:tab w:val="right" w:pos="-142" w:leader="none"/>
        </w:tabs>
        <w:spacing w:before="0" w:after="0"/>
        <w:rPr>
          <w:rFonts w:ascii="PT Astra Serif" w:hAnsi="PT Astra Serif"/>
          <w:b/>
          <w:b/>
          <w:bCs/>
        </w:rPr>
      </w:pPr>
      <w:r>
        <w:rPr>
          <w:rFonts w:ascii="PT Astra Serif" w:hAnsi="PT Astra Serif"/>
          <w:b/>
          <w:bCs/>
        </w:rPr>
      </w:r>
    </w:p>
    <w:p>
      <w:pPr>
        <w:pStyle w:val="211"/>
        <w:tabs>
          <w:tab w:val="clear" w:pos="720"/>
          <w:tab w:val="right" w:pos="-142" w:leader="none"/>
        </w:tabs>
        <w:spacing w:before="0" w:after="0"/>
        <w:ind w:left="0" w:hanging="0"/>
        <w:rPr>
          <w:szCs w:val="24"/>
        </w:rPr>
      </w:pPr>
      <w:r>
        <w:rPr>
          <w:rFonts w:ascii="PT Astra Serif" w:hAnsi="PT Astra Serif"/>
          <w:b/>
          <w:bCs/>
          <w:szCs w:val="24"/>
        </w:rPr>
        <w:t xml:space="preserve">4. </w:t>
      </w:r>
      <w:r>
        <w:rPr>
          <w:rFonts w:ascii="PT Astra Serif" w:hAnsi="PT Astra Serif"/>
          <w:b/>
          <w:bCs/>
          <w:szCs w:val="24"/>
          <w:lang w:eastAsia="en-US"/>
        </w:rPr>
        <w:t>Требования к качеству и безопасности Товара</w:t>
      </w:r>
    </w:p>
    <w:p>
      <w:pPr>
        <w:pStyle w:val="211"/>
        <w:tabs>
          <w:tab w:val="clear" w:pos="720"/>
          <w:tab w:val="right" w:pos="-142" w:leader="none"/>
        </w:tabs>
        <w:spacing w:before="0" w:after="0"/>
        <w:ind w:left="0" w:hanging="0"/>
        <w:rPr>
          <w:szCs w:val="24"/>
        </w:rPr>
      </w:pPr>
      <w:r>
        <w:rPr>
          <w:rFonts w:ascii="PT Astra Serif" w:hAnsi="PT Astra Serif"/>
          <w:szCs w:val="24"/>
          <w:lang w:eastAsia="en-US"/>
        </w:rPr>
        <w:t>Функциональные характеристики (потребительские свойства) Товара должны соответствовать требованиям ГОСТ и стандартов, предусмотренным для данного вида товара, нормам, установленным производителем. Товар должен иметь неповрежденную заводскую упаковку, маркированную таким образом, чтобы можно было определить его тип, наименование и принадлежность к производителю.</w:t>
      </w:r>
    </w:p>
    <w:p>
      <w:pPr>
        <w:pStyle w:val="Normal"/>
        <w:widowControl w:val="false"/>
        <w:numPr>
          <w:ilvl w:val="0"/>
          <w:numId w:val="0"/>
        </w:numPr>
        <w:tabs>
          <w:tab w:val="clear" w:pos="708"/>
          <w:tab w:val="right" w:pos="-142" w:leader="none"/>
        </w:tabs>
        <w:spacing w:before="0" w:after="0"/>
        <w:ind w:left="0" w:hanging="0"/>
        <w:jc w:val="both"/>
        <w:outlineLvl w:val="0"/>
        <w:rPr>
          <w:sz w:val="24"/>
          <w:szCs w:val="24"/>
        </w:rPr>
      </w:pPr>
      <w:r>
        <w:rPr>
          <w:rFonts w:cs="Times New Roman" w:ascii="PT Astra Serif" w:hAnsi="PT Astra Serif"/>
          <w:sz w:val="24"/>
          <w:szCs w:val="24"/>
          <w:shd w:fill="FFFFFF" w:val="clear"/>
        </w:rPr>
        <w:t>Поставляемый Товар должен быть новый, не ранее 2025 года выпуска, не находившийся в эксплуатации, без внесенных конструктивных изменений, заводского производства, без механических повреждений, изготовлен из материалов безопасных для жизни, здоровья человека и окружающей среды при обычных условиях его использования, хранения, утилизации.</w:t>
      </w:r>
    </w:p>
    <w:p>
      <w:pPr>
        <w:pStyle w:val="Normal"/>
        <w:widowControl w:val="false"/>
        <w:numPr>
          <w:ilvl w:val="0"/>
          <w:numId w:val="0"/>
        </w:numPr>
        <w:tabs>
          <w:tab w:val="clear" w:pos="708"/>
          <w:tab w:val="right" w:pos="-142" w:leader="none"/>
        </w:tabs>
        <w:spacing w:before="0" w:after="0"/>
        <w:ind w:left="0" w:hanging="0"/>
        <w:jc w:val="both"/>
        <w:outlineLvl w:val="0"/>
        <w:rPr>
          <w:sz w:val="24"/>
          <w:szCs w:val="24"/>
        </w:rPr>
      </w:pPr>
      <w:r>
        <w:rPr>
          <w:rFonts w:cs="Times New Roman" w:ascii="PT Astra Serif" w:hAnsi="PT Astra Serif"/>
          <w:sz w:val="24"/>
          <w:szCs w:val="24"/>
          <w:shd w:fill="FFFFFF" w:val="clear"/>
        </w:rPr>
        <w:t xml:space="preserve">Поставка Товара должна осуществляться в упаковке изготовителя, соответствующей требованиям технического регламента Таможенного союза «О безопасности упаковки» </w:t>
      </w:r>
      <w:bookmarkStart w:id="20" w:name="__DdeLink__5166_2004753971"/>
      <w:bookmarkStart w:id="21" w:name="__DdeLink__6897_25107265051"/>
      <w:bookmarkStart w:id="22" w:name="__DdeLink__3551_106830858"/>
      <w:r>
        <w:rPr>
          <w:rFonts w:cs="Times New Roman" w:ascii="PT Astra Serif" w:hAnsi="PT Astra Serif"/>
          <w:sz w:val="24"/>
          <w:szCs w:val="24"/>
          <w:shd w:fill="FFFFFF" w:val="clear"/>
        </w:rPr>
        <w:t>ТР ТС 005/2011</w:t>
      </w:r>
      <w:bookmarkEnd w:id="22"/>
      <w:r>
        <w:rPr>
          <w:rFonts w:cs="Times New Roman" w:ascii="PT Astra Serif" w:hAnsi="PT Astra Serif"/>
          <w:sz w:val="24"/>
          <w:szCs w:val="24"/>
          <w:shd w:fill="FFFFFF" w:val="clear"/>
        </w:rPr>
        <w:t xml:space="preserve"> </w:t>
      </w:r>
      <w:bookmarkEnd w:id="20"/>
      <w:bookmarkEnd w:id="21"/>
      <w:r>
        <w:rPr>
          <w:rFonts w:cs="Times New Roman" w:ascii="PT Astra Serif" w:hAnsi="PT Astra Serif"/>
          <w:sz w:val="24"/>
          <w:szCs w:val="24"/>
          <w:shd w:fill="FFFFFF" w:val="clear"/>
        </w:rPr>
        <w:t xml:space="preserve">и обеспечивающей безопасность и сохранение потребительских свойств Товара. </w:t>
      </w:r>
    </w:p>
    <w:p>
      <w:pPr>
        <w:pStyle w:val="Normal"/>
        <w:widowControl w:val="false"/>
        <w:numPr>
          <w:ilvl w:val="0"/>
          <w:numId w:val="0"/>
        </w:numPr>
        <w:tabs>
          <w:tab w:val="clear" w:pos="708"/>
          <w:tab w:val="right" w:pos="-142" w:leader="none"/>
        </w:tabs>
        <w:spacing w:before="0" w:after="0"/>
        <w:ind w:left="0" w:hanging="0"/>
        <w:jc w:val="both"/>
        <w:outlineLvl w:val="0"/>
        <w:rPr>
          <w:sz w:val="24"/>
          <w:szCs w:val="24"/>
        </w:rPr>
      </w:pPr>
      <w:r>
        <w:rPr>
          <w:rFonts w:cs="Times New Roman" w:ascii="PT Astra Serif" w:hAnsi="PT Astra Serif"/>
          <w:sz w:val="24"/>
          <w:szCs w:val="24"/>
          <w:shd w:fill="FFFFFF" w:val="clear"/>
        </w:rPr>
        <w:t>Маркировка упаковки каждого вида Товара должна давать возможность четко идентифицировать разновидность товара.</w:t>
      </w:r>
    </w:p>
    <w:p>
      <w:pPr>
        <w:pStyle w:val="Normal"/>
        <w:widowControl w:val="false"/>
        <w:numPr>
          <w:ilvl w:val="0"/>
          <w:numId w:val="0"/>
        </w:numPr>
        <w:tabs>
          <w:tab w:val="clear" w:pos="708"/>
          <w:tab w:val="right" w:pos="-142" w:leader="none"/>
        </w:tabs>
        <w:spacing w:before="0" w:after="0"/>
        <w:ind w:left="0" w:hanging="0"/>
        <w:contextualSpacing/>
        <w:jc w:val="both"/>
        <w:outlineLvl w:val="0"/>
        <w:rPr>
          <w:sz w:val="24"/>
          <w:szCs w:val="24"/>
        </w:rPr>
      </w:pPr>
      <w:r>
        <w:rPr>
          <w:rFonts w:cs="Times New Roman" w:ascii="PT Astra Serif" w:hAnsi="PT Astra Serif"/>
          <w:sz w:val="24"/>
          <w:szCs w:val="24"/>
          <w:shd w:fill="FFFFFF" w:val="clear"/>
        </w:rPr>
        <w:t xml:space="preserve">Товар должен быть укомплектован необходимой документацией на русском языке (технический паспорт, руководство по эксплуатации и </w:t>
      </w:r>
      <w:r>
        <w:rPr>
          <w:rFonts w:eastAsia="Calibri" w:cs="Times New Roman" w:ascii="PT Astra Serif" w:hAnsi="PT Astra Serif"/>
          <w:color w:val="000000"/>
          <w:sz w:val="24"/>
          <w:szCs w:val="24"/>
          <w:shd w:fill="FFFFFF" w:val="clear"/>
        </w:rPr>
        <w:t>т. д.</w:t>
      </w:r>
      <w:r>
        <w:rPr>
          <w:rFonts w:cs="Times New Roman" w:ascii="PT Astra Serif" w:hAnsi="PT Astra Serif"/>
          <w:sz w:val="24"/>
          <w:szCs w:val="24"/>
          <w:shd w:fill="FFFFFF" w:val="clear"/>
        </w:rPr>
        <w:t xml:space="preserve"> </w:t>
      </w:r>
      <w:r>
        <w:rPr>
          <w:rFonts w:eastAsia="Calibri" w:cs="Times New Roman" w:ascii="PT Astra Serif" w:hAnsi="PT Astra Serif"/>
          <w:color w:val="000000"/>
          <w:sz w:val="24"/>
          <w:szCs w:val="24"/>
          <w:shd w:fill="FFFFFF" w:val="clear"/>
        </w:rPr>
        <w:t>в</w:t>
      </w:r>
      <w:r>
        <w:rPr>
          <w:rFonts w:cs="Times New Roman" w:ascii="PT Astra Serif" w:hAnsi="PT Astra Serif"/>
          <w:sz w:val="24"/>
          <w:szCs w:val="24"/>
          <w:shd w:fill="FFFFFF" w:val="clear"/>
        </w:rPr>
        <w:t xml:space="preserve"> бумажном или электронном виде), а также документацией, подтверждающей качество Товара и его соответствие требованиям законодательства Российской Федерации (сертификат соответствия или декларация о соответствии (в случаях, если данный Товар подлежит обязательной сертификации или декларированию соответствия на территории Российской Федерации), и/или другими документами, подтверждающими качество Товара, оформленными в соответствии с действующим законодательством).</w:t>
      </w:r>
    </w:p>
    <w:p>
      <w:pPr>
        <w:pStyle w:val="211"/>
        <w:spacing w:before="0" w:after="0"/>
        <w:contextualSpacing/>
        <w:rPr/>
      </w:pPr>
      <w:r>
        <w:rPr/>
      </w:r>
    </w:p>
    <w:p>
      <w:pPr>
        <w:pStyle w:val="211"/>
        <w:spacing w:before="0" w:after="0"/>
        <w:contextualSpacing/>
        <w:rPr>
          <w:rFonts w:ascii="PT Astra Serif" w:hAnsi="PT Astra Serif" w:eastAsia="Calibri"/>
          <w:b/>
          <w:b/>
          <w:bCs/>
          <w:color w:val="000000"/>
          <w:szCs w:val="24"/>
          <w:lang w:eastAsia="en-US"/>
        </w:rPr>
      </w:pPr>
      <w:r>
        <w:rPr>
          <w:rFonts w:eastAsia="Calibri" w:ascii="PT Astra Serif" w:hAnsi="PT Astra Serif"/>
          <w:b/>
          <w:bCs/>
          <w:color w:val="000000"/>
          <w:szCs w:val="24"/>
          <w:lang w:eastAsia="en-US"/>
        </w:rPr>
        <w:t>5. Требования к гарантийным обязательствам и условиям сервисного сопровождения</w:t>
      </w:r>
    </w:p>
    <w:p>
      <w:pPr>
        <w:pStyle w:val="Normal"/>
        <w:widowControl w:val="false"/>
        <w:tabs>
          <w:tab w:val="clear" w:pos="708"/>
          <w:tab w:val="right" w:pos="-142" w:leader="none"/>
        </w:tabs>
        <w:spacing w:before="0" w:after="0"/>
        <w:contextualSpacing/>
        <w:jc w:val="both"/>
        <w:rPr>
          <w:rFonts w:ascii="PT Astra Serif" w:hAnsi="PT Astra Serif"/>
          <w:sz w:val="24"/>
          <w:szCs w:val="24"/>
        </w:rPr>
      </w:pPr>
      <w:r>
        <w:rPr>
          <w:rFonts w:ascii="PT Astra Serif" w:hAnsi="PT Astra Serif"/>
          <w:sz w:val="24"/>
          <w:szCs w:val="24"/>
        </w:rPr>
        <w:t>Постав</w:t>
      </w:r>
      <w:r>
        <w:rPr>
          <w:rFonts w:eastAsia="Calibri" w:cs="Times New Roman" w:ascii="PT Astra Serif" w:hAnsi="PT Astra Serif"/>
          <w:color w:val="000000"/>
          <w:sz w:val="24"/>
          <w:szCs w:val="24"/>
        </w:rPr>
        <w:t xml:space="preserve">щик должен предоставить гарантию (гарантийный талон) Производителя на Товар. </w:t>
      </w:r>
    </w:p>
    <w:p>
      <w:pPr>
        <w:pStyle w:val="Normal"/>
        <w:widowControl w:val="false"/>
        <w:tabs>
          <w:tab w:val="clear" w:pos="708"/>
          <w:tab w:val="right" w:pos="-142" w:leader="none"/>
        </w:tabs>
        <w:spacing w:before="0" w:after="0"/>
        <w:jc w:val="both"/>
        <w:rPr>
          <w:rFonts w:ascii="PT Astra Serif" w:hAnsi="PT Astra Serif"/>
          <w:sz w:val="24"/>
          <w:szCs w:val="24"/>
        </w:rPr>
      </w:pPr>
      <w:r>
        <w:rPr>
          <w:rFonts w:eastAsia="Calibri" w:cs="Times New Roman" w:ascii="PT Astra Serif" w:hAnsi="PT Astra Serif"/>
          <w:color w:val="000000"/>
          <w:sz w:val="24"/>
          <w:szCs w:val="24"/>
        </w:rPr>
        <w:t>Гарантия должна распространяться на весь поставляемый Товар.</w:t>
      </w:r>
    </w:p>
    <w:p>
      <w:pPr>
        <w:pStyle w:val="Normal"/>
        <w:widowControl w:val="false"/>
        <w:tabs>
          <w:tab w:val="clear" w:pos="708"/>
          <w:tab w:val="right" w:pos="-142" w:leader="none"/>
        </w:tabs>
        <w:spacing w:before="0" w:after="0"/>
        <w:jc w:val="both"/>
        <w:rPr>
          <w:rFonts w:ascii="PT Astra Serif" w:hAnsi="PT Astra Serif"/>
          <w:sz w:val="24"/>
          <w:szCs w:val="24"/>
        </w:rPr>
      </w:pPr>
      <w:r>
        <w:rPr>
          <w:rFonts w:eastAsia="Calibri" w:cs="Times New Roman" w:ascii="PT Astra Serif" w:hAnsi="PT Astra Serif"/>
          <w:color w:val="000000"/>
          <w:sz w:val="24"/>
          <w:szCs w:val="24"/>
        </w:rPr>
        <w:t xml:space="preserve">Срок гарантийного периода Поставщика с момента подписания документа о приемке должен составлять не менее 12 месяцев. Все расходы, связанные с возвратом некачественного (бракованного) Товара, осуществляются за счет Поставщика. </w:t>
      </w:r>
    </w:p>
    <w:p>
      <w:pPr>
        <w:pStyle w:val="Normal"/>
        <w:widowControl w:val="false"/>
        <w:tabs>
          <w:tab w:val="clear" w:pos="708"/>
          <w:tab w:val="right" w:pos="-142" w:leader="none"/>
        </w:tabs>
        <w:spacing w:before="0" w:after="0"/>
        <w:jc w:val="both"/>
        <w:rPr>
          <w:rFonts w:ascii="PT Astra Serif" w:hAnsi="PT Astra Serif"/>
          <w:sz w:val="24"/>
          <w:szCs w:val="24"/>
        </w:rPr>
      </w:pPr>
      <w:r>
        <w:rPr/>
      </w:r>
    </w:p>
    <w:sectPr>
      <w:type w:val="nextPage"/>
      <w:pgSz w:w="11906" w:h="16838"/>
      <w:pgMar w:left="720" w:right="720" w:gutter="0" w:header="0" w:top="111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OpenSymbol">
    <w:altName w:val="Arial Unicode MS"/>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160"/>
      <w:jc w:val="left"/>
    </w:pPr>
    <w:rPr>
      <w:rFonts w:ascii="Times New Roman" w:hAnsi="Times New Roman" w:eastAsia="Calibri" w:cs="Arial" w:cstheme="minorBidi" w:eastAsiaTheme="minorHAnsi"/>
      <w:color w:val="auto"/>
      <w:kern w:val="0"/>
      <w:sz w:val="28"/>
      <w:szCs w:val="22"/>
      <w:lang w:val="ru-RU" w:eastAsia="en-US" w:bidi="ar-SA"/>
      <w14:ligatures w14:val="standardContextual"/>
    </w:rPr>
  </w:style>
  <w:style w:type="paragraph" w:styleId="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5" w:customStyle="1">
    <w:name w:val="Интернет-ссылка"/>
    <w:uiPriority w:val="99"/>
    <w:unhideWhenUsed/>
    <w:rPr>
      <w:color w:val="0563C1" w:themeColor="hyperlink"/>
      <w:u w:val="single"/>
    </w:rPr>
  </w:style>
  <w:style w:type="character" w:styleId="FootnoteTextChar" w:customStyle="1">
    <w:name w:val="Footnote Text Char"/>
    <w:uiPriority w:val="99"/>
    <w:qFormat/>
    <w:rPr>
      <w:sz w:val="18"/>
    </w:rPr>
  </w:style>
  <w:style w:type="character" w:styleId="Style6" w:customStyle="1">
    <w:name w:val="Привязка сноски"/>
    <w:rPr>
      <w:vertAlign w:val="superscript"/>
    </w:rPr>
  </w:style>
  <w:style w:type="character" w:styleId="FootnoteCharacters" w:customStyle="1">
    <w:name w:val="Footnote Characters"/>
    <w:uiPriority w:val="99"/>
    <w:unhideWhenUsed/>
    <w:qFormat/>
    <w:rPr>
      <w:vertAlign w:val="superscript"/>
    </w:rPr>
  </w:style>
  <w:style w:type="character" w:styleId="EndnoteTextChar" w:customStyle="1">
    <w:name w:val="Endnote Text Char"/>
    <w:uiPriority w:val="99"/>
    <w:qFormat/>
    <w:rPr>
      <w:sz w:val="20"/>
    </w:rPr>
  </w:style>
  <w:style w:type="character" w:styleId="Style7" w:customStyle="1">
    <w:name w:val="Привязка концевой сноски"/>
    <w:rPr>
      <w:vertAlign w:val="superscript"/>
    </w:rPr>
  </w:style>
  <w:style w:type="character" w:styleId="EndnoteCharacters" w:customStyle="1">
    <w:name w:val="Endnote Characters"/>
    <w:uiPriority w:val="99"/>
    <w:semiHidden/>
    <w:unhideWhenUsed/>
    <w:qFormat/>
    <w:rPr>
      <w:vertAlign w:val="superscript"/>
    </w:rPr>
  </w:style>
  <w:style w:type="character" w:styleId="Annotationreference">
    <w:name w:val="annotation reference"/>
    <w:basedOn w:val="DefaultParagraphFont"/>
    <w:uiPriority w:val="99"/>
    <w:semiHidden/>
    <w:unhideWhenUsed/>
    <w:qFormat/>
    <w:rsid w:val="00b400be"/>
    <w:rPr>
      <w:sz w:val="16"/>
      <w:szCs w:val="16"/>
    </w:rPr>
  </w:style>
  <w:style w:type="character" w:styleId="Style8" w:customStyle="1">
    <w:name w:val="Текст примечания Знак"/>
    <w:basedOn w:val="DefaultParagraphFont"/>
    <w:link w:val="Annotationtext"/>
    <w:uiPriority w:val="99"/>
    <w:semiHidden/>
    <w:qFormat/>
    <w:rsid w:val="00b400be"/>
    <w:rPr>
      <w:rFonts w:ascii="Times New Roman" w:hAnsi="Times New Roman"/>
      <w:sz w:val="20"/>
      <w:szCs w:val="20"/>
    </w:rPr>
  </w:style>
  <w:style w:type="character" w:styleId="Style9" w:customStyle="1">
    <w:name w:val="Тема примечания Знак"/>
    <w:basedOn w:val="Style8"/>
    <w:link w:val="Annotationsubject"/>
    <w:uiPriority w:val="99"/>
    <w:semiHidden/>
    <w:qFormat/>
    <w:rsid w:val="00b400be"/>
    <w:rPr>
      <w:rFonts w:ascii="Times New Roman" w:hAnsi="Times New Roman"/>
      <w:b/>
      <w:bCs/>
      <w:sz w:val="20"/>
      <w:szCs w:val="20"/>
    </w:rPr>
  </w:style>
  <w:style w:type="character" w:styleId="Style10" w:customStyle="1">
    <w:name w:val="Маркеры"/>
    <w:qFormat/>
    <w:rPr>
      <w:rFonts w:ascii="OpenSymbol" w:hAnsi="OpenSymbol" w:eastAsia="OpenSymbol" w:cs="OpenSymbol"/>
    </w:rPr>
  </w:style>
  <w:style w:type="character" w:styleId="Style11" w:customStyle="1">
    <w:name w:val="Символ нумерации"/>
    <w:qFormat/>
    <w:rPr/>
  </w:style>
  <w:style w:type="character" w:styleId="Style12" w:customStyle="1">
    <w:name w:val="Нумерация строк"/>
    <w:rPr/>
  </w:style>
  <w:style w:type="character" w:styleId="41">
    <w:name w:val="Основной текст (4)_"/>
    <w:qFormat/>
    <w:rPr>
      <w:shd w:fill="FFFFFF" w:val="clear"/>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lang w:val="zxx" w:eastAsia="zxx" w:bidi="zxx"/>
    </w:rPr>
  </w:style>
  <w:style w:type="paragraph" w:styleId="Style18">
    <w:name w:val="Title"/>
    <w:basedOn w:val="Normal"/>
    <w:next w:val="Style14"/>
    <w:uiPriority w:val="10"/>
    <w:qFormat/>
    <w:pPr>
      <w:spacing w:before="300" w:after="200"/>
      <w:contextualSpacing/>
    </w:pPr>
    <w:rPr>
      <w:sz w:val="48"/>
      <w:szCs w:val="48"/>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Style18"/>
    <w:qFormat/>
    <w:pPr/>
    <w:rPr/>
  </w:style>
  <w:style w:type="paragraph" w:styleId="NoSpacing">
    <w:name w:val="No Spacing"/>
    <w:uiPriority w:val="1"/>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14:ligatures w14:val="standardContextual"/>
    </w:rPr>
  </w:style>
  <w:style w:type="paragraph" w:styleId="Style19">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20" w:customStyle="1">
    <w:name w:val="Колонтитул"/>
    <w:basedOn w:val="Normal"/>
    <w:qFormat/>
    <w:pPr/>
    <w:rPr/>
  </w:style>
  <w:style w:type="paragraph" w:styleId="Style21">
    <w:name w:val="Header"/>
    <w:basedOn w:val="Normal"/>
    <w:uiPriority w:val="99"/>
    <w:unhideWhenUsed/>
    <w:pPr>
      <w:tabs>
        <w:tab w:val="clear" w:pos="708"/>
        <w:tab w:val="center" w:pos="7143" w:leader="none"/>
        <w:tab w:val="right" w:pos="14287" w:leader="none"/>
      </w:tabs>
      <w:spacing w:before="0" w:after="0"/>
    </w:pPr>
    <w:rPr/>
  </w:style>
  <w:style w:type="paragraph" w:styleId="Style22">
    <w:name w:val="Footer"/>
    <w:basedOn w:val="Normal"/>
    <w:uiPriority w:val="99"/>
    <w:unhideWhenUsed/>
    <w:pPr>
      <w:tabs>
        <w:tab w:val="clear" w:pos="708"/>
        <w:tab w:val="center" w:pos="7143" w:leader="none"/>
        <w:tab w:val="right" w:pos="14287" w:leader="none"/>
      </w:tabs>
      <w:spacing w:before="0" w:after="0"/>
    </w:pPr>
    <w:rPr/>
  </w:style>
  <w:style w:type="paragraph" w:styleId="Style23">
    <w:name w:val="Footnote Text"/>
    <w:basedOn w:val="Normal"/>
    <w:uiPriority w:val="99"/>
    <w:semiHidden/>
    <w:unhideWhenUsed/>
    <w:pPr>
      <w:spacing w:before="0" w:after="40"/>
    </w:pPr>
    <w:rPr>
      <w:sz w:val="18"/>
    </w:rPr>
  </w:style>
  <w:style w:type="paragraph" w:styleId="Style24">
    <w:name w:val="Endnote Text"/>
    <w:basedOn w:val="Normal"/>
    <w:uiPriority w:val="99"/>
    <w:semiHidden/>
    <w:unhideWhenUsed/>
    <w:pPr>
      <w:spacing w:before="0" w:after="0"/>
    </w:pPr>
    <w:rPr>
      <w:sz w:val="20"/>
    </w:rPr>
  </w:style>
  <w:style w:type="paragraph" w:styleId="11">
    <w:name w:val="TOC 1"/>
    <w:basedOn w:val="Normal"/>
    <w:uiPriority w:val="39"/>
    <w:unhideWhenUsed/>
    <w:pPr>
      <w:spacing w:before="0" w:after="57"/>
    </w:pPr>
    <w:rPr/>
  </w:style>
  <w:style w:type="paragraph" w:styleId="21">
    <w:name w:val="TOC 2"/>
    <w:basedOn w:val="Normal"/>
    <w:uiPriority w:val="39"/>
    <w:unhideWhenUsed/>
    <w:pPr>
      <w:spacing w:before="0" w:after="57"/>
      <w:ind w:left="283" w:hanging="0"/>
    </w:pPr>
    <w:rPr/>
  </w:style>
  <w:style w:type="paragraph" w:styleId="31">
    <w:name w:val="TOC 3"/>
    <w:basedOn w:val="Normal"/>
    <w:uiPriority w:val="39"/>
    <w:unhideWhenUsed/>
    <w:pPr>
      <w:spacing w:before="0" w:after="57"/>
      <w:ind w:left="567" w:hanging="0"/>
    </w:pPr>
    <w:rPr/>
  </w:style>
  <w:style w:type="paragraph" w:styleId="42">
    <w:name w:val="TOC 4"/>
    <w:basedOn w:val="Normal"/>
    <w:uiPriority w:val="39"/>
    <w:unhideWhenUsed/>
    <w:pPr>
      <w:spacing w:before="0" w:after="57"/>
      <w:ind w:left="850" w:hanging="0"/>
    </w:pPr>
    <w:rPr/>
  </w:style>
  <w:style w:type="paragraph" w:styleId="51">
    <w:name w:val="TOC 5"/>
    <w:basedOn w:val="Normal"/>
    <w:uiPriority w:val="39"/>
    <w:unhideWhenUsed/>
    <w:pPr>
      <w:spacing w:before="0" w:after="57"/>
      <w:ind w:left="1134" w:hanging="0"/>
    </w:pPr>
    <w:rPr/>
  </w:style>
  <w:style w:type="paragraph" w:styleId="61">
    <w:name w:val="TOC 6"/>
    <w:basedOn w:val="Normal"/>
    <w:uiPriority w:val="39"/>
    <w:unhideWhenUsed/>
    <w:pPr>
      <w:spacing w:before="0" w:after="57"/>
      <w:ind w:left="1417" w:hanging="0"/>
    </w:pPr>
    <w:rPr/>
  </w:style>
  <w:style w:type="paragraph" w:styleId="71">
    <w:name w:val="TOC 7"/>
    <w:basedOn w:val="Normal"/>
    <w:uiPriority w:val="39"/>
    <w:unhideWhenUsed/>
    <w:pPr>
      <w:spacing w:before="0" w:after="57"/>
      <w:ind w:left="1701" w:hanging="0"/>
    </w:pPr>
    <w:rPr/>
  </w:style>
  <w:style w:type="paragraph" w:styleId="81">
    <w:name w:val="TOC 8"/>
    <w:basedOn w:val="Normal"/>
    <w:uiPriority w:val="39"/>
    <w:unhideWhenUsed/>
    <w:pPr>
      <w:spacing w:before="0" w:after="57"/>
      <w:ind w:left="1984" w:hanging="0"/>
    </w:pPr>
    <w:rPr/>
  </w:style>
  <w:style w:type="paragraph" w:styleId="91">
    <w:name w:val="TOC 9"/>
    <w:basedOn w:val="Normal"/>
    <w:uiPriority w:val="39"/>
    <w:unhideWhenUsed/>
    <w:pPr>
      <w:spacing w:before="0" w:after="57"/>
      <w:ind w:left="2268" w:hanging="0"/>
    </w:pPr>
    <w:rPr/>
  </w:style>
  <w:style w:type="paragraph" w:styleId="Style25">
    <w:name w:val="Index Heading"/>
    <w:basedOn w:val="Style13"/>
    <w:pPr/>
    <w:rPr/>
  </w:style>
  <w:style w:type="paragraph" w:styleId="Style26">
    <w:name w:val="TOC Heading"/>
    <w:uiPriority w:val="39"/>
    <w:unhideWhenUsed/>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14:ligatures w14:val="standardContextual"/>
    </w:rPr>
  </w:style>
  <w:style w:type="paragraph" w:styleId="Tableoffigures">
    <w:name w:val="table of figures"/>
    <w:basedOn w:val="Normal"/>
    <w:uiPriority w:val="99"/>
    <w:unhideWhenUsed/>
    <w:qFormat/>
    <w:pPr>
      <w:spacing w:before="0" w:after="0"/>
    </w:pPr>
    <w:rPr/>
  </w:style>
  <w:style w:type="paragraph" w:styleId="ListParagraph">
    <w:name w:val="List Paragraph"/>
    <w:basedOn w:val="Normal"/>
    <w:uiPriority w:val="34"/>
    <w:qFormat/>
    <w:pPr>
      <w:spacing w:before="0" w:after="160"/>
      <w:ind w:left="720" w:hanging="0"/>
      <w:contextualSpacing/>
    </w:pPr>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paragraph" w:styleId="12" w:customStyle="1">
    <w:name w:val="Обычный1"/>
    <w:qFormat/>
    <w:pPr>
      <w:widowControl w:val="false"/>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14:ligatures w14:val="standardContextual"/>
    </w:rPr>
  </w:style>
  <w:style w:type="paragraph" w:styleId="211" w:customStyle="1">
    <w:name w:val="Основной текст с отступом 21"/>
    <w:basedOn w:val="12"/>
    <w:qFormat/>
    <w:pPr>
      <w:tabs>
        <w:tab w:val="clear" w:pos="708"/>
        <w:tab w:val="left" w:pos="720" w:leader="none"/>
      </w:tabs>
      <w:spacing w:before="57" w:after="0"/>
      <w:ind w:left="720" w:hanging="720"/>
      <w:jc w:val="both"/>
    </w:pPr>
    <w:rPr>
      <w:lang w:eastAsia="ar-SA"/>
    </w:rPr>
  </w:style>
  <w:style w:type="paragraph" w:styleId="Annotationtext">
    <w:name w:val="annotation text"/>
    <w:basedOn w:val="Normal"/>
    <w:link w:val="Style8"/>
    <w:uiPriority w:val="99"/>
    <w:semiHidden/>
    <w:unhideWhenUsed/>
    <w:qFormat/>
    <w:rsid w:val="00b400be"/>
    <w:pPr/>
    <w:rPr>
      <w:sz w:val="20"/>
      <w:szCs w:val="20"/>
    </w:rPr>
  </w:style>
  <w:style w:type="paragraph" w:styleId="Annotationsubject">
    <w:name w:val="annotation subject"/>
    <w:basedOn w:val="Annotationtext"/>
    <w:next w:val="Annotationtext"/>
    <w:link w:val="Style9"/>
    <w:uiPriority w:val="99"/>
    <w:semiHidden/>
    <w:unhideWhenUsed/>
    <w:qFormat/>
    <w:rsid w:val="00b400be"/>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Application>LibreOffice/7.3.6.2$Linux_X86_64 LibreOffice_project/30$Build-2</Application>
  <AppVersion>15.0000</AppVersion>
  <Pages>3</Pages>
  <Words>702</Words>
  <Characters>5124</Characters>
  <CharactersWithSpaces>5765</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2025-05-26T09:46:00Z</dcterms:created>
  <dc:creator>user</dc:creator>
  <dc:description/>
  <dc:language>ru-RU</dc:language>
  <cp:lastModifiedBy/>
  <dcterms:modified xsi:type="dcterms:W3CDTF">2026-07-23T15:52:07Z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