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933A83">
        <w:t>13</w:t>
      </w:r>
      <w:r>
        <w:t>»</w:t>
      </w:r>
      <w:r w:rsidR="00AB6DF7">
        <w:t xml:space="preserve"> </w:t>
      </w:r>
      <w:r w:rsidR="00933A83">
        <w:t>июля</w:t>
      </w:r>
      <w:r>
        <w:t xml:space="preserve"> 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933A83">
        <w:t>10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3225C">
        <w:t xml:space="preserve"> </w:t>
      </w:r>
      <w:r w:rsidR="004028D5" w:rsidRPr="00991282">
        <w:t>«</w:t>
      </w:r>
      <w:r w:rsidR="0053225C">
        <w:t>3</w:t>
      </w:r>
      <w:r w:rsidR="00B03376">
        <w:t>1</w:t>
      </w:r>
      <w:r w:rsidR="00991282" w:rsidRPr="00991282">
        <w:t xml:space="preserve">» </w:t>
      </w:r>
      <w:r w:rsidR="00D53A00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p w:rsidR="00D53A00" w:rsidRDefault="00D53A00" w:rsidP="00D53A00">
      <w:pPr>
        <w:tabs>
          <w:tab w:val="left" w:pos="6285"/>
        </w:tabs>
        <w:spacing w:after="0"/>
        <w:rPr>
          <w:b/>
        </w:rPr>
      </w:pPr>
      <w:r>
        <w:t xml:space="preserve">             </w:t>
      </w:r>
      <w:r w:rsidRPr="00C72F72">
        <w:t>ЗАКАЗЧИК</w:t>
      </w:r>
      <w:r>
        <w:tab/>
        <w:t>ИСПОЛНИТЕЛЬ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D53A00" w:rsidRPr="00C72F72" w:rsidTr="00952E2F">
        <w:trPr>
          <w:trHeight w:val="3538"/>
        </w:trPr>
        <w:tc>
          <w:tcPr>
            <w:tcW w:w="5245" w:type="dxa"/>
          </w:tcPr>
          <w:p w:rsidR="00D53A00" w:rsidRPr="00976F5C" w:rsidRDefault="00D53A00" w:rsidP="00976F5C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D53A00" w:rsidRPr="00C72F72" w:rsidRDefault="00D53A00" w:rsidP="00D53A00">
            <w:pPr>
              <w:tabs>
                <w:tab w:val="center" w:pos="2413"/>
              </w:tabs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354008, г. Сочи, ул. </w:t>
            </w:r>
            <w:proofErr w:type="gramStart"/>
            <w:r w:rsidRPr="00C72F72">
              <w:rPr>
                <w:rFonts w:eastAsia="Calibri"/>
                <w:sz w:val="22"/>
                <w:szCs w:val="22"/>
                <w:lang w:eastAsia="zh-CN"/>
              </w:rPr>
              <w:t>Виноградная</w:t>
            </w:r>
            <w:proofErr w:type="gramEnd"/>
            <w:r w:rsidRPr="00C72F72">
              <w:rPr>
                <w:rFonts w:eastAsia="Calibri"/>
                <w:sz w:val="22"/>
                <w:szCs w:val="22"/>
                <w:lang w:eastAsia="zh-CN"/>
              </w:rPr>
              <w:t>, 53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Тел.: (8622) 90-72-02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C72F72">
              <w:rPr>
                <w:rFonts w:eastAsia="Calibri"/>
                <w:sz w:val="22"/>
                <w:szCs w:val="22"/>
                <w:lang w:val="en-US" w:eastAsia="zh-CN"/>
              </w:rPr>
              <w:t xml:space="preserve">e-mail: omts@sochi-raduga.ru  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ОГРН 1022302934873, ИНН 2320095012 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КПП 232001001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40102810745370000024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получателя (номер казначейского счета)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03214643000000013241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БИК банка 012202102</w:t>
            </w:r>
          </w:p>
          <w:p w:rsidR="00D53A00" w:rsidRPr="00C72F72" w:rsidRDefault="00D53A00" w:rsidP="00952E2F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D53A00" w:rsidRPr="00C72F72" w:rsidRDefault="00D53A00" w:rsidP="00952E2F">
            <w:pPr>
              <w:rPr>
                <w:rFonts w:eastAsia="Calibri"/>
                <w:bCs/>
                <w:iCs/>
                <w:sz w:val="22"/>
                <w:szCs w:val="22"/>
              </w:rPr>
            </w:pPr>
            <w:proofErr w:type="gramStart"/>
            <w:r w:rsidRPr="00C72F72">
              <w:rPr>
                <w:rFonts w:eastAsia="Calibri"/>
                <w:bCs/>
                <w:iCs/>
                <w:sz w:val="22"/>
                <w:szCs w:val="22"/>
              </w:rPr>
              <w:t>л</w:t>
            </w:r>
            <w:proofErr w:type="gramEnd"/>
            <w:r w:rsidRPr="00C72F72">
              <w:rPr>
                <w:rFonts w:eastAsia="Calibri"/>
                <w:bCs/>
                <w:iCs/>
                <w:sz w:val="22"/>
                <w:szCs w:val="22"/>
              </w:rPr>
              <w:t>/счет 21186У07130</w:t>
            </w:r>
          </w:p>
          <w:p w:rsidR="00D53A00" w:rsidRPr="00C72F72" w:rsidRDefault="00D53A00" w:rsidP="00952E2F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  <w:p w:rsidR="00D53A00" w:rsidRPr="00C72F72" w:rsidRDefault="00D53A00" w:rsidP="00952E2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  <w:p w:rsidR="00D53A00" w:rsidRPr="00C72F72" w:rsidRDefault="00D53A00" w:rsidP="00952E2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C72F72">
              <w:rPr>
                <w:rFonts w:eastAsia="Calibri"/>
                <w:b/>
                <w:bCs/>
                <w:iCs/>
                <w:sz w:val="22"/>
                <w:szCs w:val="22"/>
              </w:rPr>
              <w:lastRenderedPageBreak/>
              <w:t xml:space="preserve">Заместитель генерального директора по планово-экономической работе </w:t>
            </w:r>
          </w:p>
          <w:p w:rsidR="00D53A00" w:rsidRPr="00C72F72" w:rsidRDefault="00D53A00" w:rsidP="00952E2F">
            <w:pPr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C72F72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                                    </w:t>
            </w: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  <w:r w:rsidRPr="00C72F72">
              <w:rPr>
                <w:rFonts w:eastAsia="Calibri"/>
                <w:b/>
                <w:bCs/>
                <w:iCs/>
                <w:sz w:val="22"/>
                <w:szCs w:val="22"/>
              </w:rPr>
              <w:t>________________ Н.Е. Герасимова</w:t>
            </w:r>
          </w:p>
        </w:tc>
        <w:tc>
          <w:tcPr>
            <w:tcW w:w="4928" w:type="dxa"/>
          </w:tcPr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rPr>
                <w:b/>
                <w:bCs/>
                <w:iCs/>
                <w:color w:val="000000"/>
              </w:rPr>
            </w:pPr>
          </w:p>
          <w:p w:rsidR="00D53A00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/>
                <w:bCs/>
                <w:color w:val="000000"/>
              </w:rPr>
            </w:pPr>
          </w:p>
          <w:p w:rsidR="00D53A00" w:rsidRPr="00C72F72" w:rsidRDefault="00D53A00" w:rsidP="00952E2F">
            <w:pPr>
              <w:suppressAutoHyphens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</w:t>
            </w:r>
            <w:r w:rsidRPr="00C72F72">
              <w:rPr>
                <w:b/>
                <w:bCs/>
                <w:color w:val="000000"/>
              </w:rPr>
              <w:t>________________ /_______________ 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D53A00" w:rsidRDefault="00D53A00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933A83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13</w:t>
      </w:r>
      <w:bookmarkStart w:id="0" w:name="_GoBack"/>
      <w:bookmarkEnd w:id="0"/>
      <w:r w:rsidR="0053225C">
        <w:rPr>
          <w:b/>
          <w:bCs/>
          <w:color w:val="000000"/>
          <w:kern w:val="2"/>
          <w:lang w:bidi="hi-IN"/>
        </w:rPr>
        <w:t>.0</w:t>
      </w:r>
      <w:r w:rsidR="0008104C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694D66">
        <w:rPr>
          <w:b/>
          <w:bCs/>
          <w:color w:val="000000"/>
        </w:rPr>
        <w:t>понедельник</w:t>
      </w:r>
    </w:p>
    <w:p w:rsidR="00694D66" w:rsidRDefault="00694D66" w:rsidP="00694D66">
      <w:pPr>
        <w:jc w:val="center"/>
      </w:pPr>
      <w:r>
        <w:rPr>
          <w:color w:val="000000"/>
        </w:rPr>
        <w:t>Салат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к</w:t>
      </w:r>
      <w:r w:rsidRPr="00624B2A">
        <w:rPr>
          <w:color w:val="000000"/>
        </w:rPr>
        <w:t>рабовый с рисом и св. огурцом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Флорида</w:t>
      </w:r>
      <w:r>
        <w:rPr>
          <w:color w:val="000000"/>
        </w:rPr>
        <w:t>»</w:t>
      </w:r>
      <w:r w:rsidRPr="00624B2A">
        <w:rPr>
          <w:color w:val="000000"/>
        </w:rPr>
        <w:t xml:space="preserve"> (курица,</w:t>
      </w:r>
      <w:r>
        <w:rPr>
          <w:color w:val="000000"/>
        </w:rPr>
        <w:t xml:space="preserve"> </w:t>
      </w:r>
      <w:r w:rsidRPr="00624B2A">
        <w:rPr>
          <w:color w:val="000000"/>
        </w:rPr>
        <w:t>апельсин,</w:t>
      </w:r>
      <w:r>
        <w:rPr>
          <w:color w:val="000000"/>
        </w:rPr>
        <w:t xml:space="preserve"> </w:t>
      </w:r>
      <w:r w:rsidRPr="00624B2A">
        <w:rPr>
          <w:color w:val="000000"/>
        </w:rPr>
        <w:t>овощи)</w:t>
      </w:r>
    </w:p>
    <w:p w:rsidR="00694D66" w:rsidRDefault="00694D66" w:rsidP="00694D66">
      <w:pPr>
        <w:jc w:val="center"/>
      </w:pPr>
      <w:r>
        <w:rPr>
          <w:color w:val="000000"/>
        </w:rPr>
        <w:t>Первые блюда на выбор</w:t>
      </w:r>
    </w:p>
    <w:p w:rsidR="00694D66" w:rsidRDefault="00694D66" w:rsidP="00694D66">
      <w:r>
        <w:rPr>
          <w:color w:val="000000"/>
        </w:rPr>
        <w:t xml:space="preserve">Бульон мясной/ яйцо отварное/ сухарики/ зелень </w:t>
      </w:r>
    </w:p>
    <w:p w:rsidR="00694D66" w:rsidRDefault="00694D66" w:rsidP="00694D66">
      <w:r>
        <w:rPr>
          <w:color w:val="000000"/>
        </w:rPr>
        <w:t xml:space="preserve">Суп лапша куриная </w:t>
      </w:r>
    </w:p>
    <w:p w:rsidR="00694D66" w:rsidRDefault="00694D66" w:rsidP="00694D66">
      <w:r>
        <w:rPr>
          <w:color w:val="000000"/>
        </w:rPr>
        <w:t xml:space="preserve">Борщ зеленый со шпинатом и яйцом/ сметана </w:t>
      </w:r>
    </w:p>
    <w:p w:rsidR="00694D66" w:rsidRDefault="00694D66" w:rsidP="00694D66">
      <w:pPr>
        <w:jc w:val="center"/>
      </w:pPr>
      <w:r>
        <w:rPr>
          <w:color w:val="000000"/>
        </w:rPr>
        <w:t>Горячие блюда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Грудка куриная отварная</w:t>
      </w:r>
    </w:p>
    <w:p w:rsidR="00694D66" w:rsidRPr="008D0A70" w:rsidRDefault="00694D66" w:rsidP="00694D66">
      <w:pPr>
        <w:suppressAutoHyphens w:val="0"/>
        <w:rPr>
          <w:color w:val="000000"/>
        </w:rPr>
      </w:pPr>
      <w:r w:rsidRPr="00624B2A">
        <w:rPr>
          <w:color w:val="000000"/>
        </w:rPr>
        <w:t>Говядина тушеная с черносливом</w:t>
      </w:r>
    </w:p>
    <w:p w:rsidR="00694D66" w:rsidRDefault="00694D66" w:rsidP="00694D66">
      <w:pPr>
        <w:jc w:val="center"/>
      </w:pPr>
      <w:r>
        <w:rPr>
          <w:color w:val="000000"/>
        </w:rPr>
        <w:t>Гарнир на выбор</w:t>
      </w:r>
    </w:p>
    <w:p w:rsidR="00694D66" w:rsidRDefault="00694D66" w:rsidP="00694D66">
      <w:r>
        <w:rPr>
          <w:color w:val="000000"/>
        </w:rPr>
        <w:t xml:space="preserve">Овощи на пару (цветная капуста и брокколи) </w:t>
      </w:r>
    </w:p>
    <w:p w:rsidR="00694D66" w:rsidRDefault="00694D66" w:rsidP="00694D66">
      <w:r>
        <w:rPr>
          <w:color w:val="000000"/>
        </w:rPr>
        <w:t xml:space="preserve">Каша гречневая отварная </w:t>
      </w:r>
    </w:p>
    <w:p w:rsidR="00694D66" w:rsidRDefault="00694D66" w:rsidP="00694D66">
      <w:pPr>
        <w:jc w:val="center"/>
      </w:pPr>
      <w:r>
        <w:rPr>
          <w:color w:val="000000"/>
        </w:rPr>
        <w:t>Хлеб и выпечка</w:t>
      </w:r>
    </w:p>
    <w:p w:rsidR="00694D66" w:rsidRDefault="00694D66" w:rsidP="00694D6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694D66" w:rsidRDefault="00694D66" w:rsidP="00694D66">
      <w:r>
        <w:rPr>
          <w:color w:val="000000"/>
        </w:rPr>
        <w:t>Сдобная дрожжевая булочка</w:t>
      </w:r>
    </w:p>
    <w:p w:rsidR="00694D66" w:rsidRDefault="00694D66" w:rsidP="00694D66">
      <w:pPr>
        <w:jc w:val="center"/>
      </w:pPr>
      <w:r>
        <w:rPr>
          <w:color w:val="000000"/>
        </w:rPr>
        <w:t>Соуса</w:t>
      </w:r>
    </w:p>
    <w:p w:rsidR="00694D66" w:rsidRDefault="00694D66" w:rsidP="00694D66">
      <w:r>
        <w:rPr>
          <w:color w:val="000000"/>
        </w:rPr>
        <w:t>Кетчуп / Майонез/ Горчица</w:t>
      </w:r>
    </w:p>
    <w:p w:rsidR="00694D66" w:rsidRDefault="00694D66" w:rsidP="00694D66">
      <w:pPr>
        <w:jc w:val="center"/>
      </w:pPr>
      <w:r>
        <w:rPr>
          <w:color w:val="000000"/>
        </w:rPr>
        <w:t>Напитки</w:t>
      </w:r>
    </w:p>
    <w:p w:rsidR="00694D66" w:rsidRDefault="00694D66" w:rsidP="00694D66">
      <w:r>
        <w:rPr>
          <w:color w:val="000000"/>
        </w:rPr>
        <w:t>Компот из фруктов с сахаром</w:t>
      </w:r>
    </w:p>
    <w:p w:rsidR="00694D66" w:rsidRDefault="00694D66" w:rsidP="00694D6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694D66" w:rsidRDefault="00694D66" w:rsidP="00694D6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694D66" w:rsidRDefault="00694D66" w:rsidP="00694D66">
      <w:pPr>
        <w:rPr>
          <w:color w:val="000000"/>
        </w:rPr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104C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B7FA0"/>
    <w:rsid w:val="004D47B8"/>
    <w:rsid w:val="004E0C97"/>
    <w:rsid w:val="00500303"/>
    <w:rsid w:val="0053225C"/>
    <w:rsid w:val="00542697"/>
    <w:rsid w:val="00556664"/>
    <w:rsid w:val="00565C6F"/>
    <w:rsid w:val="005E4E14"/>
    <w:rsid w:val="00652B2F"/>
    <w:rsid w:val="006541C3"/>
    <w:rsid w:val="006572D0"/>
    <w:rsid w:val="00662CBE"/>
    <w:rsid w:val="00694D66"/>
    <w:rsid w:val="006E55DF"/>
    <w:rsid w:val="00721F38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32C7B"/>
    <w:rsid w:val="00933A83"/>
    <w:rsid w:val="00963567"/>
    <w:rsid w:val="00976F5C"/>
    <w:rsid w:val="009863D3"/>
    <w:rsid w:val="00991282"/>
    <w:rsid w:val="009A18CB"/>
    <w:rsid w:val="00A05C27"/>
    <w:rsid w:val="00A140B1"/>
    <w:rsid w:val="00A4637B"/>
    <w:rsid w:val="00A55362"/>
    <w:rsid w:val="00A72846"/>
    <w:rsid w:val="00A72FD4"/>
    <w:rsid w:val="00AB6DF7"/>
    <w:rsid w:val="00AC2C4D"/>
    <w:rsid w:val="00B03376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53A00"/>
    <w:rsid w:val="00D82876"/>
    <w:rsid w:val="00DA252E"/>
    <w:rsid w:val="00DB1F1C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6DBC-C638-449C-8253-298BF68A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38</cp:revision>
  <cp:lastPrinted>2025-09-19T05:40:00Z</cp:lastPrinted>
  <dcterms:created xsi:type="dcterms:W3CDTF">2023-02-22T07:40:00Z</dcterms:created>
  <dcterms:modified xsi:type="dcterms:W3CDTF">2026-06-22T13:07:00Z</dcterms:modified>
  <dc:language>ru-RU</dc:language>
</cp:coreProperties>
</file>