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Д</w:t>
      </w:r>
      <w:bookmarkEnd w:id="0"/>
      <w:r>
        <w:rPr>
          <w:b/>
          <w:bCs/>
        </w:rPr>
        <w:t xml:space="preserve">оговор № </w:t>
      </w:r>
      <w:r>
        <w:rPr>
          <w:b/>
          <w:bCs/>
        </w:rPr>
        <w:t>14</w:t>
      </w:r>
      <w:r>
        <w:rPr>
          <w:b/>
          <w:bCs/>
        </w:rPr>
        <w:t>/26-223</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xml:space="preserve">«      » </w:t>
      </w:r>
      <w:r>
        <w:rPr/>
        <w:t xml:space="preserve">июня </w:t>
      </w:r>
      <w:r>
        <w:rPr/>
        <w:t>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w:t>
      </w:r>
      <w:r>
        <w:rPr>
          <w:rFonts w:eastAsia="Times New Roman" w:cs="Times New Roman"/>
          <w:color w:val="auto"/>
          <w:kern w:val="0"/>
          <w:sz w:val="20"/>
          <w:szCs w:val="20"/>
          <w:lang w:val="ru-RU" w:eastAsia="ru-RU" w:bidi="ar-SA"/>
        </w:rPr>
        <w:t xml:space="preserve">пп. 54 п.1 раздела 2  главы IV Положения о закупки от 11.12.2023  </w:t>
      </w:r>
      <w:r>
        <w:rPr/>
        <w:t>заключили настоящий Договор о нижеследующем:</w:t>
      </w:r>
    </w:p>
    <w:p>
      <w:pPr>
        <w:pStyle w:val="Normal"/>
        <w:jc w:val="both"/>
        <w:rPr/>
      </w:pPr>
      <w:r>
        <w:rPr/>
      </w:r>
    </w:p>
    <w:p>
      <w:pPr>
        <w:pStyle w:val="Normal"/>
        <w:spacing w:before="0" w:after="60"/>
        <w:jc w:val="center"/>
        <w:rPr>
          <w:b/>
          <w:bCs/>
        </w:rPr>
      </w:pPr>
      <w:r>
        <w:rPr>
          <w:b/>
        </w:rPr>
        <w:t xml:space="preserve">Договор 1. Предмет </w:t>
      </w:r>
      <w:r>
        <w:rPr>
          <w:b/>
          <w:bCs/>
        </w:rPr>
        <w:t>Договора</w:t>
      </w:r>
    </w:p>
    <w:p>
      <w:pPr>
        <w:pStyle w:val="Normal"/>
        <w:numPr>
          <w:ilvl w:val="0"/>
          <w:numId w:val="0"/>
        </w:numPr>
        <w:ind w:hanging="0" w:left="0"/>
        <w:jc w:val="both"/>
        <w:outlineLvl w:val="0"/>
        <w:rPr>
          <w:b/>
          <w:bCs/>
        </w:rPr>
      </w:pPr>
      <w:r>
        <w:rPr/>
        <w:t xml:space="preserve">1.1. Поставщик по настоящему </w:t>
      </w:r>
      <w:r>
        <w:rPr>
          <w:bCs/>
        </w:rPr>
        <w:t>Договору</w:t>
      </w:r>
      <w:r>
        <w:rPr/>
        <w:t xml:space="preserve"> обязуется поставить товар:</w:t>
      </w:r>
      <w:bookmarkStart w:id="3" w:name="_Hlk174882135"/>
      <w:r>
        <w:rPr>
          <w:rFonts w:eastAsia="Times New Roman" w:cs="Times New Roman"/>
          <w:color w:val="auto"/>
          <w:kern w:val="0"/>
          <w:sz w:val="20"/>
          <w:szCs w:val="20"/>
          <w:lang w:val="ru-RU" w:eastAsia="ru-RU" w:bidi="ar-SA"/>
        </w:rPr>
        <w:t xml:space="preserve"> </w:t>
      </w:r>
      <w:bookmarkEnd w:id="3"/>
      <w:r>
        <w:rPr>
          <w:rFonts w:eastAsia="Times New Roman" w:cs="Times New Roman"/>
          <w:b/>
          <w:bCs/>
          <w:color w:val="auto"/>
          <w:kern w:val="0"/>
          <w:sz w:val="20"/>
          <w:szCs w:val="20"/>
          <w:lang w:val="ru-RU" w:eastAsia="ru-RU" w:bidi="ar-SA"/>
        </w:rPr>
        <w:t>медицинский расходный материал</w:t>
      </w:r>
      <w:r>
        <w:rPr>
          <w:rFonts w:eastAsia="Times New Roman" w:cs="Times New Roman"/>
          <w:color w:val="auto"/>
          <w:kern w:val="0"/>
          <w:sz w:val="20"/>
          <w:szCs w:val="20"/>
          <w:lang w:val="ru-RU" w:eastAsia="ru-RU" w:bidi="ar-SA"/>
        </w:rPr>
        <w:t xml:space="preserve"> и п</w:t>
      </w:r>
      <w:r>
        <w:rPr/>
        <w:t xml:space="preserve">ередать его Заказчику, а Заказчик по-настоящему </w:t>
      </w:r>
      <w:r>
        <w:rPr>
          <w:bCs/>
        </w:rPr>
        <w:t>Договор у</w:t>
      </w:r>
      <w:r>
        <w:rPr/>
        <w:t xml:space="preserve"> обязуется принять и оплатить поставленный Поставщиком Товар, в соответствии с условиями, установленными настоящим Договором. Наименование и количество Товара устанавливается в спецификации (Приложение №1 к настоящему </w:t>
      </w:r>
      <w:r>
        <w:rPr>
          <w:bCs/>
        </w:rPr>
        <w:t>Договору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Договора и порядок расчетов</w:t>
      </w:r>
    </w:p>
    <w:p>
      <w:pPr>
        <w:pStyle w:val="CommentText"/>
        <w:rPr/>
      </w:pPr>
      <w:r>
        <w:rPr/>
        <w:t xml:space="preserve">2.1. Цена Договора составляет </w:t>
      </w:r>
      <w:r>
        <w:rPr>
          <w:b/>
          <w:bCs/>
        </w:rPr>
        <w:t>________</w:t>
      </w:r>
      <w:r>
        <w:rPr/>
        <w:t xml:space="preserve"> рублей (__________ руб. ___ копеек).  НДС _________ руб. </w:t>
      </w:r>
      <w:r>
        <w:rPr>
          <w:bCs/>
        </w:rPr>
        <w:t xml:space="preserve"> </w:t>
      </w:r>
      <w:r>
        <w:rPr/>
        <w:t xml:space="preserve">Цена Договора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Договора. указанная в п. 2.1 не подлежит изменению и включает в себя НДС. Поставщик не вправе предъявлять к оплате суммы сверх установленной в п. 2.1 Договора.</w:t>
      </w:r>
    </w:p>
    <w:p>
      <w:pPr>
        <w:pStyle w:val="Normal"/>
        <w:widowControl w:val="false"/>
        <w:jc w:val="both"/>
        <w:rPr/>
      </w:pPr>
      <w:r>
        <w:rPr/>
        <w:t>2.3. Цена Договора является твердой и определяется на весь срок исполнения Договора.  В случае изменения законодательства Российской Федерации в отношении условий налогообложения Поставщика цена Договора не подлежит изменяю и включает в себя НДС. Поставщик не вправе предъявлять к оплате сумма сверх установленной в п. 2.1 Договора.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Договору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Договору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 xml:space="preserve">средства гранта № </w:t>
      </w:r>
      <w:r>
        <w:rPr>
          <w:rFonts w:eastAsia="Calibri"/>
        </w:rPr>
        <w:t xml:space="preserve"> </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Договору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Договора, Спецификации (Приложение № 1 к Договору).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Договора,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Договору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Договора.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Договором.  3.2.4 Требовать уплаты неустойки (штрафа, пени) в соответствии с разделом 8 Договора.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Договору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Договору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Договором срок, надлежаще оформленные документы, предусмотренные Договором.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Договором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Договору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4.1. Поставка товара осуществляется в течение 30 (тридцать) календарных дней со дня заключения Договора.</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(трех) рабочих дней, следующих за днем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Договора.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Договора,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Договору.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Договора;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Договора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 Под ненадлежащим исполнение условий настоящего Договора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Договором,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Договору.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Договором,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Договор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начисляются штрафы. Размер штрафа устанавливается настоящим Договором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начисляются штрафы. Размер штрафа устанавливается настоящим Договором в виде фиксированной суммы </w:t>
      </w:r>
      <w:r>
        <w:rPr>
          <w:b/>
          <w:bCs/>
          <w:highlight w:val="yellow"/>
        </w:rPr>
        <w:t>_____________</w:t>
      </w:r>
      <w:r>
        <w:rPr/>
        <w:t xml:space="preserve"> руб. и составляет 10% от цены настоящего Договора.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Договору.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Договора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Договор вступает в силу с момента заключения и действует до 30.09.2026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Договора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Договора от исполнения Договора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Договора в соответствии с действующим законодательством. В случае задержки поставки товара на 15 дней и более Заказчик имеет право расторгнуть Договор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Договору,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Договору,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Договору,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Договора (Договора,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Договор,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pPr>
        <w:pStyle w:val="Normal"/>
        <w:tabs>
          <w:tab w:val="clear" w:pos="708"/>
          <w:tab w:val="left" w:pos="540" w:leader="none"/>
        </w:tabs>
        <w:ind w:right="-142"/>
        <w:rPr/>
      </w:pPr>
      <w:r>
        <w:rPr/>
        <w:t>Любые приложения, изменения и дополнения к настоящему Договору действительны и являются неотъемлемой частью настоящего Договора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Договора в виде электронного документа с использованием ЭП не является препятствием для подписания дополнительных соглашений к Договору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Договора, с нарушением конфиденциальности соответствующего ключа не освобождает сторону Договора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Договор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Normal"/>
              <w:widowControl/>
              <w:overflowPunct w:val="tru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true"/>
              <w:spacing w:before="0" w:after="0"/>
              <w:jc w:val="left"/>
              <w:textAlignment w:val="auto"/>
              <w:rPr>
                <w:szCs w:val="24"/>
              </w:rPr>
            </w:pPr>
            <w:r>
              <w:rPr>
                <w:szCs w:val="24"/>
              </w:rPr>
              <w:t>ИНН 4205012290  КПП 420501001</w:t>
            </w:r>
          </w:p>
          <w:p>
            <w:pPr>
              <w:pStyle w:val="Normal"/>
              <w:widowControl/>
              <w:overflowPunct w:val="true"/>
              <w:spacing w:before="0" w:after="0"/>
              <w:jc w:val="left"/>
              <w:textAlignment w:val="auto"/>
              <w:rPr>
                <w:szCs w:val="24"/>
              </w:rPr>
            </w:pPr>
            <w:r>
              <w:rPr>
                <w:szCs w:val="24"/>
              </w:rPr>
              <w:t>р/с 03214643000000015106</w:t>
            </w:r>
          </w:p>
          <w:p>
            <w:pPr>
              <w:pStyle w:val="Normal"/>
              <w:widowControl/>
              <w:overflowPunct w:val="tru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true"/>
              <w:spacing w:before="0" w:after="0"/>
              <w:jc w:val="left"/>
              <w:textAlignment w:val="auto"/>
              <w:rPr>
                <w:szCs w:val="24"/>
              </w:rPr>
            </w:pPr>
            <w:r>
              <w:rPr>
                <w:szCs w:val="24"/>
              </w:rPr>
              <w:t>БИК 015004950</w:t>
            </w:r>
          </w:p>
          <w:p>
            <w:pPr>
              <w:pStyle w:val="Normal"/>
              <w:widowControl/>
              <w:overflowPunct w:val="true"/>
              <w:spacing w:before="0" w:after="0"/>
              <w:jc w:val="left"/>
              <w:textAlignment w:val="auto"/>
              <w:rPr>
                <w:szCs w:val="24"/>
              </w:rPr>
            </w:pPr>
            <w:r>
              <w:rPr>
                <w:szCs w:val="24"/>
              </w:rPr>
              <w:t>к/с 40102810445370000043</w:t>
            </w:r>
          </w:p>
          <w:p>
            <w:pPr>
              <w:pStyle w:val="Normal"/>
              <w:widowControl/>
              <w:overflowPunct w:val="tru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true"/>
              <w:spacing w:before="0" w:after="0"/>
              <w:jc w:val="left"/>
              <w:textAlignment w:val="auto"/>
              <w:rPr>
                <w:szCs w:val="24"/>
              </w:rPr>
            </w:pPr>
            <w:r>
              <w:rPr>
                <w:szCs w:val="24"/>
              </w:rPr>
              <w:t>ОГРН 1034205024479</w:t>
            </w:r>
          </w:p>
          <w:p>
            <w:pPr>
              <w:pStyle w:val="Normal"/>
              <w:widowControl/>
              <w:overflowPunct w:val="true"/>
              <w:spacing w:before="0" w:after="0"/>
              <w:jc w:val="left"/>
              <w:textAlignment w:val="auto"/>
              <w:rPr>
                <w:szCs w:val="24"/>
              </w:rPr>
            </w:pPr>
            <w:r>
              <w:rPr>
                <w:szCs w:val="24"/>
              </w:rPr>
              <w:t>ОКПО 55608705</w:t>
            </w:r>
          </w:p>
          <w:p>
            <w:pPr>
              <w:pStyle w:val="Normal"/>
              <w:widowControl/>
              <w:overflowPunct w:val="true"/>
              <w:spacing w:before="0" w:after="0"/>
              <w:jc w:val="left"/>
              <w:textAlignment w:val="auto"/>
              <w:rPr>
                <w:szCs w:val="24"/>
              </w:rPr>
            </w:pPr>
            <w:r>
              <w:rPr>
                <w:szCs w:val="24"/>
              </w:rPr>
              <w:t>ОКАТО 32401000000</w:t>
            </w:r>
          </w:p>
          <w:p>
            <w:pPr>
              <w:pStyle w:val="Normal"/>
              <w:widowControl/>
              <w:overflowPunct w:val="true"/>
              <w:spacing w:before="0" w:after="0"/>
              <w:jc w:val="left"/>
              <w:textAlignment w:val="auto"/>
              <w:rPr>
                <w:szCs w:val="24"/>
              </w:rPr>
            </w:pPr>
            <w:r>
              <w:rPr>
                <w:szCs w:val="24"/>
              </w:rPr>
              <w:t>ОКТМО 32701000</w:t>
            </w:r>
          </w:p>
          <w:p>
            <w:pPr>
              <w:pStyle w:val="Normal"/>
              <w:widowControl/>
              <w:overflowPunct w:val="true"/>
              <w:spacing w:before="0" w:after="0"/>
              <w:jc w:val="left"/>
              <w:textAlignment w:val="auto"/>
              <w:rPr>
                <w:szCs w:val="24"/>
              </w:rPr>
            </w:pPr>
            <w:r>
              <w:rPr>
                <w:szCs w:val="24"/>
              </w:rPr>
              <w:t>ОКОГУ 1330612</w:t>
            </w:r>
          </w:p>
          <w:p>
            <w:pPr>
              <w:pStyle w:val="Normal"/>
              <w:widowControl/>
              <w:overflowPunct w:val="true"/>
              <w:spacing w:before="0" w:after="0"/>
              <w:jc w:val="left"/>
              <w:textAlignment w:val="auto"/>
              <w:rPr>
                <w:szCs w:val="24"/>
              </w:rPr>
            </w:pPr>
            <w:r>
              <w:rPr>
                <w:szCs w:val="24"/>
              </w:rPr>
              <w:t>ОКФС 12</w:t>
            </w:r>
          </w:p>
          <w:p>
            <w:pPr>
              <w:pStyle w:val="Normal"/>
              <w:widowControl/>
              <w:overflowPunct w:val="true"/>
              <w:spacing w:before="0" w:after="0"/>
              <w:jc w:val="left"/>
              <w:textAlignment w:val="auto"/>
              <w:rPr>
                <w:szCs w:val="24"/>
              </w:rPr>
            </w:pPr>
            <w:r>
              <w:rPr>
                <w:szCs w:val="24"/>
              </w:rPr>
              <w:t>ОКОПФ 75103</w:t>
            </w:r>
          </w:p>
          <w:p>
            <w:pPr>
              <w:pStyle w:val="Normal"/>
              <w:widowControl/>
              <w:overflowPunct w:val="true"/>
              <w:spacing w:before="0" w:after="0"/>
              <w:jc w:val="left"/>
              <w:textAlignment w:val="auto"/>
              <w:rPr>
                <w:szCs w:val="24"/>
              </w:rPr>
            </w:pPr>
            <w:r>
              <w:rPr>
                <w:szCs w:val="24"/>
              </w:rPr>
            </w:r>
          </w:p>
          <w:p>
            <w:pPr>
              <w:pStyle w:val="Normal"/>
              <w:jc w:val="both"/>
              <w:rPr/>
            </w:pPr>
            <w:r>
              <w:rPr/>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Договору </w:t>
      </w:r>
      <w:r>
        <w:rPr>
          <w:b/>
          <w:bCs/>
        </w:rPr>
        <w:t>№</w:t>
      </w:r>
      <w:r>
        <w:rPr>
          <w:b/>
          <w:bCs/>
        </w:rPr>
        <w:t>14</w:t>
      </w:r>
      <w:r>
        <w:rPr>
          <w:b/>
          <w:bCs/>
        </w:rPr>
        <w:t>/26-</w:t>
      </w:r>
      <w:r>
        <w:rPr>
          <w:b/>
          <w:bCs/>
        </w:rPr>
        <w:t>223</w:t>
      </w:r>
    </w:p>
    <w:p>
      <w:pPr>
        <w:pStyle w:val="Normal"/>
        <w:spacing w:before="0" w:after="60"/>
        <w:jc w:val="right"/>
        <w:rPr>
          <w:b/>
          <w:bCs/>
        </w:rPr>
      </w:pPr>
      <w:r>
        <w:rPr/>
        <w:t xml:space="preserve">                                                                                                                                </w:t>
      </w:r>
      <w:r>
        <w:rPr>
          <w:rFonts w:eastAsia="Calibri"/>
          <w:lang w:eastAsia="en-US"/>
        </w:rPr>
        <w:t xml:space="preserve">«      » </w:t>
      </w:r>
      <w:r>
        <w:rPr>
          <w:rFonts w:eastAsia="Calibri"/>
          <w:lang w:eastAsia="en-US"/>
        </w:rPr>
        <w:t xml:space="preserve">июня </w:t>
      </w:r>
      <w:r>
        <w:rPr>
          <w:rFonts w:eastAsia="Calibri"/>
          <w:lang w:eastAsia="en-US"/>
        </w:rPr>
        <w:t xml:space="preserve">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00"/>
        <w:gridCol w:w="25"/>
        <w:gridCol w:w="7739"/>
        <w:gridCol w:w="399"/>
        <w:gridCol w:w="849"/>
        <w:gridCol w:w="306"/>
        <w:gridCol w:w="101"/>
        <w:gridCol w:w="1155"/>
        <w:gridCol w:w="264"/>
        <w:gridCol w:w="870"/>
        <w:gridCol w:w="1278"/>
        <w:gridCol w:w="2127"/>
      </w:tblGrid>
      <w:tr>
        <w:trPr>
          <w:trHeight w:val="574" w:hRule="atLeast"/>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76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00" w:type="dxa"/>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764" w:type="dxa"/>
            <w:gridSpan w:val="2"/>
            <w:tcBorders>
              <w:top w:val="single" w:sz="4" w:space="0" w:color="000001"/>
              <w:left w:val="single" w:sz="4" w:space="0" w:color="000001"/>
              <w:bottom w:val="single" w:sz="4" w:space="0" w:color="000000"/>
              <w:right w:val="single" w:sz="4" w:space="0" w:color="000000"/>
            </w:tcBorders>
          </w:tcPr>
          <w:p>
            <w:pPr>
              <w:pStyle w:val="Normal"/>
              <w:rPr/>
            </w:pPr>
            <w:r>
              <w:rPr/>
              <w:t>МедЛавсан пл.бел. USP 2/0 MP 3 L=0,75 м HR-25х1</w:t>
            </w:r>
          </w:p>
          <w:p>
            <w:pPr>
              <w:pStyle w:val="Normal"/>
              <w:rPr/>
            </w:pPr>
            <w:r>
              <w:rPr/>
              <w:t xml:space="preserve"> </w:t>
            </w:r>
            <w:r>
              <w:rPr/>
              <w:t>Цвет нити</w:t>
              <w:tab/>
              <w:t>черный</w:t>
            </w:r>
          </w:p>
          <w:p>
            <w:pPr>
              <w:pStyle w:val="Normal"/>
              <w:rPr/>
            </w:pPr>
            <w:r>
              <w:rPr/>
              <w:t xml:space="preserve"> </w:t>
            </w:r>
            <w:r>
              <w:rPr/>
              <w:t>Игла</w:t>
              <w:tab/>
              <w:t>колющая</w:t>
            </w:r>
          </w:p>
          <w:p>
            <w:pPr>
              <w:pStyle w:val="Normal"/>
              <w:rPr/>
            </w:pPr>
            <w:r>
              <w:rPr/>
              <w:t xml:space="preserve"> </w:t>
            </w:r>
            <w:r>
              <w:rPr/>
              <w:t>Окружность иглы</w:t>
              <w:tab/>
              <w:t>1/2</w:t>
            </w:r>
          </w:p>
          <w:p>
            <w:pPr>
              <w:pStyle w:val="Normal"/>
              <w:rPr/>
            </w:pPr>
            <w:r>
              <w:rPr/>
              <w:t xml:space="preserve"> </w:t>
            </w:r>
            <w:r>
              <w:rPr/>
              <w:t>Материал иглы</w:t>
              <w:tab/>
              <w:t>твердоволоконная нержавеющая (коррозионностойкая) аустенитная хромоникелевая сталь</w:t>
            </w:r>
          </w:p>
          <w:p>
            <w:pPr>
              <w:pStyle w:val="Normal"/>
              <w:rPr/>
            </w:pPr>
            <w:r>
              <w:rPr/>
              <w:t xml:space="preserve"> </w:t>
            </w:r>
            <w:r>
              <w:rPr/>
              <w:t>Наружная поверхность иглы</w:t>
              <w:tab/>
              <w:t>блестящая, без царапин, трещин и заусенцев</w:t>
            </w:r>
          </w:p>
          <w:p>
            <w:pPr>
              <w:pStyle w:val="Normal"/>
              <w:rPr/>
            </w:pPr>
            <w:r>
              <w:rPr/>
              <w:t xml:space="preserve"> </w:t>
            </w:r>
            <w:r>
              <w:rPr/>
              <w:t>Место запрессовки нити в игле</w:t>
              <w:tab/>
              <w:t>выполнено методом сверления</w:t>
            </w:r>
          </w:p>
          <w:p>
            <w:pPr>
              <w:pStyle w:val="Normal"/>
              <w:rPr/>
            </w:pPr>
            <w:r>
              <w:rPr/>
              <w:t xml:space="preserve"> </w:t>
            </w:r>
            <w:r>
              <w:rPr/>
              <w:t>Опрессовка нити в игле</w:t>
              <w:tab/>
              <w:t>выполнена объемным способом</w:t>
            </w:r>
          </w:p>
          <w:p>
            <w:pPr>
              <w:pStyle w:val="Normal"/>
              <w:rPr/>
            </w:pPr>
            <w:r>
              <w:rPr/>
              <w:t xml:space="preserve"> </w:t>
            </w:r>
            <w:r>
              <w:rPr/>
              <w:t>Поставка в групповой заводской упаковке производителя</w:t>
              <w:tab/>
              <w:t>Соответствие</w:t>
            </w:r>
          </w:p>
          <w:p>
            <w:pPr>
              <w:pStyle w:val="Normal"/>
              <w:rPr/>
            </w:pPr>
            <w:r>
              <w:rPr/>
              <w:t xml:space="preserve"> </w:t>
            </w:r>
            <w:r>
              <w:rPr/>
              <w:t>Информация о хирургическом шовном материале</w:t>
              <w:tab/>
              <w:t>на этикетке и заводской упаковке</w:t>
            </w:r>
          </w:p>
          <w:p>
            <w:pPr>
              <w:pStyle w:val="Normal"/>
              <w:rPr/>
            </w:pPr>
            <w:r>
              <w:rPr/>
              <w:t xml:space="preserve"> </w:t>
            </w:r>
            <w:r>
              <w:rPr/>
              <w:t>Инструкции о хирургическом шовном материале на русском языке</w:t>
              <w:tab/>
              <w:t>наличие</w:t>
            </w:r>
          </w:p>
          <w:p>
            <w:pPr>
              <w:pStyle w:val="Normal"/>
              <w:rPr/>
            </w:pPr>
            <w:r>
              <w:rPr/>
              <w:t xml:space="preserve"> </w:t>
            </w:r>
            <w:r>
              <w:rPr/>
              <w:t>Срок стерильности</w:t>
              <w:tab/>
              <w:t>не менее 12</w:t>
            </w:r>
          </w:p>
          <w:p>
            <w:pPr>
              <w:pStyle w:val="Normal"/>
              <w:bidi w:val="0"/>
              <w:jc w:val="left"/>
              <w:rPr>
                <w:rFonts w:ascii="Times New Roman" w:hAnsi="Times New Roman"/>
                <w:b w:val="false"/>
                <w:i w:val="false"/>
                <w:i w:val="false"/>
                <w:strike w:val="false"/>
                <w:dstrike w:val="false"/>
                <w:outline w:val="false"/>
                <w:shadow w:val="false"/>
                <w:sz w:val="20"/>
                <w:u w:val="none"/>
                <w:em w:val="none"/>
              </w:rPr>
            </w:pPr>
            <w:r>
              <w:rPr>
                <w:b w:val="false"/>
                <w:i w:val="false"/>
                <w:strike w:val="false"/>
                <w:dstrike w:val="false"/>
                <w:outline w:val="false"/>
                <w:shadow w:val="false"/>
                <w:sz w:val="20"/>
                <w:u w:val="none"/>
                <w:em w:val="none"/>
              </w:rPr>
              <w:t>Страна происхождения товара:</w:t>
            </w:r>
          </w:p>
          <w:p>
            <w:pPr>
              <w:pStyle w:val="Normal"/>
              <w:bidi w:val="0"/>
              <w:jc w:val="left"/>
              <w:rPr>
                <w:rFonts w:ascii="Times New Roman" w:hAnsi="Times New Roman"/>
                <w:b w:val="false"/>
                <w:i w:val="false"/>
                <w:i w:val="false"/>
                <w:strike w:val="false"/>
                <w:dstrike w:val="false"/>
                <w:outline w:val="false"/>
                <w:shadow w:val="false"/>
                <w:sz w:val="20"/>
                <w:u w:val="none"/>
                <w:em w:val="none"/>
              </w:rPr>
            </w:pPr>
            <w:r>
              <w:rPr>
                <w:b w:val="false"/>
                <w:i w:val="false"/>
                <w:strike w:val="false"/>
                <w:dstrike w:val="false"/>
                <w:outline w:val="false"/>
                <w:shadow w:val="false"/>
                <w:sz w:val="20"/>
                <w:u w:val="none"/>
                <w:em w:val="none"/>
              </w:rPr>
              <w:t>ОКПД 2:32.50.50.190</w:t>
            </w:r>
          </w:p>
          <w:p>
            <w:pPr>
              <w:pStyle w:val="Normal"/>
              <w:bidi w:val="0"/>
              <w:jc w:val="left"/>
              <w:rPr>
                <w:sz w:val="20"/>
                <w:szCs w:val="20"/>
              </w:rPr>
            </w:pPr>
            <w:r>
              <w:rPr>
                <w:sz w:val="20"/>
                <w:szCs w:val="20"/>
              </w:rPr>
            </w:r>
          </w:p>
        </w:tc>
        <w:tc>
          <w:tcPr>
            <w:tcW w:w="1554"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24</w:t>
            </w:r>
          </w:p>
        </w:tc>
        <w:tc>
          <w:tcPr>
            <w:tcW w:w="1256" w:type="dxa"/>
            <w:gridSpan w:val="2"/>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00"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w:t>
            </w:r>
          </w:p>
        </w:tc>
        <w:tc>
          <w:tcPr>
            <w:tcW w:w="7764" w:type="dxa"/>
            <w:gridSpan w:val="2"/>
            <w:tcBorders>
              <w:left w:val="single" w:sz="4" w:space="0" w:color="000001"/>
              <w:bottom w:val="single" w:sz="4" w:space="0" w:color="000000"/>
              <w:right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sz w:val="20"/>
                <w:u w:val="none"/>
                <w:em w:val="none"/>
              </w:rPr>
            </w:pPr>
            <w:r>
              <w:rPr>
                <w:b w:val="false"/>
                <w:i w:val="false"/>
                <w:strike w:val="false"/>
                <w:dstrike w:val="false"/>
                <w:outline w:val="false"/>
                <w:shadow w:val="false"/>
                <w:sz w:val="20"/>
                <w:u w:val="none"/>
                <w:em w:val="none"/>
              </w:rPr>
              <w:t>Наборы для катетеризаций центральных вен (по Сельдингеру): двухканальный (ZKDND)</w:t>
            </w:r>
          </w:p>
          <w:tbl>
            <w:tblPr>
              <w:tblW w:w="7423" w:type="dxa"/>
              <w:jc w:val="left"/>
              <w:tblInd w:w="41" w:type="dxa"/>
              <w:tblLayout w:type="fixed"/>
              <w:tblCellMar>
                <w:top w:w="0" w:type="dxa"/>
                <w:left w:w="108" w:type="dxa"/>
                <w:bottom w:w="0" w:type="dxa"/>
                <w:right w:w="108" w:type="dxa"/>
              </w:tblCellMar>
            </w:tblPr>
            <w:tblGrid>
              <w:gridCol w:w="2263"/>
              <w:gridCol w:w="2383"/>
              <w:gridCol w:w="2777"/>
            </w:tblGrid>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1. Материал изготовления</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Рентгенконтрастный   полиуретан</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pPr>
                  <w:r>
                    <w:rPr>
                      <w:rFonts w:cs="Times New Roman" w:ascii="Times New Roman" w:hAnsi="Times New Roman"/>
                      <w:bCs/>
                      <w:color w:val="000000"/>
                      <w:sz w:val="16"/>
                      <w:szCs w:val="16"/>
                      <w:shd w:fill="auto" w:val="clear"/>
                    </w:rPr>
                    <w:t xml:space="preserve">2. </w:t>
                  </w:r>
                  <w:r>
                    <w:rPr>
                      <w:rFonts w:cs="Times New Roman" w:ascii="Times New Roman" w:hAnsi="Times New Roman"/>
                      <w:bCs/>
                      <w:sz w:val="16"/>
                      <w:szCs w:val="16"/>
                      <w:shd w:fill="FFFFFF" w:val="clear"/>
                    </w:rPr>
                    <w:t>Диаметр  катетера</w:t>
                  </w:r>
                </w:p>
              </w:tc>
              <w:tc>
                <w:tcPr>
                  <w:tcW w:w="238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8(12)</w:t>
                  </w:r>
                </w:p>
              </w:tc>
              <w:tc>
                <w:tcPr>
                  <w:tcW w:w="2777"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pPr>
                  <w:r>
                    <w:rPr>
                      <w:rFonts w:cs="Times New Roman" w:ascii="Times New Roman" w:hAnsi="Times New Roman"/>
                      <w:bCs/>
                      <w:sz w:val="16"/>
                      <w:szCs w:val="16"/>
                      <w:shd w:fill="FFFFFF" w:val="clear"/>
                    </w:rPr>
                    <w:t>F(</w:t>
                  </w:r>
                  <w:r>
                    <w:rPr>
                      <w:rFonts w:cs="Times New Roman" w:ascii="Times New Roman" w:hAnsi="Times New Roman"/>
                      <w:bCs/>
                      <w:sz w:val="16"/>
                      <w:szCs w:val="16"/>
                      <w:shd w:fill="FFFFFF" w:val="clear"/>
                      <w:lang w:val="en-US"/>
                    </w:rPr>
                    <w:t>G</w:t>
                  </w:r>
                  <w:r>
                    <w:rPr>
                      <w:rFonts w:cs="Times New Roman" w:ascii="Times New Roman" w:hAnsi="Times New Roman"/>
                      <w:bCs/>
                      <w:sz w:val="16"/>
                      <w:szCs w:val="16"/>
                      <w:shd w:fill="FFFFFF" w:val="clear"/>
                    </w:rPr>
                    <w:t>)</w:t>
                  </w:r>
                </w:p>
              </w:tc>
            </w:tr>
            <w:tr>
              <w:trPr>
                <w:trHeight w:val="179" w:hRule="atLeast"/>
              </w:trPr>
              <w:tc>
                <w:tcPr>
                  <w:tcW w:w="226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3. Длина катетера</w:t>
                  </w:r>
                </w:p>
              </w:tc>
              <w:tc>
                <w:tcPr>
                  <w:tcW w:w="238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Не более 20</w:t>
                  </w:r>
                </w:p>
              </w:tc>
              <w:tc>
                <w:tcPr>
                  <w:tcW w:w="2777"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см</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4. Двухканальный катетер</w:t>
                  </w:r>
                </w:p>
              </w:tc>
              <w:tc>
                <w:tcPr>
                  <w:tcW w:w="238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Соответствие</w:t>
                  </w:r>
                </w:p>
              </w:tc>
              <w:tc>
                <w:tcPr>
                  <w:tcW w:w="2777" w:type="dxa"/>
                  <w:tcBorders>
                    <w:top w:val="single" w:sz="4" w:space="0" w:color="000000"/>
                    <w:left w:val="single" w:sz="4" w:space="0" w:color="000000"/>
                    <w:bottom w:val="single" w:sz="4" w:space="0" w:color="000000"/>
                    <w:right w:val="single" w:sz="4" w:space="0" w:color="000000"/>
                  </w:tcBorders>
                </w:tcPr>
                <w:p>
                  <w:pPr>
                    <w:pStyle w:val="Style24"/>
                    <w:snapToGrid w:val="false"/>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5. Размер канала, проксимальный</w:t>
                  </w:r>
                </w:p>
              </w:tc>
              <w:tc>
                <w:tcPr>
                  <w:tcW w:w="238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15</w:t>
                  </w:r>
                </w:p>
              </w:tc>
              <w:tc>
                <w:tcPr>
                  <w:tcW w:w="2777"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lang w:val="en-US"/>
                    </w:rPr>
                  </w:pPr>
                  <w:r>
                    <w:rPr>
                      <w:rFonts w:cs="Times New Roman" w:ascii="Times New Roman" w:hAnsi="Times New Roman"/>
                      <w:bCs/>
                      <w:sz w:val="16"/>
                      <w:szCs w:val="16"/>
                      <w:shd w:fill="FFFFFF" w:val="clear"/>
                      <w:lang w:val="en-US"/>
                    </w:rPr>
                    <w:t>G</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6. Размер канала, дистальный</w:t>
                  </w:r>
                </w:p>
              </w:tc>
              <w:tc>
                <w:tcPr>
                  <w:tcW w:w="238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15</w:t>
                  </w:r>
                </w:p>
              </w:tc>
              <w:tc>
                <w:tcPr>
                  <w:tcW w:w="2777"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lang w:val="en-US"/>
                    </w:rPr>
                  </w:pPr>
                  <w:r>
                    <w:rPr>
                      <w:rFonts w:cs="Times New Roman" w:ascii="Times New Roman" w:hAnsi="Times New Roman"/>
                      <w:bCs/>
                      <w:sz w:val="16"/>
                      <w:szCs w:val="16"/>
                      <w:shd w:fill="FFFFFF" w:val="clear"/>
                      <w:lang w:val="en-US"/>
                    </w:rPr>
                    <w:t>G</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color w:val="000000"/>
                      <w:sz w:val="16"/>
                      <w:szCs w:val="16"/>
                      <w:shd w:fill="FFFFFF" w:val="clear"/>
                    </w:rPr>
                  </w:pPr>
                  <w:r>
                    <w:rPr>
                      <w:rFonts w:cs="Times New Roman" w:ascii="Times New Roman" w:hAnsi="Times New Roman"/>
                      <w:color w:val="000000"/>
                      <w:sz w:val="16"/>
                      <w:szCs w:val="16"/>
                      <w:shd w:fill="FFFFFF" w:val="clear"/>
                    </w:rPr>
                    <w:t>7. Диаметр дилататор</w:t>
                  </w:r>
                </w:p>
              </w:tc>
              <w:tc>
                <w:tcPr>
                  <w:tcW w:w="2383"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9</w:t>
                  </w:r>
                </w:p>
              </w:tc>
              <w:tc>
                <w:tcPr>
                  <w:tcW w:w="2777" w:type="dxa"/>
                  <w:tcBorders>
                    <w:top w:val="single" w:sz="4" w:space="0" w:color="000000"/>
                    <w:left w:val="single" w:sz="4" w:space="0" w:color="000000"/>
                    <w:bottom w:val="single" w:sz="4" w:space="0" w:color="000000"/>
                    <w:right w:val="single" w:sz="4" w:space="0" w:color="000000"/>
                  </w:tcBorders>
                </w:tcPr>
                <w:p>
                  <w:pPr>
                    <w:pStyle w:val="Style24"/>
                    <w:spacing w:before="0" w:after="0"/>
                    <w:contextualSpacing/>
                    <w:rPr>
                      <w:rFonts w:ascii="Times New Roman" w:hAnsi="Times New Roman" w:cs="Times New Roman"/>
                      <w:bCs/>
                      <w:sz w:val="16"/>
                      <w:szCs w:val="16"/>
                      <w:shd w:fill="FFFFFF" w:val="clear"/>
                    </w:rPr>
                  </w:pPr>
                  <w:r>
                    <w:rPr>
                      <w:rFonts w:cs="Times New Roman" w:ascii="Times New Roman" w:hAnsi="Times New Roman"/>
                      <w:bCs/>
                      <w:sz w:val="16"/>
                      <w:szCs w:val="16"/>
                      <w:shd w:fill="FFFFFF" w:val="clear"/>
                    </w:rPr>
                    <w:t>F</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8. Длина дилататора</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Не более 12</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см</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9. Диаметр пункционной иглы</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18</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G</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10. Длина пункционной иглы</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Не менее 70</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мм</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11. Проводник с мягким J-образным  кончиком</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12. Материал проводника</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Медицинская сталь</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13. </w:t>
                  </w:r>
                  <w:r>
                    <w:rPr>
                      <w:rFonts w:cs="Times New Roman"/>
                      <w:sz w:val="16"/>
                      <w:szCs w:val="16"/>
                    </w:rPr>
                    <w:t>Размер проводника</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Не менее 0,035</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дюйм</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rPr>
                  </w:pPr>
                  <w:r>
                    <w:rPr>
                      <w:rFonts w:cs="Times New Roman"/>
                      <w:sz w:val="16"/>
                      <w:szCs w:val="16"/>
                    </w:rPr>
                    <w:t>14. Длина проводника</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sz w:val="16"/>
                      <w:szCs w:val="16"/>
                    </w:rPr>
                    <w:t>Не  менее</w:t>
                  </w:r>
                  <w:r>
                    <w:rPr>
                      <w:rFonts w:cs="Times New Roman"/>
                      <w:color w:val="000000"/>
                      <w:sz w:val="16"/>
                      <w:szCs w:val="16"/>
                    </w:rPr>
                    <w:t xml:space="preserve">  60</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см</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15. Трехкомпонентный шприц</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16. </w:t>
                  </w:r>
                  <w:r>
                    <w:rPr>
                      <w:rFonts w:cs="Times New Roman"/>
                      <w:color w:val="000000"/>
                      <w:sz w:val="16"/>
                      <w:szCs w:val="16"/>
                    </w:rPr>
                    <w:t>Объём шприца</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t>Не менее 5</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мл</w:t>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17. Скальпель</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rHeight w:val="221"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18. </w:t>
                  </w:r>
                  <w:r>
                    <w:rPr>
                      <w:rFonts w:cs="Times New Roman"/>
                      <w:color w:val="000000"/>
                      <w:sz w:val="16"/>
                      <w:szCs w:val="16"/>
                    </w:rPr>
                    <w:t>Удлинительные линии</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Не менее 2</w:t>
                  </w:r>
                </w:p>
              </w:tc>
              <w:tc>
                <w:tcPr>
                  <w:tcW w:w="2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16"/>
                      <w:szCs w:val="16"/>
                      <w:shd w:fill="FFFFFF" w:val="clear"/>
                    </w:rPr>
                  </w:pPr>
                  <w:r>
                    <w:rPr>
                      <w:rFonts w:cs="Times New Roman"/>
                      <w:sz w:val="16"/>
                      <w:szCs w:val="16"/>
                      <w:shd w:fill="FFFFFF" w:val="clear"/>
                    </w:rPr>
                    <w:t>шт</w:t>
                  </w:r>
                </w:p>
              </w:tc>
            </w:tr>
            <w:tr>
              <w:trPr>
                <w:trHeight w:val="221"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19. Зажимы на удлинительных линиях</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rHeight w:val="221"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20. </w:t>
                  </w:r>
                  <w:r>
                    <w:rPr>
                      <w:rFonts w:cs="Times New Roman"/>
                      <w:color w:val="000000"/>
                      <w:sz w:val="16"/>
                      <w:szCs w:val="16"/>
                    </w:rPr>
                    <w:t>Навинчивающиеся заглушки на удлинительных линиях</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21. </w:t>
                  </w:r>
                  <w:r>
                    <w:rPr>
                      <w:rFonts w:cs="Times New Roman"/>
                      <w:color w:val="000000"/>
                      <w:sz w:val="16"/>
                      <w:szCs w:val="16"/>
                    </w:rPr>
                    <w:t>Несмываемые метки глубины введения</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22. </w:t>
                  </w:r>
                  <w:r>
                    <w:rPr>
                      <w:rFonts w:cs="Times New Roman"/>
                      <w:color w:val="000000"/>
                      <w:sz w:val="16"/>
                      <w:szCs w:val="16"/>
                    </w:rPr>
                    <w:t>Съемные крылья-упоры</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23. </w:t>
                  </w:r>
                  <w:r>
                    <w:rPr>
                      <w:rFonts w:cs="Times New Roman"/>
                      <w:color w:val="000000"/>
                      <w:sz w:val="16"/>
                      <w:szCs w:val="16"/>
                    </w:rPr>
                    <w:t>Проводник расположен в защитном кожухе</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shd w:fill="FFFFFF" w:val="clear"/>
                    </w:rPr>
                  </w:pPr>
                  <w:r>
                    <w:rPr>
                      <w:rFonts w:cs="Times New Roman"/>
                      <w:color w:val="000000"/>
                      <w:sz w:val="16"/>
                      <w:szCs w:val="16"/>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color w:val="000000"/>
                      <w:sz w:val="16"/>
                      <w:szCs w:val="16"/>
                      <w:shd w:fill="FFFFFF" w:val="clear"/>
                    </w:rPr>
                    <w:t xml:space="preserve">24. </w:t>
                  </w:r>
                  <w:r>
                    <w:rPr>
                      <w:rFonts w:cs="Times New Roman"/>
                      <w:color w:val="000000"/>
                      <w:sz w:val="16"/>
                      <w:szCs w:val="16"/>
                    </w:rPr>
                    <w:t>Диспенсер проводника</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cs="Times New Roman"/>
                      <w:color w:val="000000"/>
                      <w:sz w:val="16"/>
                      <w:szCs w:val="16"/>
                      <w:shd w:fill="auto" w:val="clear"/>
                    </w:rPr>
                  </w:pPr>
                  <w:r>
                    <w:rPr>
                      <w:rFonts w:cs="Times New Roman"/>
                      <w:color w:val="000000"/>
                      <w:sz w:val="16"/>
                      <w:szCs w:val="16"/>
                      <w:shd w:fill="auto" w:val="clear"/>
                    </w:rPr>
                    <w:t>25. Фиксированные крылья на катетере</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r>
              <w:trPr>
                <w:trHeight w:val="278"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cs="Times New Roman"/>
                      <w:color w:val="000000"/>
                      <w:sz w:val="16"/>
                      <w:szCs w:val="16"/>
                      <w:shd w:fill="auto" w:val="clear"/>
                    </w:rPr>
                  </w:pPr>
                  <w:r>
                    <w:rPr>
                      <w:rFonts w:cs="Times New Roman"/>
                      <w:color w:val="000000"/>
                      <w:sz w:val="16"/>
                      <w:szCs w:val="16"/>
                      <w:shd w:fill="auto" w:val="clear"/>
                    </w:rPr>
                    <w:t>26. Передвижные крылья для фиксации</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r>
              <w:trPr>
                <w:trHeight w:val="143"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color w:val="000000"/>
                      <w:sz w:val="16"/>
                      <w:szCs w:val="16"/>
                      <w:shd w:fill="auto" w:val="clear"/>
                    </w:rPr>
                  </w:pPr>
                  <w:r>
                    <w:rPr>
                      <w:rFonts w:cs="Times New Roman"/>
                      <w:color w:val="000000"/>
                      <w:sz w:val="16"/>
                      <w:szCs w:val="16"/>
                      <w:shd w:fill="auto" w:val="clear"/>
                    </w:rPr>
                    <w:t>27. Маркировка размера на катетере</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rPr>
                  </w:pPr>
                  <w:r>
                    <w:rPr>
                      <w:rFonts w:cs="Times New Roman"/>
                      <w:color w:val="000000"/>
                      <w:sz w:val="16"/>
                      <w:szCs w:val="16"/>
                    </w:rPr>
                    <w:t>Наличие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auto" w:val="clear"/>
                    </w:rPr>
                  </w:pPr>
                  <w:r>
                    <w:rPr>
                      <w:rFonts w:cs="Times New Roman"/>
                      <w:color w:val="000000"/>
                      <w:sz w:val="16"/>
                      <w:szCs w:val="16"/>
                      <w:shd w:fill="auto" w:val="clear"/>
                    </w:rPr>
                    <w:t>28. Упаковка ндивидуальная, стерильная</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Cs/>
                      <w:sz w:val="16"/>
                      <w:szCs w:val="16"/>
                      <w:shd w:fill="FFFFFF" w:val="clear"/>
                    </w:rPr>
                  </w:pPr>
                  <w:r>
                    <w:rPr>
                      <w:rFonts w:cs="Times New Roman"/>
                      <w:bCs/>
                      <w:sz w:val="16"/>
                      <w:szCs w:val="16"/>
                      <w:shd w:fill="FFFFFF" w:val="clear"/>
                    </w:rPr>
                    <w:t>Соответствие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r>
              <w:trPr/>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16"/>
                      <w:szCs w:val="16"/>
                      <w:shd w:fill="auto" w:val="clear"/>
                    </w:rPr>
                  </w:pPr>
                  <w:r>
                    <w:rPr>
                      <w:rFonts w:cs="Times New Roman"/>
                      <w:color w:val="000000"/>
                      <w:sz w:val="16"/>
                      <w:szCs w:val="16"/>
                      <w:shd w:fill="auto" w:val="clear"/>
                    </w:rPr>
                    <w:t>29. Не содержит латекс и фталаты</w:t>
                  </w:r>
                </w:p>
              </w:tc>
              <w:tc>
                <w:tcPr>
                  <w:tcW w:w="23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Cs/>
                      <w:sz w:val="16"/>
                      <w:szCs w:val="16"/>
                      <w:shd w:fill="FFFFFF" w:val="clear"/>
                    </w:rPr>
                  </w:pPr>
                  <w:r>
                    <w:rPr>
                      <w:rFonts w:cs="Times New Roman"/>
                      <w:bCs/>
                      <w:sz w:val="16"/>
                      <w:szCs w:val="16"/>
                      <w:shd w:fill="FFFFFF" w:val="clear"/>
                    </w:rPr>
                    <w:t>Соответствие</w:t>
                  </w:r>
                </w:p>
              </w:tc>
              <w:tc>
                <w:tcPr>
                  <w:tcW w:w="27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16"/>
                      <w:szCs w:val="16"/>
                      <w:highlight w:val="yellow"/>
                      <w:shd w:fill="FFFFFF" w:val="clear"/>
                    </w:rPr>
                  </w:pPr>
                  <w:r>
                    <w:rPr>
                      <w:rFonts w:cs="Times New Roman"/>
                      <w:color w:val="000000"/>
                      <w:sz w:val="16"/>
                      <w:szCs w:val="16"/>
                      <w:highlight w:val="yellow"/>
                      <w:shd w:fill="FFFFFF" w:val="clear"/>
                    </w:rPr>
                  </w:r>
                </w:p>
              </w:tc>
            </w:tr>
          </w:tbl>
          <w:p>
            <w:pPr>
              <w:pStyle w:val="Normal"/>
              <w:bidi w:val="0"/>
              <w:jc w:val="left"/>
              <w:rPr>
                <w:rFonts w:ascii="Times New Roman" w:hAnsi="Times New Roman"/>
                <w:b w:val="false"/>
                <w:i w:val="false"/>
                <w:i w:val="false"/>
                <w:strike w:val="false"/>
                <w:dstrike w:val="false"/>
                <w:outline w:val="false"/>
                <w:shadow w:val="false"/>
                <w:sz w:val="20"/>
                <w:u w:val="none"/>
                <w:em w:val="none"/>
              </w:rPr>
            </w:pPr>
            <w:r>
              <w:rPr>
                <w:b w:val="false"/>
                <w:i w:val="false"/>
                <w:strike w:val="false"/>
                <w:dstrike w:val="false"/>
                <w:outline w:val="false"/>
                <w:shadow w:val="false"/>
                <w:sz w:val="20"/>
                <w:u w:val="none"/>
                <w:em w:val="none"/>
              </w:rPr>
              <w:t>Страна происхождения товара:</w:t>
            </w:r>
          </w:p>
          <w:p>
            <w:pPr>
              <w:pStyle w:val="Normal"/>
              <w:bidi w:val="0"/>
              <w:jc w:val="left"/>
              <w:rPr>
                <w:rFonts w:ascii="Times New Roman" w:hAnsi="Times New Roman"/>
                <w:b w:val="false"/>
                <w:i w:val="false"/>
                <w:i w:val="false"/>
                <w:strike w:val="false"/>
                <w:dstrike w:val="false"/>
                <w:outline w:val="false"/>
                <w:shadow w:val="false"/>
                <w:sz w:val="20"/>
                <w:u w:val="none"/>
                <w:em w:val="none"/>
              </w:rPr>
            </w:pPr>
            <w:r>
              <w:rPr>
                <w:b w:val="false"/>
                <w:i w:val="false"/>
                <w:strike w:val="false"/>
                <w:dstrike w:val="false"/>
                <w:outline w:val="false"/>
                <w:shadow w:val="false"/>
                <w:sz w:val="20"/>
                <w:u w:val="none"/>
                <w:em w:val="none"/>
              </w:rPr>
              <w:t>ОКПД 2:32.50.50.190</w:t>
            </w:r>
          </w:p>
          <w:p>
            <w:pPr>
              <w:pStyle w:val="Normal"/>
              <w:bidi w:val="0"/>
              <w:jc w:val="left"/>
              <w:rPr>
                <w:sz w:val="20"/>
                <w:szCs w:val="20"/>
              </w:rPr>
            </w:pPr>
            <w:r>
              <w:rPr>
                <w:sz w:val="20"/>
                <w:szCs w:val="20"/>
              </w:rPr>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10</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t>шт</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625"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2961" w:type="dxa"/>
            <w:gridSpan w:val="9"/>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4"/>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11"/>
              <w:rPr>
                <w:rFonts w:ascii="Times New Roman" w:hAnsi="Times New Roman" w:cs="Times New Roman"/>
                <w:b/>
                <w:bCs/>
                <w:sz w:val="20"/>
                <w:szCs w:val="20"/>
                <w:highlight w:val="none"/>
                <w:shd w:fill="auto" w:val="clear"/>
              </w:rPr>
            </w:pPr>
            <w:r>
              <w:rPr>
                <w:rFonts w:cs="Times New Roman" w:ascii="Times New Roman" w:hAnsi="Times New Roman"/>
                <w:b/>
                <w:bCs/>
                <w:sz w:val="20"/>
                <w:szCs w:val="20"/>
                <w:shd w:fill="auto" w:val="clear"/>
              </w:rPr>
            </w:r>
          </w:p>
          <w:p>
            <w:pPr>
              <w:pStyle w:val="11"/>
              <w:rPr>
                <w:highlight w:val="none"/>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84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407"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1419"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870"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3405" w:type="dxa"/>
            <w:gridSpan w:val="2"/>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highlight w:val="none"/>
                <w:shd w:fill="auto" w:val="clear"/>
              </w:rPr>
            </w:pPr>
            <w:r>
              <w:rPr>
                <w:b/>
                <w:color w:val="000000"/>
                <w:shd w:fill="auto" w:val="clear"/>
              </w:rPr>
              <w:t>Поставщик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paragraph" w:styleId="Style24">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LibreOffice/25.2.6.2$Linux_X86_64 LibreOffice_project/520$Build-2</Application>
  <AppVersion>15.0000</AppVersion>
  <Pages>8</Pages>
  <Words>3446</Words>
  <Characters>24422</Characters>
  <CharactersWithSpaces>28345</CharactersWithSpaces>
  <Paragraphs>259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2026-06-04T11:49:00Z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