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2552"/>
        <w:gridCol w:w="2355"/>
        <w:gridCol w:w="2350"/>
        <w:gridCol w:w="2837"/>
      </w:tblGrid>
      <w:tr w:rsidR="00F866C7" w14:paraId="0BED9751" w14:textId="77777777" w:rsidTr="00F921FA">
        <w:tblPrEx>
          <w:tblCellMar>
            <w:top w:w="0" w:type="dxa"/>
            <w:left w:w="0" w:type="dxa"/>
            <w:bottom w:w="0" w:type="dxa"/>
            <w:right w:w="0" w:type="dxa"/>
          </w:tblCellMar>
        </w:tblPrEx>
        <w:tc>
          <w:tcPr>
            <w:tcW w:w="2552" w:type="dxa"/>
            <w:tcBorders>
              <w:top w:val="nil"/>
              <w:left w:val="nil"/>
              <w:bottom w:val="nil"/>
              <w:right w:val="nil"/>
            </w:tcBorders>
          </w:tcPr>
          <w:p w14:paraId="47E297E2" w14:textId="77777777" w:rsidR="00F866C7" w:rsidRDefault="00F866C7">
            <w:pPr>
              <w:widowControl w:val="0"/>
              <w:autoSpaceDE w:val="0"/>
              <w:autoSpaceDN w:val="0"/>
              <w:adjustRightInd w:val="0"/>
              <w:spacing w:after="0" w:line="240" w:lineRule="auto"/>
              <w:rPr>
                <w:rFonts w:ascii="Times" w:hAnsi="Times" w:cs="Times"/>
                <w:color w:val="000000"/>
                <w:sz w:val="18"/>
                <w:szCs w:val="18"/>
              </w:rPr>
            </w:pPr>
          </w:p>
        </w:tc>
        <w:tc>
          <w:tcPr>
            <w:tcW w:w="4705" w:type="dxa"/>
            <w:gridSpan w:val="2"/>
            <w:tcBorders>
              <w:top w:val="nil"/>
              <w:left w:val="nil"/>
              <w:bottom w:val="nil"/>
              <w:right w:val="nil"/>
            </w:tcBorders>
          </w:tcPr>
          <w:p w14:paraId="5AE9A526" w14:textId="77777777" w:rsidR="00F866C7" w:rsidRDefault="00F866C7">
            <w:pPr>
              <w:widowControl w:val="0"/>
              <w:autoSpaceDE w:val="0"/>
              <w:autoSpaceDN w:val="0"/>
              <w:adjustRightInd w:val="0"/>
              <w:spacing w:after="0" w:line="240" w:lineRule="auto"/>
              <w:jc w:val="center"/>
              <w:rPr>
                <w:rFonts w:ascii="Times" w:hAnsi="Times" w:cs="Times"/>
                <w:b/>
                <w:bCs/>
                <w:color w:val="000000"/>
              </w:rPr>
            </w:pPr>
            <w:r>
              <w:rPr>
                <w:rFonts w:ascii="Times" w:hAnsi="Times" w:cs="Times"/>
                <w:b/>
                <w:bCs/>
                <w:color w:val="000000"/>
              </w:rPr>
              <w:t>ДОГОВОР № </w:t>
            </w:r>
            <w:r w:rsidR="00546ED2">
              <w:rPr>
                <w:rFonts w:ascii="Times" w:hAnsi="Times" w:cs="Times"/>
                <w:b/>
                <w:bCs/>
                <w:color w:val="000000"/>
              </w:rPr>
              <w:t xml:space="preserve"> </w:t>
            </w:r>
          </w:p>
          <w:p w14:paraId="507179CC" w14:textId="77777777" w:rsidR="00F866C7" w:rsidRDefault="00F866C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право использования программы для ЭВМ «Контур.Экстерн» и оказание услуг по сопровождению (технической поддержке)</w:t>
            </w:r>
          </w:p>
          <w:p w14:paraId="2C5A5C87" w14:textId="77777777" w:rsidR="00F921FA" w:rsidRDefault="00F921FA">
            <w:pPr>
              <w:widowControl w:val="0"/>
              <w:autoSpaceDE w:val="0"/>
              <w:autoSpaceDN w:val="0"/>
              <w:adjustRightInd w:val="0"/>
              <w:spacing w:after="0" w:line="240" w:lineRule="auto"/>
              <w:jc w:val="center"/>
              <w:rPr>
                <w:rFonts w:ascii="Times" w:hAnsi="Times" w:cs="Times"/>
                <w:b/>
                <w:bCs/>
                <w:color w:val="000000"/>
                <w:sz w:val="18"/>
                <w:szCs w:val="18"/>
              </w:rPr>
            </w:pPr>
          </w:p>
          <w:p w14:paraId="219C8395" w14:textId="77777777" w:rsidR="00F921FA" w:rsidRDefault="00F921FA" w:rsidP="00F921FA">
            <w:pPr>
              <w:widowControl w:val="0"/>
              <w:autoSpaceDE w:val="0"/>
              <w:autoSpaceDN w:val="0"/>
              <w:adjustRightInd w:val="0"/>
              <w:spacing w:after="0" w:line="240" w:lineRule="auto"/>
              <w:ind w:left="-1839" w:firstLine="1839"/>
              <w:jc w:val="center"/>
              <w:rPr>
                <w:rFonts w:ascii="Times" w:hAnsi="Times" w:cs="Times"/>
                <w:b/>
                <w:bCs/>
                <w:color w:val="000000"/>
                <w:sz w:val="18"/>
                <w:szCs w:val="18"/>
              </w:rPr>
            </w:pPr>
          </w:p>
          <w:p w14:paraId="0C70AB1F" w14:textId="77777777" w:rsidR="00F921FA" w:rsidRDefault="00F921FA" w:rsidP="00F921FA">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 xml:space="preserve">ИКЗ: </w:t>
            </w:r>
            <w:r w:rsidRPr="00F921FA">
              <w:rPr>
                <w:rFonts w:ascii="Times" w:hAnsi="Times" w:cs="Times"/>
                <w:b/>
                <w:bCs/>
                <w:color w:val="000000"/>
                <w:sz w:val="18"/>
                <w:szCs w:val="18"/>
              </w:rPr>
              <w:t>26 1 7703092752 770301001 0010 000 0000 244</w:t>
            </w:r>
          </w:p>
        </w:tc>
        <w:tc>
          <w:tcPr>
            <w:tcW w:w="2835" w:type="dxa"/>
            <w:tcBorders>
              <w:top w:val="nil"/>
              <w:left w:val="nil"/>
              <w:bottom w:val="nil"/>
              <w:right w:val="nil"/>
            </w:tcBorders>
          </w:tcPr>
          <w:p w14:paraId="59617C62" w14:textId="6C733C89" w:rsidR="00F866C7" w:rsidRDefault="000E60F6">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noProof/>
                <w:color w:val="000000"/>
                <w:sz w:val="18"/>
                <w:szCs w:val="18"/>
              </w:rPr>
              <w:drawing>
                <wp:inline distT="0" distB="0" distL="0" distR="0" wp14:anchorId="505855F6" wp14:editId="1DE81B7D">
                  <wp:extent cx="541020" cy="5410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a:ln>
                            <a:noFill/>
                          </a:ln>
                        </pic:spPr>
                      </pic:pic>
                    </a:graphicData>
                  </a:graphic>
                </wp:inline>
              </w:drawing>
            </w:r>
          </w:p>
        </w:tc>
      </w:tr>
      <w:tr w:rsidR="00F866C7" w14:paraId="792843E0" w14:textId="77777777" w:rsidTr="00F921FA">
        <w:tblPrEx>
          <w:tblCellMar>
            <w:top w:w="0" w:type="dxa"/>
            <w:left w:w="0" w:type="dxa"/>
            <w:bottom w:w="0" w:type="dxa"/>
            <w:right w:w="0" w:type="dxa"/>
          </w:tblCellMar>
        </w:tblPrEx>
        <w:tc>
          <w:tcPr>
            <w:tcW w:w="4907" w:type="dxa"/>
            <w:gridSpan w:val="2"/>
            <w:tcBorders>
              <w:top w:val="nil"/>
              <w:left w:val="nil"/>
              <w:bottom w:val="nil"/>
              <w:right w:val="nil"/>
            </w:tcBorders>
          </w:tcPr>
          <w:p w14:paraId="34D2BE7E" w14:textId="77777777" w:rsidR="00F866C7" w:rsidRDefault="00F866C7">
            <w:pPr>
              <w:widowControl w:val="0"/>
              <w:autoSpaceDE w:val="0"/>
              <w:autoSpaceDN w:val="0"/>
              <w:adjustRightInd w:val="0"/>
              <w:spacing w:after="0" w:line="240" w:lineRule="auto"/>
              <w:rPr>
                <w:rFonts w:ascii="Times" w:hAnsi="Times" w:cs="Times"/>
                <w:color w:val="000000"/>
                <w:sz w:val="18"/>
                <w:szCs w:val="18"/>
              </w:rPr>
            </w:pPr>
          </w:p>
        </w:tc>
        <w:tc>
          <w:tcPr>
            <w:tcW w:w="5187" w:type="dxa"/>
            <w:gridSpan w:val="2"/>
            <w:tcBorders>
              <w:top w:val="nil"/>
              <w:left w:val="nil"/>
              <w:bottom w:val="nil"/>
              <w:right w:val="nil"/>
            </w:tcBorders>
          </w:tcPr>
          <w:p w14:paraId="13E2A6DE" w14:textId="77777777" w:rsidR="00F866C7" w:rsidRDefault="00546ED2">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 xml:space="preserve"> </w:t>
            </w:r>
            <w:r w:rsidR="00F866C7">
              <w:rPr>
                <w:rFonts w:ascii="Times" w:hAnsi="Times" w:cs="Times"/>
                <w:color w:val="000000"/>
                <w:sz w:val="18"/>
                <w:szCs w:val="18"/>
              </w:rPr>
              <w:t>.2026</w:t>
            </w:r>
          </w:p>
        </w:tc>
      </w:tr>
    </w:tbl>
    <w:p w14:paraId="18C0CF2E" w14:textId="77777777" w:rsidR="00F866C7" w:rsidRDefault="00546ED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w:t>
      </w:r>
      <w:r w:rsidR="00F866C7">
        <w:rPr>
          <w:rFonts w:ascii="Times" w:hAnsi="Times" w:cs="Times"/>
          <w:color w:val="000000"/>
          <w:sz w:val="18"/>
          <w:szCs w:val="18"/>
        </w:rPr>
        <w:t xml:space="preserve">, именуемое в дальнейшем ОПЕРАТОР, в лице ⁠      ⁠, действующ⁠      ⁠ на основании ⁠      ⁠, с одной стороны, и </w:t>
      </w:r>
      <w:r>
        <w:rPr>
          <w:rFonts w:ascii="Times" w:hAnsi="Times" w:cs="Times"/>
          <w:color w:val="000000"/>
          <w:sz w:val="18"/>
          <w:szCs w:val="18"/>
        </w:rPr>
        <w:t xml:space="preserve">              </w:t>
      </w:r>
      <w:r w:rsidR="008352A0" w:rsidRPr="008352A0">
        <w:rPr>
          <w:rFonts w:ascii="Times" w:hAnsi="Times" w:cs="Times"/>
          <w:b/>
          <w:bCs/>
          <w:color w:val="000000"/>
          <w:sz w:val="18"/>
          <w:szCs w:val="18"/>
        </w:rPr>
        <w:t>Федеральная служба по гидрометеорологии и мониторингу окружающей среды</w:t>
      </w:r>
      <w:r w:rsidR="008352A0" w:rsidRPr="008352A0">
        <w:rPr>
          <w:rFonts w:ascii="Times" w:hAnsi="Times" w:cs="Times"/>
          <w:color w:val="000000"/>
          <w:sz w:val="18"/>
          <w:szCs w:val="18"/>
        </w:rPr>
        <w:t xml:space="preserve"> </w:t>
      </w:r>
      <w:r w:rsidR="008352A0" w:rsidRPr="008352A0">
        <w:rPr>
          <w:rFonts w:ascii="Times" w:hAnsi="Times" w:cs="Times"/>
          <w:b/>
          <w:bCs/>
          <w:color w:val="000000"/>
          <w:sz w:val="18"/>
          <w:szCs w:val="18"/>
        </w:rPr>
        <w:t>(Росгидромет)</w:t>
      </w:r>
      <w:r w:rsidR="008352A0" w:rsidRPr="008352A0">
        <w:rPr>
          <w:rFonts w:ascii="Times" w:hAnsi="Times" w:cs="Times"/>
          <w:color w:val="000000"/>
          <w:sz w:val="18"/>
          <w:szCs w:val="18"/>
        </w:rPr>
        <w:t>, именуемая в дальнейшем АБОНЕНТ, в лице начальника Управления планирования, финансирования подведомственных учреждений и контроля (УПФ) Кутузова   Михаила  Юрьевича,   действующего   на  основании   доверенности   от  16.09.2024 № 01-09693/24и</w:t>
      </w:r>
      <w:r w:rsidR="008352A0">
        <w:rPr>
          <w:rFonts w:ascii="Times" w:hAnsi="Times" w:cs="Times"/>
          <w:color w:val="000000"/>
          <w:sz w:val="18"/>
          <w:szCs w:val="18"/>
        </w:rPr>
        <w:t xml:space="preserve"> </w:t>
      </w:r>
      <w:r w:rsidR="00F866C7">
        <w:rPr>
          <w:rFonts w:ascii="Times" w:hAnsi="Times" w:cs="Times"/>
          <w:color w:val="000000"/>
          <w:sz w:val="18"/>
          <w:szCs w:val="18"/>
        </w:rPr>
        <w:t>с другой стороны, совместно именуемые в дальнейшем Стороны,</w:t>
      </w:r>
      <w:r w:rsidR="008352A0" w:rsidRPr="008352A0">
        <w:rPr>
          <w:rFonts w:ascii="Times" w:hAnsi="Times" w:cs="Times"/>
          <w:color w:val="000000"/>
          <w:sz w:val="18"/>
          <w:szCs w:val="18"/>
        </w:rPr>
        <w:t xml:space="preserve">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F866C7">
        <w:rPr>
          <w:rFonts w:ascii="Times" w:hAnsi="Times" w:cs="Times"/>
          <w:color w:val="000000"/>
          <w:sz w:val="18"/>
          <w:szCs w:val="18"/>
        </w:rPr>
        <w:t xml:space="preserve"> заключили Договор о нижеследующем.</w:t>
      </w:r>
    </w:p>
    <w:p w14:paraId="37D8D348" w14:textId="77777777" w:rsidR="00F866C7" w:rsidRDefault="00F866C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14:paraId="142E3425"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Контур.Экстерн – результат интеллектуальной деятельности – программа для ЭВМ «Контур.Экстерн» (в том числе интеграционные и иные модули, предусмотренные Прайс-листом и позволяющие Абоненту использовать дополнительную функциональность Контур.Экстерна) (далее – Продукт), предназначенная для формирования и представления отчетности, организации электронного документооборота и иных целей.</w:t>
      </w:r>
    </w:p>
    <w:p w14:paraId="4B9331C1"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Спецификация (Приложение № 1 к Договору) − документ, содержащий информацию о стоимости и комплекте предоставляемых Абоненту неисключительных прав использования программ для ЭВМ и оказываемых услуг/выполняемых работ.</w:t>
      </w:r>
    </w:p>
    <w:p w14:paraId="68E8896F"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Лицензионный договор (Приложение № 2 к Договору) – договор, устанавливающий порядок передачи и использования Продукта. Является офертой, не требующей подписания Сторонами, полный и безоговорочный акцепт которой Абонентом является существенным условием Договора.</w:t>
      </w:r>
    </w:p>
    <w:p w14:paraId="3BED5CBD"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СКЗИ − программа для ЭВМ средство криптографической защиты информации (средство электронной подписи) «КриптоПро CSP», включая носители и документацию или иные программы для ЭВМ, исключительные права на которые принадлежат ООО «Крипто-Про».</w:t>
      </w:r>
    </w:p>
    <w:p w14:paraId="1C0B8A57"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Сублицензионный договор на использование программы для ЭВМ СКЗИ «КриптоПро CSP» (Приложение № 3 к Договору)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Абонентом является существенным условием Договора, если приобретаются лицензии на право использования СКЗИ.</w:t>
      </w:r>
    </w:p>
    <w:p w14:paraId="01C6F09E"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Тарифный план – совокупность предоставляемых Оператором неисключительных прав использования Продукта и оказываемых услуг. Состав Тарифного плана определяется Прайс-листом.</w:t>
      </w:r>
    </w:p>
    <w:p w14:paraId="48099C0A"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1.7. Прайс-лист − документ (неотъемлемая часть Договора), отражающий ценовую политику Оператора и состав Тарифных планов. Действующая редакция основного Прайс-листа публикуется по адресу </w:t>
      </w:r>
      <w:hyperlink r:id="rId5" w:history="1">
        <w:r>
          <w:rPr>
            <w:rFonts w:ascii="Times" w:hAnsi="Times" w:cs="Times"/>
            <w:color w:val="0000CD"/>
            <w:sz w:val="18"/>
            <w:szCs w:val="18"/>
          </w:rPr>
          <w:t>https://www.kontur-extern.ru</w:t>
        </w:r>
      </w:hyperlink>
      <w:r>
        <w:rPr>
          <w:rFonts w:ascii="Times" w:hAnsi="Times" w:cs="Times"/>
          <w:color w:val="000000"/>
          <w:sz w:val="18"/>
          <w:szCs w:val="18"/>
        </w:rPr>
        <w:t>. Дополнительные Прайс-листы представляются по требованию Абонента. Оператор имеет право в одностороннем порядке вносить изменения и/или дополнения в Прайс-лист путем публикации на сайте.</w:t>
      </w:r>
    </w:p>
    <w:p w14:paraId="33B3FFC8"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1.8. Правила по обеспечению информационной безопасности на рабочем месте − документ, составленный Оператором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Абонента, работающими с использованием СКЗИ. Актуальная редакция Правил публикуется на сайте </w:t>
      </w:r>
      <w:hyperlink r:id="rId6" w:history="1">
        <w:r>
          <w:rPr>
            <w:rFonts w:ascii="Times" w:hAnsi="Times" w:cs="Times"/>
            <w:color w:val="0000CD"/>
            <w:sz w:val="18"/>
            <w:szCs w:val="18"/>
          </w:rPr>
          <w:t>https://ca.kontur.ru</w:t>
        </w:r>
      </w:hyperlink>
      <w:r>
        <w:rPr>
          <w:rFonts w:ascii="Times" w:hAnsi="Times" w:cs="Times"/>
          <w:color w:val="000000"/>
          <w:sz w:val="18"/>
          <w:szCs w:val="18"/>
        </w:rPr>
        <w:t>. Заключением Договора Абонент подтверждает выполнение Оператором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Оператор имеет право в одностороннем порядке вносить изменения и/или дополнения в Правила путем публикации на сайте.</w:t>
      </w:r>
    </w:p>
    <w:p w14:paraId="1B686577"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1.9. Пользовательская документация – справочный текст, размещенный по адресу </w:t>
      </w:r>
      <w:hyperlink r:id="rId7" w:history="1">
        <w:r>
          <w:rPr>
            <w:rFonts w:ascii="Times" w:hAnsi="Times" w:cs="Times"/>
            <w:color w:val="0000CD"/>
            <w:sz w:val="18"/>
            <w:szCs w:val="18"/>
          </w:rPr>
          <w:t>https://support.kontur.ru/extern</w:t>
        </w:r>
      </w:hyperlink>
      <w:r>
        <w:rPr>
          <w:rFonts w:ascii="Times" w:hAnsi="Times" w:cs="Times"/>
          <w:color w:val="000000"/>
          <w:sz w:val="18"/>
          <w:szCs w:val="18"/>
        </w:rPr>
        <w:t xml:space="preserve"> и описывающий порядок работы с Продуктом.</w:t>
      </w:r>
    </w:p>
    <w:p w14:paraId="0F09367D"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1.10.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14:paraId="6F7C0BFC"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Оператор электронного документооборота – обязанности Оператора по отправке отчетности в различные контролирующие органы, установленные нормативными правовыми актами Российской Федерации.</w:t>
      </w:r>
    </w:p>
    <w:p w14:paraId="04E4B3B1"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1.12. Программный интерфейс API (Application Programming Interface) – интерфейс прикладного программирования Продукта, позволяющий провести интеграцию Продукта с информационной системой Абонента.</w:t>
      </w:r>
    </w:p>
    <w:p w14:paraId="54CE4B91"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1.13.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информационной системой Абонента. Состав API-лицензии определяется Прайс-листом.</w:t>
      </w:r>
    </w:p>
    <w:p w14:paraId="0935D158"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14:paraId="70ACE45F"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1.15. Субъект персональных данных – физическое лицо, персональные данные которого Абонент обрабатывает с использованием Продукта.</w:t>
      </w:r>
    </w:p>
    <w:p w14:paraId="33C214B0"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1.16. Сервисный центр – юридическое лицо или индивидуальный предприниматель, уполномоченные Оператором на основании агентского договора представлять интересы Оператора во взаимоотношениях с Абонентом. Список Сервисных центров публикуется на сайте </w:t>
      </w:r>
      <w:hyperlink r:id="rId8" w:history="1">
        <w:r>
          <w:rPr>
            <w:rFonts w:ascii="Times" w:hAnsi="Times" w:cs="Times"/>
            <w:color w:val="0000CD"/>
            <w:sz w:val="18"/>
            <w:szCs w:val="18"/>
          </w:rPr>
          <w:t>https://kontur.ru/contacts/all</w:t>
        </w:r>
      </w:hyperlink>
      <w:r>
        <w:rPr>
          <w:rFonts w:ascii="Times" w:hAnsi="Times" w:cs="Times"/>
          <w:color w:val="000000"/>
          <w:sz w:val="18"/>
          <w:szCs w:val="18"/>
        </w:rPr>
        <w:t>.</w:t>
      </w:r>
    </w:p>
    <w:p w14:paraId="37A0674D" w14:textId="77777777" w:rsidR="00F866C7" w:rsidRDefault="00F866C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ДОГОВОРА</w:t>
      </w:r>
    </w:p>
    <w:p w14:paraId="1FA7B3C4"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Оператор обязуется предоставить Абоненту простую (неисключительную) лицензию на право использования Продукта в пределах, предусмотренных Договором, и оказать услуги по сопровождению Продукта (технической поддержке в виде абонентского обслуживания). Абонент обязуется принять и оплатить предоставленные неисключительные имущественные права и оказанные услуги в порядке, установленном Договором.</w:t>
      </w:r>
      <w:r w:rsidR="00F921FA">
        <w:rPr>
          <w:rFonts w:ascii="Times" w:hAnsi="Times" w:cs="Times"/>
          <w:color w:val="000000"/>
          <w:sz w:val="18"/>
          <w:szCs w:val="18"/>
        </w:rPr>
        <w:t xml:space="preserve"> </w:t>
      </w:r>
    </w:p>
    <w:p w14:paraId="7FA821EB"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Передача права использования Продукта осуществляется на условиях Лицензионного договора на срок, установленный выбранным Тарифным планом.</w:t>
      </w:r>
    </w:p>
    <w:p w14:paraId="702A2BA8"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2.3. Если Абоненту требуется СКЗИ, то Оператор обязуется возмездно передать простые (неисключительные) лицензии на право использования СКЗИ на условиях Сублицензионного договора на срок, установленный выбранным Тарифным планом.</w:t>
      </w:r>
    </w:p>
    <w:p w14:paraId="1CD9AC77"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2.4. При необходимости Абоненту могут быть возмездно предоставлены лицензии на иное программное обеспечение, оказаны иные услуги, выполнены работы, предусмотренные Прайс-листом Оператора.</w:t>
      </w:r>
    </w:p>
    <w:p w14:paraId="65BA2260"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2.5. Оператор либо Сервисный центр могут дополнительно возмездно оказать Абоненту услуги по установке и настройке программных компонентов, необходимых для получения доступа к Продукту и/или СКЗИ на рабочем месте Абонента, обучению специалистов Абонента работе в Продукте.</w:t>
      </w:r>
    </w:p>
    <w:p w14:paraId="30C5B237" w14:textId="77777777" w:rsidR="00F866C7" w:rsidRDefault="00F866C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ПОРЯДОК ИСПОЛНЕНИЯ ОБЯЗАТЕЛЬСТВ ОПЕРАТОРОМ</w:t>
      </w:r>
    </w:p>
    <w:p w14:paraId="2B52ACB1"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В течение 5 (пяти) календарных дней после поступления на расчетный счет Оператора оплаты 30% стоимости Договора Оператор предоставляет Абоненту право использования Продукта путем:</w:t>
      </w:r>
    </w:p>
    <w:p w14:paraId="1DB7CB6F"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3.1.1. открытия доступа к веб-версии Продукта. Реализация Абонентом доступа к Продукту осуществляется путем установки и настройки необходимых для функционирования Продукта дистрибутивов программных компонентов согласно инструкции на сайте </w:t>
      </w:r>
      <w:hyperlink r:id="rId9" w:history="1">
        <w:r>
          <w:rPr>
            <w:rFonts w:ascii="Times" w:hAnsi="Times" w:cs="Times"/>
            <w:color w:val="0000CD"/>
            <w:sz w:val="18"/>
            <w:szCs w:val="18"/>
          </w:rPr>
          <w:t>https://www.kontur-extern.ru/support/start</w:t>
        </w:r>
      </w:hyperlink>
      <w:r>
        <w:rPr>
          <w:rFonts w:ascii="Times" w:hAnsi="Times" w:cs="Times"/>
          <w:color w:val="000000"/>
          <w:sz w:val="18"/>
          <w:szCs w:val="18"/>
        </w:rPr>
        <w:t>;</w:t>
      </w:r>
    </w:p>
    <w:p w14:paraId="2F041F97"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3.1.2. предоставления возможности Абоненту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hyperlink r:id="rId10" w:history="1">
        <w:r>
          <w:rPr>
            <w:rFonts w:ascii="Times" w:hAnsi="Times" w:cs="Times"/>
            <w:color w:val="0000CD"/>
            <w:sz w:val="18"/>
            <w:szCs w:val="18"/>
          </w:rPr>
          <w:t>https://www.kontur.ru/extern</w:t>
        </w:r>
      </w:hyperlink>
      <w:r>
        <w:rPr>
          <w:rFonts w:ascii="Times" w:hAnsi="Times" w:cs="Times"/>
          <w:color w:val="000000"/>
          <w:sz w:val="18"/>
          <w:szCs w:val="18"/>
        </w:rPr>
        <w:t>;</w:t>
      </w:r>
    </w:p>
    <w:p w14:paraId="4C3CBB85"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3.1.3. предоставления Абоненту Ключа разработчика для интеграции Продукта с информационными системами при помощи API.</w:t>
      </w:r>
    </w:p>
    <w:p w14:paraId="50F2CB16"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Необходимым условием использования Продукта является наличие у Абонента:</w:t>
      </w:r>
    </w:p>
    <w:p w14:paraId="0D65E8CE"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3.2.1. подключения к сети Интернет;</w:t>
      </w:r>
    </w:p>
    <w:p w14:paraId="19A0EA33"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3.2.2. учетной записи на сервере Оператора;</w:t>
      </w:r>
    </w:p>
    <w:p w14:paraId="4D456551"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3.2.3. действующего Сертификата;</w:t>
      </w:r>
    </w:p>
    <w:p w14:paraId="7A4CB681"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3.2.4. СКЗИ.</w:t>
      </w:r>
    </w:p>
    <w:p w14:paraId="6C026A26"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Передача права использования Продукта осуществляется в момент открытия доступа Абоненту к серверу Продукта.</w:t>
      </w:r>
    </w:p>
    <w:p w14:paraId="33AF143D"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 Техническая поддержка Продукта и СКЗИ осуществляется с момента открытия доступа к Продукту и до окончания срока действия выбранного Абонентом Тарифного плана в круглосуточном ежедневном режиме в виде абонентского обслуживания путем телефонных консультаций в Федеральном контакт-центре Оператора по телефону 8-800-500-50-80 без ограничения по времени и количеству обращений.</w:t>
      </w:r>
    </w:p>
    <w:p w14:paraId="5EA8394E" w14:textId="77777777" w:rsidR="00F866C7" w:rsidRDefault="00F866C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ПРАВА И ОБЯЗАННОСТИ СТОРОН</w:t>
      </w:r>
    </w:p>
    <w:p w14:paraId="76AB5AAC"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Обязанности Оператора:</w:t>
      </w:r>
    </w:p>
    <w:p w14:paraId="26C2638F"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соответствие Продукта заявленной функциональности, описанной в Пользовательской документации;</w:t>
      </w:r>
    </w:p>
    <w:p w14:paraId="0A722E28"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4.1.2. обеспечение круглосуточной работоспособности и доступности Продукта, за исключением времени проведения профилактических работ. Профилактические работы проводятся не более 2 (двух) рабочих дней в период с 1 по 10 число месяца, преимущественно в ночное время, с извещением Абонента о проводимых работах путем размещения информации в Продукте;</w:t>
      </w:r>
    </w:p>
    <w:p w14:paraId="596179C4"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4.1.3. воздержание от каких-либо действий, способных воспрепятствовать нормальному использованию Абонентом Продукта;</w:t>
      </w:r>
    </w:p>
    <w:p w14:paraId="0B8927C0"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своевременное обновление программного обеспечения на сервере;</w:t>
      </w:r>
    </w:p>
    <w:p w14:paraId="27C6B888"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защита информации, обрабатываемой на сервере Оператора, от несанкционированного доступа;</w:t>
      </w:r>
    </w:p>
    <w:p w14:paraId="0DA213B3"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4.1.6. наличие всех необходимых лицензий для исполнения обязательств по Договору. Место публикации лицензий Оператора </w:t>
      </w:r>
      <w:hyperlink r:id="rId11" w:history="1">
        <w:r>
          <w:rPr>
            <w:rFonts w:ascii="Times" w:hAnsi="Times" w:cs="Times"/>
            <w:color w:val="0000CD"/>
            <w:sz w:val="18"/>
            <w:szCs w:val="18"/>
          </w:rPr>
          <w:t>https://kontur.ru/about/licences</w:t>
        </w:r>
      </w:hyperlink>
      <w:r>
        <w:rPr>
          <w:rFonts w:ascii="Times" w:hAnsi="Times" w:cs="Times"/>
          <w:color w:val="000000"/>
          <w:sz w:val="18"/>
          <w:szCs w:val="18"/>
        </w:rPr>
        <w:t>;</w:t>
      </w:r>
    </w:p>
    <w:p w14:paraId="1DDA68C9"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4.1.7. обеспечение конфиденциальности данных, размещенных Абонентом в Продукте, на весь период их нахождения на сервере;</w:t>
      </w:r>
    </w:p>
    <w:p w14:paraId="5EF2A7AE"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4.1.8. осуществление обязанностей Оператора электронного документооборота.</w:t>
      </w:r>
    </w:p>
    <w:p w14:paraId="1E17B50D"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Обязанности Абонента:</w:t>
      </w:r>
    </w:p>
    <w:p w14:paraId="0E896A59"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 своевременная оплата предоставленных прав использования, услуг, работ Оператора в порядке и сроки, установленные Договором;</w:t>
      </w:r>
    </w:p>
    <w:p w14:paraId="48C19BC4"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4.2.2. соблюдение требований Пользовательской документации при использовании Продукта и СКЗИ;</w:t>
      </w:r>
    </w:p>
    <w:p w14:paraId="46819A53"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14:paraId="750A401C"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4.2.4. представление Оператору всех сведений и документов, необходимых для исполнения Оператором обязательств по Договору;</w:t>
      </w:r>
    </w:p>
    <w:p w14:paraId="254A69D6"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4.2.5. самостоятельное подключение компьютера к сети Интернет;</w:t>
      </w:r>
    </w:p>
    <w:p w14:paraId="32CAED5E"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4.2.6.</w:t>
      </w:r>
      <w:r w:rsidR="000B1C7A">
        <w:rPr>
          <w:rFonts w:ascii="Times" w:hAnsi="Times" w:cs="Times"/>
          <w:color w:val="000000"/>
          <w:sz w:val="18"/>
          <w:szCs w:val="18"/>
        </w:rPr>
        <w:t> </w:t>
      </w:r>
      <w:r>
        <w:rPr>
          <w:rFonts w:ascii="Times" w:hAnsi="Times" w:cs="Times"/>
          <w:color w:val="000000"/>
          <w:sz w:val="18"/>
          <w:szCs w:val="18"/>
        </w:rPr>
        <w:t xml:space="preserve">самостоятельная комплектация рабочего места в соответствии с требованиями, размещенными на сайте </w:t>
      </w:r>
      <w:hyperlink r:id="rId12" w:history="1">
        <w:r>
          <w:rPr>
            <w:rFonts w:ascii="Times" w:hAnsi="Times" w:cs="Times"/>
            <w:color w:val="0000CD"/>
            <w:sz w:val="18"/>
            <w:szCs w:val="18"/>
          </w:rPr>
          <w:t>https://support.kontur.ru/extern</w:t>
        </w:r>
      </w:hyperlink>
      <w:r>
        <w:rPr>
          <w:rFonts w:ascii="Times" w:hAnsi="Times" w:cs="Times"/>
          <w:color w:val="000000"/>
          <w:sz w:val="18"/>
          <w:szCs w:val="18"/>
        </w:rPr>
        <w:t>;</w:t>
      </w:r>
    </w:p>
    <w:p w14:paraId="2E00F296"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4.2.7. отказ от попыток копировать, модифицировать, декомпилировать, деассемблировать Продукт;</w:t>
      </w:r>
    </w:p>
    <w:p w14:paraId="75672A3F"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4.2.8. отказ от попыток получения доступа к информации третьих лиц, хранящейся в Продукте;</w:t>
      </w:r>
    </w:p>
    <w:p w14:paraId="11CCB737"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4.2.9. передача контролирующим органам оформленной в соответствии с гражданским законодательством Российской Федерации доверенности, подтверждающей право уполномоченного представителя на передачу отчетности, а также совершение иных действий, необходимых для организации электронного документооборота с контролирующими органами;</w:t>
      </w:r>
    </w:p>
    <w:p w14:paraId="759D6410"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4.2.10.</w:t>
      </w:r>
      <w:r w:rsidR="000B1C7A">
        <w:rPr>
          <w:rFonts w:ascii="Times" w:hAnsi="Times" w:cs="Times"/>
          <w:color w:val="000000"/>
          <w:sz w:val="18"/>
          <w:szCs w:val="18"/>
        </w:rPr>
        <w:t> </w:t>
      </w:r>
      <w:r>
        <w:rPr>
          <w:rFonts w:ascii="Times" w:hAnsi="Times" w:cs="Times"/>
          <w:color w:val="000000"/>
          <w:sz w:val="18"/>
          <w:szCs w:val="18"/>
        </w:rPr>
        <w:t>отказ от совершения недобросовестных действий с использованием Продукта, в том числе приводящих к повышенной загрузке вычислительных ресурсов и нарушению пропускной способности;</w:t>
      </w:r>
    </w:p>
    <w:p w14:paraId="3214A4A9"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4.2.11. самостоятельное осуществление интеграции информационных систем Абонента с Продуктом с использованием API.</w:t>
      </w:r>
    </w:p>
    <w:p w14:paraId="5CFDC222"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Права Оператора:</w:t>
      </w:r>
    </w:p>
    <w:p w14:paraId="0E0D6AEC"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4.3.1. модификация или выпуск новой версии Продукта в любое время и по любой причине, в том числе в целях удовлетворения потребностей Абонента или требований конкурентоспособности, в целях соблюдения законодательства Российской Федерации. Оператор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14:paraId="33CB87AC"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4.3.2. заключение с третьими лицами любых договоров о предоставлении права использования Продукта, в том числе на условиях, аналогичных условиям Договора.</w:t>
      </w:r>
    </w:p>
    <w:p w14:paraId="2220A435"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 Права Абонента:</w:t>
      </w:r>
    </w:p>
    <w:p w14:paraId="59484D1C"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4.4.1.</w:t>
      </w:r>
      <w:r w:rsidR="000B1C7A">
        <w:rPr>
          <w:rFonts w:ascii="Times" w:hAnsi="Times" w:cs="Times"/>
          <w:color w:val="000000"/>
          <w:sz w:val="18"/>
          <w:szCs w:val="18"/>
        </w:rPr>
        <w:t> </w:t>
      </w:r>
      <w:r>
        <w:rPr>
          <w:rFonts w:ascii="Times" w:hAnsi="Times" w:cs="Times"/>
          <w:color w:val="000000"/>
          <w:sz w:val="18"/>
          <w:szCs w:val="18"/>
        </w:rPr>
        <w:t>получение круглосуточного доступа к серверу с целью использования всех функциональных возможностей Продукта, за исключением времени проведения профилактических работ;</w:t>
      </w:r>
    </w:p>
    <w:p w14:paraId="45C30C6E"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4.4.2. внесение предложений по изменению функциональных возможностей Продукта;</w:t>
      </w:r>
    </w:p>
    <w:p w14:paraId="66C0A8F5"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4.4.3. непредставление отчетов об использовании Продукта Оператору.</w:t>
      </w:r>
    </w:p>
    <w:p w14:paraId="081EA669" w14:textId="77777777" w:rsidR="00F866C7" w:rsidRDefault="00F866C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ФИНАНСОВЫЕ УСЛОВИЯ И ПОРЯДОК СДАЧИ-ПРИЕМКИ</w:t>
      </w:r>
    </w:p>
    <w:p w14:paraId="1AE2B0BC"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Лицензионное вознаграждение за право использования программы для ЭВМ определяется Прайс-листом Оператора и устанавливается в Спецификации. Реализация права использования программ для ЭВМ, внесенных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14:paraId="05A2E4AE"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Цена услуг/работ/ТМЦ Оператора определяется Прайс-листом Оператора и устанавливается в Спецификации без учета НДС. НДС начисляется и предъявляется Абоненту дополнительно к цене по ставке, действующей на дату оплаты счета или осуществления реализации, в соответствии с п. 3 ст. 164 Налогового кодекса Российской Федерации.</w:t>
      </w:r>
    </w:p>
    <w:p w14:paraId="552BAC85"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5.3. Абонент оплачивает выставленный Оператором счет в течение 10 (десяти) рабочих дней с момента его получения путем </w:t>
      </w:r>
      <w:r>
        <w:rPr>
          <w:rFonts w:ascii="Times" w:hAnsi="Times" w:cs="Times"/>
          <w:color w:val="000000"/>
          <w:sz w:val="18"/>
          <w:szCs w:val="18"/>
        </w:rPr>
        <w:lastRenderedPageBreak/>
        <w:t>перечисления 30% суммы, указанной в счете, на расчетный счет Оператора. Оставшиеся 70% оплачиваются Абонентом в течение 10 (десяти) рабочих дней с момента подписания Сторонами УПД.</w:t>
      </w:r>
    </w:p>
    <w:p w14:paraId="078644D5"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5.4. Все расчеты по Договору осуществляются в российских рублях путем безналичного перечисления денежных средств на расчетный счет Оператора.</w:t>
      </w:r>
    </w:p>
    <w:p w14:paraId="450B630A"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5.5. Обязательство Абонента по оплате счета считается исполненным с момента поступления денежных средств на расчетный счет Оператора.</w:t>
      </w:r>
    </w:p>
    <w:p w14:paraId="60E3514B"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5.6. Счет может быть отправлен Абоненту электронной почтой, заказным почтовым отправлением, курьерской службой или в электронном виде, подписанный электронной подписью.</w:t>
      </w:r>
    </w:p>
    <w:p w14:paraId="0BB2A236"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5.7. Общая цена Договора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14:paraId="5F059DAC"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5.8. Стороны подтверждают исполнение обязательств по Договору путем подписания УПД. Абонент обязан вернуть Оператору подписанный экземпляр УПД до момента окончания срока, установленного пп. 5.9-5.10 Договора.</w:t>
      </w:r>
    </w:p>
    <w:p w14:paraId="757EC831"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5.9. В случае отсутствия в течение 10 (десяти) рабочих дней с момента получения Оператором оплаты или начала использования Абонентом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API-лицензий, СКЗИ и права на получение услуг по сопровождению (технической поддержке в виде абонентского обслуживания) переданные права признаются принятыми Абонентом в полном объеме без замечаний.</w:t>
      </w:r>
    </w:p>
    <w:p w14:paraId="1BD2F18B"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5.10. В случае отсутствия в течение 10 (десяти) рабочих дней с момента получения Абонентом УПД мотивированного отказа в письменном виде от приемки оказанных разовых услуг и/или выполненных работ оказанные Оператором услуги/выполненные работы признаются принятыми Абонентом в полном объеме без замечаний. При этом разовыми являются услуги, оказываемые не в виде абонентского обслуживания.</w:t>
      </w:r>
    </w:p>
    <w:p w14:paraId="06893126"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5.11. Мотивированный отказ от приемки прав, услуг, работ может быть отправлен Оператору электронной почтой с последующим отправлением оригинала по почте, либо в электронном виде, подписанный электронной подписью. После истечения срока, установленного для мотивированного отказа, лицензионное вознаграждение, оплаченное Абонентом, возврату не подлежит.</w:t>
      </w:r>
    </w:p>
    <w:p w14:paraId="582F3580"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5.12. В соответствии с законодательством Российской Федерации для проверки предоставленных Оператором прав и оказанных услуг, выполненных работ, предусмотренных Договором, в части их соответствия его условиям, Абонент по собственной инициативе и за свой счет может провести экспертизу.</w:t>
      </w:r>
    </w:p>
    <w:p w14:paraId="26246045" w14:textId="77777777" w:rsidR="00F866C7" w:rsidRDefault="00F866C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ДОГОВОРА. ПОРЯДОК ИЗМЕНЕНИЯ, ДОПОЛНЕНИЯ И РАСТОРЖЕНИЯ. ПОРЯДОК РАЗРЕШЕНИЯ СПОРОВ</w:t>
      </w:r>
    </w:p>
    <w:p w14:paraId="5C8DF8B4"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Договор вступает в силу с момента принятия его условий и действует до конца календарного года, а в части исполнения обязательств - до их полного исполнения Сторонами. Под принятием условий Договора Стороны понимают: подписание Абонентом Договора, фактическое начало использования Абонентом Продукта, оплату Абонентом выставленного Оператором счета, в зависимости от того, какое из этих событий наступит раньше.</w:t>
      </w:r>
    </w:p>
    <w:p w14:paraId="4D8AEFBA"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Любые изменения и/или дополнения к Договору оформляются дополнительным соглашением, которое подписывается обеими Сторонами в том же порядке, что и Договор.</w:t>
      </w:r>
    </w:p>
    <w:p w14:paraId="661B8058"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6.3. В случае нарушения Абонентом условий Договора Оператор вправе незамедлительно блокировать доступ к Продукту без предварительного уведомления Абонента, а также досрочно расторгнуть Договор. Если нарушение условий связано с неоплатой лицензионного вознаграждения, Оператор блокирует доступ до полного погашения задолженности Абонентом.</w:t>
      </w:r>
    </w:p>
    <w:p w14:paraId="48179EA3"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Договор расторгается в случаях, предусмотренных законодательством Российской Федерации и Договором.</w:t>
      </w:r>
    </w:p>
    <w:p w14:paraId="4D2DB7EB"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Все споры и разногласия, возникающие в связи с исполнением и (или) толкованием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 или в электронном виде, подписанной электронной подписью.</w:t>
      </w:r>
    </w:p>
    <w:p w14:paraId="6DF59101" w14:textId="77777777" w:rsidR="00F866C7" w:rsidRDefault="00F866C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ОТВЕТСТВЕННОСТЬ СТОРОН. КОНФИДЕНЦИАЛЬНОСТЬ ИНФОРМАЦИИ. АНТИКОРРУПЦИОННЫЕ УСЛОВИЯ. ФОРС-МАЖОР</w:t>
      </w:r>
    </w:p>
    <w:p w14:paraId="00C8BD04"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За неисполнение или ненадлежащее исполнение обязательств по Договору Стороны будут нести ответственность в соответствии с законодательством Российской Федерации и условиями Договора.</w:t>
      </w:r>
    </w:p>
    <w:p w14:paraId="3007FA6D"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Оператор не будет нести ответственность за невозможность использования Продукта по причинам, не зависящим от Оператора.</w:t>
      </w:r>
    </w:p>
    <w:p w14:paraId="3D1EF560"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Оператор не будет нести ответственность за несоблюдение Абонентом технических требований к рабочему месту, Пользовательской документации, отсутствие у Абонента подключения к сети Интернет, за функционирование Продукта и СКЗИ на неисправном компьютере, либо компьютере, зараженном каким-либо компьютерным вирусом, использование несертифицированного СКЗИ, а также при использовании Абонентом нелицензионного программного обеспечения, а также в случае несвоевременного осуществления Абонентом интеграции Продукта со своей информационной системой с использованием API.</w:t>
      </w:r>
    </w:p>
    <w:p w14:paraId="67B837AE"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7.4. Оператор не будет нести ответственность за ущерб, понесенный Абонентом в результате несоблюдения им Положения ПКЗ-2005 и Правил по обеспечению информационной безопасности на рабочем месте.</w:t>
      </w:r>
    </w:p>
    <w:p w14:paraId="213D019A"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7.5. В случае возникновения у Абонента технических проблем, препятствующих нормальному использованию Продукта, Абонент обязуется незамедлительно обратиться в техническую поддержку Оператора. Оператор не будет нести ответственность за возникшие у Абонента убытки, вызванные техническими проблемами, в случае если Абонент нарушит обязательство, установленное настоящим пунктом.</w:t>
      </w:r>
    </w:p>
    <w:p w14:paraId="3C73404B"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7.6. Совокупный размер ответственности Оператора, включая любые убытки (в случае если Абонент в конкретном случае имеет право на их возмещение), не может превышать стоимости прав, услуг и работ, которые были реализованы Оператором Абоненту по Договору в течение одного года, предшествующего моменту возникновения убытков.</w:t>
      </w:r>
    </w:p>
    <w:p w14:paraId="2C7664CC"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7.7. Оператор будет нести ответственность за неисполнение обязанностей Оператора электронного документооборота в размере реально причиненного ущерба при наличии вины Оператора.</w:t>
      </w:r>
    </w:p>
    <w:p w14:paraId="5505C0FF"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7.8. Оператор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в размере причиненного ущерба при наличии вины Оператора.</w:t>
      </w:r>
    </w:p>
    <w:p w14:paraId="58C9DD23"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7.9. Оператор не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если будет доказано, что такое неисполнение или ненадлежащее исполнение обязательств произошло по вине Абонента или иного участника документооборота.</w:t>
      </w:r>
    </w:p>
    <w:p w14:paraId="53357423"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7.10. Оператор не будет нести ответственность за содержание и достоверность информации, циркулирующей в Продукте.</w:t>
      </w:r>
    </w:p>
    <w:p w14:paraId="44B5362F"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7.11. Оператор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Договором.</w:t>
      </w:r>
    </w:p>
    <w:p w14:paraId="76EC903F"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7.12. Оператор не будет нести ответственность за неполное и/или несвоевременное представление Абонентом отчетности, а также совершение/не совершение Абонентом иных действий, необходимых для организации электронного документооборота по </w:t>
      </w:r>
      <w:r>
        <w:rPr>
          <w:rFonts w:ascii="Times" w:hAnsi="Times" w:cs="Times"/>
          <w:color w:val="000000"/>
          <w:sz w:val="18"/>
          <w:szCs w:val="18"/>
        </w:rPr>
        <w:lastRenderedPageBreak/>
        <w:t>телекоммуникационным каналам связи с контролирующими органами.</w:t>
      </w:r>
    </w:p>
    <w:p w14:paraId="6C66C5A8"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7.13. Оператор не будет нести ответственность за действия, совершаемые пользователями Абонента в Продукте.</w:t>
      </w:r>
    </w:p>
    <w:p w14:paraId="3DB9B924"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7.14.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Договора.</w:t>
      </w:r>
    </w:p>
    <w:p w14:paraId="19005E57"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7.15. Факт заключения Договора не является конфиденциальной информацией.</w:t>
      </w:r>
    </w:p>
    <w:p w14:paraId="3E2FF54A"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7.16.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14:paraId="50E1EEE0"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14:paraId="0695DCCC"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подтверждения факта нарушения одной Стороной положений настоящего пункта Договора и/или неполучения другой Стороной информации об итогах рассмотрения уведомления о нарушении другая Сторона имеет право отказаться от Договора, направив письменное уведомление. Сторона, по инициативе которой расторгнут Договор, вправе требовать возмещения реального ущерба, возникшего в результате расторжения Договора.</w:t>
      </w:r>
    </w:p>
    <w:p w14:paraId="3E443448"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Стороны гарантируют осуществление надлежащего разбирательства по фактам нарушения положений настоящего пункта Договора и применение эффективных мер по предотвращению возможных конфликтных ситуаций.</w:t>
      </w:r>
    </w:p>
    <w:p w14:paraId="59969482"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7.17. Стороны освобождаются от ответственности за неисполнение или ненадлежащее исполнение условий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Договор действует в обычном порядке.</w:t>
      </w:r>
    </w:p>
    <w:p w14:paraId="00CC1DB7" w14:textId="77777777" w:rsidR="00F866C7" w:rsidRDefault="00F866C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ЗАВЕРЕНИЯ ОБ ОБСТОЯТЕЛЬСТВАХ</w:t>
      </w:r>
    </w:p>
    <w:p w14:paraId="319CAAD5"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Каждая из Сторон заявляет и подтверждает другой Стороне, что на момент заключения Договора:</w:t>
      </w:r>
    </w:p>
    <w:p w14:paraId="62526D71"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14:paraId="0F3D7902"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фактически находится по адресу, указанному в ЕГРЮЛ;</w:t>
      </w:r>
    </w:p>
    <w:p w14:paraId="44580191"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Договора и исполнения обязательств по нему;</w:t>
      </w:r>
    </w:p>
    <w:p w14:paraId="7F40E838"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все полномочия, необходимые для заключения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14:paraId="7819B6A9"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Стороны подтверждают, что:</w:t>
      </w:r>
    </w:p>
    <w:p w14:paraId="0D81573A"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Договора;</w:t>
      </w:r>
    </w:p>
    <w:p w14:paraId="35FBF9DA"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Договор не нарушает каких-либо прав на объекты интеллектуальной собственности или иных имущественных прав какого-либо третьего лица;</w:t>
      </w:r>
    </w:p>
    <w:p w14:paraId="1EACF95D"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14:paraId="6CE71E1A"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исполнение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14:paraId="797AC9EC"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8.3. Сторона, полагавшаяся на недостоверные заверения другой Стороны, вправе досрочно расторгнуть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14:paraId="76A153F3"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14:paraId="261E7CCD"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8.5. Абонент заверяет, что при заключении договоров с лицами, обслуживание которых намеревается осуществлять с использованием Продукта, проявил должную осмотрительность, проверил правоспособность таких лиц и полномочия их представителей. Нарушение указанного заверения может привести к незамедлительному одностороннему отказу Оператора от Договора и блокированию Абоненту доступа к Продукту.</w:t>
      </w:r>
    </w:p>
    <w:p w14:paraId="7AA6911F" w14:textId="77777777" w:rsidR="00F866C7" w:rsidRDefault="00F866C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ОБЯЗАТЕЛЬСТВА СТОРОН В ОБЛАСТИ ОБРАБОТКИ ПЕРСОНАЛЬНЫХ ДАННЫХ</w:t>
      </w:r>
    </w:p>
    <w:p w14:paraId="631A4B7E"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Заключение Договора рассматривается Сторонами как поручение Оператора персональных данных (Абонента по Договору) другому лицу, предусмотренное частью 3 статьи 6 Федерального закона от 27.07.2006 № 152-ФЗ «О персональных данных». При этом Абонент поручает Оператору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Абонентом веб-форм Продукта, запись, систематизацию, накопление, хранение на сервере Оператора, уточнение (обновление, изменение) после внесения изменений Абонентом, извлечение, использование, передачу (предоставление, доступ) по телекоммуникационным каналам связи в контролирующие органы, обезличивание, блокирование, удаление, уничтожение персональных данных – исключительно с целью исполнения обязательств, предусмотренных Договором. Абонент дает поручение Оператору в отношении следующего перечня возможных персональных данных (включая, но не ограничиваясь ФИО, ИНН, СНИЛС, пол, дата и место рождения, сведения из документа, удостоверяющего личность, гражданство, место жительства, должность, контактные данные), которые Абонент может разместить в Продукте.</w:t>
      </w:r>
    </w:p>
    <w:p w14:paraId="02CF1D15"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Абонент гарантирует:</w:t>
      </w:r>
    </w:p>
    <w:p w14:paraId="5E9B6F37"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14:paraId="0C0680DB"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9.2.2. что им получено согласие субъектов персональных данных на обработку принадлежащих им персональных данных, в том числе на поручение такой обработки Оператору как третьему лицу;</w:t>
      </w:r>
    </w:p>
    <w:p w14:paraId="7089FCF0"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14:paraId="78B989E8"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 Оператор гарантирует:</w:t>
      </w:r>
    </w:p>
    <w:p w14:paraId="00EC79E7"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9.3.1. соблюдение конфиденциальности и обеспечение безопасности обрабатываемых персональных данных;</w:t>
      </w:r>
    </w:p>
    <w:p w14:paraId="0B0D46B2"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9.3.2. обработку персональных данных на территории Российской Федерации;</w:t>
      </w:r>
    </w:p>
    <w:p w14:paraId="175DE1DA"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9.3.3. принятие необходимых организационных и технических мер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14:paraId="07AE163E"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определение угроз безопасности персональных данных при их обработке;</w:t>
      </w:r>
    </w:p>
    <w:p w14:paraId="3C980088"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установление правил доступа к обрабатываемым персональным данным;</w:t>
      </w:r>
    </w:p>
    <w:p w14:paraId="2E5945D9"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обнаружение фактов несанкционированного доступа к персональным данным и принятие мер по их пресечению;</w:t>
      </w:r>
    </w:p>
    <w:p w14:paraId="31D96F4C"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проведение оценки эффективности принимаемых мер по обеспечению безопасности персональных данных и контроля за принимаемыми мерами.</w:t>
      </w:r>
    </w:p>
    <w:p w14:paraId="7D8F8BCD"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9.4. Оператор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Оператором на сайте </w:t>
      </w:r>
      <w:hyperlink r:id="rId13" w:history="1">
        <w:r w:rsidR="00B82F19" w:rsidRPr="00DF6539">
          <w:rPr>
            <w:rStyle w:val="a3"/>
            <w:rFonts w:ascii="Times" w:hAnsi="Times" w:cs="Times"/>
            <w:sz w:val="18"/>
            <w:szCs w:val="18"/>
          </w:rPr>
          <w:t>https://kontur.ru</w:t>
        </w:r>
      </w:hyperlink>
      <w:r>
        <w:rPr>
          <w:rFonts w:ascii="Times" w:hAnsi="Times" w:cs="Times"/>
          <w:color w:val="000000"/>
          <w:sz w:val="18"/>
          <w:szCs w:val="18"/>
        </w:rPr>
        <w:t>.</w:t>
      </w:r>
    </w:p>
    <w:p w14:paraId="06F32579"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9.5. В случае прекращения действия Договора и/или получения запроса субъекта персональных данных, содержащего отзыв согласия на обработку персональных данных, Абонент вправе направить уведомление Оператору о необходимости удаления персональных данных, размещенных в Продукте. Уведомление о необходимости удаления персональных данных по запросу субъекта, содержащего отзыв согласия на обработку персональных данных, должно быть направлено Оператору не позднее 5 (пяти) рабочих дней с момента получения такого запроса.</w:t>
      </w:r>
    </w:p>
    <w:p w14:paraId="38F138F2"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9.6. По требованию Оператора Абонент обязан предоставить доказательства соблюдения прав субъекта персональных данных, предусмотренных законодательством в области обработки персональных данных.</w:t>
      </w:r>
    </w:p>
    <w:p w14:paraId="19227947"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 Оператор обязуется:</w:t>
      </w:r>
    </w:p>
    <w:p w14:paraId="5A9358B5"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9.7.1. по письменному запросу Абонента в течение срока действия его поручения на обработку персональных данных, в том числе до обработки персональных данных, предоставлять Абоненту документы и иную информацию, подтверждающие принятие мер и соблюдение в целях исполнения поручения Абонента требований, установленных Федеральным законом Российской Федерации от 27.07.2006 № 152-ФЗ «О персональных данных»;</w:t>
      </w:r>
    </w:p>
    <w:p w14:paraId="61BEEF45"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9.7.2. своевременно уведомлять Абонента о случаях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w:t>
      </w:r>
    </w:p>
    <w:p w14:paraId="74EE09E6"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9.8. Принимая условия Договора, Абонент заверяет (по смыслу ст. 431.2 Гражданского кодекса Российской Федерации) о наличии согласий субъектов персональных данных – уполномоченных лиц Абонента, контактные данные (ФИО, номер телефона, адрес электронной почты) которых передаются Абонентом Оператору, на обработку принадлежащих им персональных данных, в том числе на передачу персональных данных Оператору и Сервисным центрам в целях исполнения Договора, включая совершение массовых и (или) автоматических вызовов (все вызовы Оператора, совершаемые с его АТС).</w:t>
      </w:r>
    </w:p>
    <w:p w14:paraId="6AFEA29B" w14:textId="77777777" w:rsidR="00F866C7" w:rsidRDefault="00F866C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10. ДОПОЛНИТЕЛЬНЫЕ УСЛОВИЯ</w:t>
      </w:r>
    </w:p>
    <w:p w14:paraId="45B0FD6F"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10.1. Приложениями к Договору являются:</w:t>
      </w:r>
    </w:p>
    <w:p w14:paraId="31F75F2C"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Спецификация;</w:t>
      </w:r>
    </w:p>
    <w:p w14:paraId="7A0AD846"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w:t>
      </w:r>
    </w:p>
    <w:p w14:paraId="0D17E59A"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Сублицензионный договор.</w:t>
      </w:r>
    </w:p>
    <w:p w14:paraId="68CFF546"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 Стороны договорились о возможности использования факсимиле подписи уполномоченного лица Оператора для подписания Договора и документов, необходимых для заключения и исполнения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Оператора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программе для ЭВМ «Контур.Диадок», правообладателем которой является Оператор и использование которой для целей обмена электронными документами с Оператором в рамках Договора не будет тарифицироваться для Абонента.</w:t>
      </w:r>
    </w:p>
    <w:p w14:paraId="0D015E57"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 Стороны обязуются информировать друг друга в течение 15 (пятнадцати) календарных дней об изменении своих реквизитов, указанных в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14:paraId="088CF644"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10.4. Принимая условия Договора, Абонент дает согласие на получение от Оператора и/или Сервисного центра дополнительной информации и информационных рассылок по указанному при регистрации, а также предоставленному Оператору и/или Сервисному центру в ходе исполнения Договора адресу электронной почты и телефону.</w:t>
      </w:r>
    </w:p>
    <w:p w14:paraId="22D04D32"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10.5. Принимая условия Договора, Абонент подтверждает наличие у него законных оснований для обработки с использованием Продукта принадлежащей ему информации.</w:t>
      </w:r>
    </w:p>
    <w:p w14:paraId="2C2E3D60"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 Принимая условия Договора, Абонент соглашается на массовые и (или) автоматические телефонные вызовы (все вызовы Оператора, совершаемые с его АТС), получение сообщений в мессенджеры, а также на получение голосовых и текстовых сообщений с использованием голосовых роботов, чат-ботов и почтовых ботов Оператора на номер подвижной мобильной связи или адрес электронной почты, с которых произведено обращение, либо указанные уполномоченным лицом Абонента. Согласие распространяется в том числе, но не ограничиваясь на информирование о результатах обращения в Федеральный контакт-центр Оператора, о результатах выполнения работ, оказания услуг, о необходимости обновления/проведения необходимых доработок интеграционных модулей.</w:t>
      </w:r>
    </w:p>
    <w:p w14:paraId="04F546EC"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 Абонент подтверждает, что по смыслу п. 4 ст. 185 Гражданского кодекса Российской Федерации все действия, совершаемые пользователями Абонента в Продукте, признаются Сторонами совершаемыми от имени и в интересах Абонента.</w:t>
      </w:r>
    </w:p>
    <w:p w14:paraId="50AE844E"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 Оператор вправе, в том числе в случае изменения требований законодательства или появления необходимости урегулирования отношений Сторон, которые не были урегулированы на момент заключения Договора, вносить изменения в договор-оферту, публикуемый в Продукте. В таком случае к отношениям Сторон в этой части будут применяться условия оферты с момента ее публикации с изменениями. Такие изменения не могут вводить новые меры ответственности и иным явным образом ухудшать положение Абонента.</w:t>
      </w:r>
    </w:p>
    <w:p w14:paraId="5216837E" w14:textId="77777777" w:rsidR="00F866C7" w:rsidRDefault="00F866C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11. СВЕДЕНИЯ ОБ ОПЕРАТОРЕ</w:t>
      </w:r>
    </w:p>
    <w:tbl>
      <w:tblPr>
        <w:tblW w:w="10632" w:type="dxa"/>
        <w:tblLayout w:type="fixed"/>
        <w:tblCellMar>
          <w:left w:w="0" w:type="dxa"/>
          <w:right w:w="0" w:type="dxa"/>
        </w:tblCellMar>
        <w:tblLook w:val="0000" w:firstRow="0" w:lastRow="0" w:firstColumn="0" w:lastColumn="0" w:noHBand="0" w:noVBand="0"/>
      </w:tblPr>
      <w:tblGrid>
        <w:gridCol w:w="4536"/>
        <w:gridCol w:w="1560"/>
        <w:gridCol w:w="2593"/>
        <w:gridCol w:w="1943"/>
      </w:tblGrid>
      <w:tr w:rsidR="00F866C7" w14:paraId="7EBF3570" w14:textId="77777777" w:rsidTr="000B1C7A">
        <w:tblPrEx>
          <w:tblCellMar>
            <w:top w:w="0" w:type="dxa"/>
            <w:left w:w="0" w:type="dxa"/>
            <w:bottom w:w="0" w:type="dxa"/>
            <w:right w:w="0" w:type="dxa"/>
          </w:tblCellMar>
        </w:tblPrEx>
        <w:tc>
          <w:tcPr>
            <w:tcW w:w="10632" w:type="dxa"/>
            <w:gridSpan w:val="4"/>
            <w:tcBorders>
              <w:top w:val="nil"/>
              <w:left w:val="nil"/>
              <w:bottom w:val="nil"/>
              <w:right w:val="nil"/>
            </w:tcBorders>
          </w:tcPr>
          <w:p w14:paraId="44BF6CD6" w14:textId="77777777" w:rsidR="00F866C7" w:rsidRDefault="00F866C7">
            <w:pPr>
              <w:widowControl w:val="0"/>
              <w:autoSpaceDE w:val="0"/>
              <w:autoSpaceDN w:val="0"/>
              <w:adjustRightInd w:val="0"/>
              <w:spacing w:after="0" w:line="240" w:lineRule="auto"/>
              <w:rPr>
                <w:rFonts w:ascii="Times" w:hAnsi="Times" w:cs="Times"/>
                <w:color w:val="000000"/>
                <w:sz w:val="18"/>
                <w:szCs w:val="18"/>
              </w:rPr>
            </w:pPr>
          </w:p>
        </w:tc>
      </w:tr>
      <w:tr w:rsidR="00F866C7" w14:paraId="21AFA9BE" w14:textId="77777777" w:rsidTr="000B1C7A">
        <w:tblPrEx>
          <w:tblCellMar>
            <w:top w:w="0" w:type="dxa"/>
            <w:left w:w="0" w:type="dxa"/>
            <w:bottom w:w="0" w:type="dxa"/>
            <w:right w:w="0" w:type="dxa"/>
          </w:tblCellMar>
        </w:tblPrEx>
        <w:tc>
          <w:tcPr>
            <w:tcW w:w="10632" w:type="dxa"/>
            <w:gridSpan w:val="4"/>
            <w:tcBorders>
              <w:top w:val="nil"/>
              <w:left w:val="nil"/>
              <w:bottom w:val="nil"/>
              <w:right w:val="nil"/>
            </w:tcBorders>
          </w:tcPr>
          <w:p w14:paraId="087218E1" w14:textId="77777777" w:rsidR="00F866C7" w:rsidRDefault="00F866C7">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t>12. СВЕДЕНИЯ ОБ АБОНЕНТЕ</w:t>
            </w:r>
          </w:p>
          <w:p w14:paraId="1C3127B6" w14:textId="77777777" w:rsidR="00F921FA" w:rsidRPr="00F921FA" w:rsidRDefault="00F921FA" w:rsidP="00F921FA">
            <w:pPr>
              <w:widowControl w:val="0"/>
              <w:autoSpaceDE w:val="0"/>
              <w:autoSpaceDN w:val="0"/>
              <w:adjustRightInd w:val="0"/>
              <w:spacing w:after="0" w:line="240" w:lineRule="auto"/>
              <w:rPr>
                <w:rFonts w:ascii="Times" w:hAnsi="Times" w:cs="Times"/>
                <w:b/>
                <w:color w:val="000000"/>
                <w:sz w:val="18"/>
                <w:szCs w:val="18"/>
              </w:rPr>
            </w:pPr>
            <w:r w:rsidRPr="00F921FA">
              <w:rPr>
                <w:rFonts w:ascii="Times" w:hAnsi="Times" w:cs="Times"/>
                <w:b/>
                <w:color w:val="000000"/>
                <w:sz w:val="18"/>
                <w:szCs w:val="18"/>
              </w:rPr>
              <w:t>Федеральная служба по гидрометеорологии и мониторингу окружающей среды (Росгидромет)</w:t>
            </w:r>
          </w:p>
          <w:p w14:paraId="24CD3EE5" w14:textId="77777777" w:rsidR="00F921FA" w:rsidRPr="00F921FA" w:rsidRDefault="00F921FA" w:rsidP="00F921FA">
            <w:pPr>
              <w:widowControl w:val="0"/>
              <w:autoSpaceDE w:val="0"/>
              <w:autoSpaceDN w:val="0"/>
              <w:adjustRightInd w:val="0"/>
              <w:spacing w:after="0" w:line="240" w:lineRule="auto"/>
              <w:rPr>
                <w:rFonts w:ascii="Times" w:hAnsi="Times" w:cs="Times"/>
                <w:color w:val="000000"/>
                <w:sz w:val="18"/>
                <w:szCs w:val="18"/>
              </w:rPr>
            </w:pPr>
            <w:r w:rsidRPr="00F921FA">
              <w:rPr>
                <w:rFonts w:ascii="Times" w:hAnsi="Times" w:cs="Times"/>
                <w:color w:val="000000"/>
                <w:sz w:val="18"/>
                <w:szCs w:val="18"/>
              </w:rPr>
              <w:t>Юридический адрес: 123242, г. Москва Нововаганьковский пер., д. 12, стр.2</w:t>
            </w:r>
          </w:p>
          <w:p w14:paraId="70F29F7F" w14:textId="77777777" w:rsidR="00F921FA" w:rsidRPr="00F921FA" w:rsidRDefault="00F921FA" w:rsidP="00F921FA">
            <w:pPr>
              <w:widowControl w:val="0"/>
              <w:autoSpaceDE w:val="0"/>
              <w:autoSpaceDN w:val="0"/>
              <w:adjustRightInd w:val="0"/>
              <w:spacing w:after="0" w:line="240" w:lineRule="auto"/>
              <w:rPr>
                <w:rFonts w:ascii="Times" w:hAnsi="Times" w:cs="Times"/>
                <w:color w:val="000000"/>
                <w:sz w:val="18"/>
                <w:szCs w:val="18"/>
              </w:rPr>
            </w:pPr>
            <w:r w:rsidRPr="00F921FA">
              <w:rPr>
                <w:rFonts w:ascii="Times" w:hAnsi="Times" w:cs="Times"/>
                <w:color w:val="000000"/>
                <w:sz w:val="18"/>
                <w:szCs w:val="18"/>
              </w:rPr>
              <w:t>Почтовый адрес: 125993, г. Москва Нововаганьковский пер., дом 12, стр.2</w:t>
            </w:r>
          </w:p>
          <w:p w14:paraId="26DDAFD8" w14:textId="77777777" w:rsidR="00F866C7" w:rsidRPr="000B1C7A" w:rsidRDefault="00F921FA">
            <w:pPr>
              <w:widowControl w:val="0"/>
              <w:autoSpaceDE w:val="0"/>
              <w:autoSpaceDN w:val="0"/>
              <w:adjustRightInd w:val="0"/>
              <w:spacing w:after="0" w:line="240" w:lineRule="auto"/>
              <w:rPr>
                <w:rFonts w:ascii="Times" w:hAnsi="Times" w:cs="Times"/>
                <w:color w:val="000000"/>
                <w:sz w:val="18"/>
                <w:szCs w:val="18"/>
              </w:rPr>
            </w:pPr>
            <w:r w:rsidRPr="00F921FA">
              <w:rPr>
                <w:rFonts w:ascii="Times" w:hAnsi="Times" w:cs="Times"/>
                <w:color w:val="000000"/>
                <w:sz w:val="18"/>
                <w:szCs w:val="18"/>
              </w:rPr>
              <w:lastRenderedPageBreak/>
              <w:t xml:space="preserve">контактные телефоны: +7 (499) 795-20-35, +7 (499) 795-23-08, </w:t>
            </w:r>
            <w:r w:rsidRPr="00F921FA">
              <w:rPr>
                <w:rFonts w:ascii="Times" w:hAnsi="Times" w:cs="Times"/>
                <w:color w:val="000000"/>
                <w:sz w:val="18"/>
                <w:szCs w:val="18"/>
                <w:lang w:val="en-US"/>
              </w:rPr>
              <w:t>e</w:t>
            </w:r>
            <w:r w:rsidRPr="00F921FA">
              <w:rPr>
                <w:rFonts w:ascii="Times" w:hAnsi="Times" w:cs="Times"/>
                <w:color w:val="000000"/>
                <w:sz w:val="18"/>
                <w:szCs w:val="18"/>
              </w:rPr>
              <w:t>-</w:t>
            </w:r>
            <w:r w:rsidRPr="00F921FA">
              <w:rPr>
                <w:rFonts w:ascii="Times" w:hAnsi="Times" w:cs="Times"/>
                <w:color w:val="000000"/>
                <w:sz w:val="18"/>
                <w:szCs w:val="18"/>
                <w:lang w:val="en-US"/>
              </w:rPr>
              <w:t>mail</w:t>
            </w:r>
            <w:r w:rsidRPr="00F921FA">
              <w:rPr>
                <w:rFonts w:ascii="Times" w:hAnsi="Times" w:cs="Times"/>
                <w:color w:val="000000"/>
                <w:sz w:val="18"/>
                <w:szCs w:val="18"/>
              </w:rPr>
              <w:t xml:space="preserve">: </w:t>
            </w:r>
            <w:r>
              <w:rPr>
                <w:rFonts w:ascii="Times" w:hAnsi="Times" w:cs="Times"/>
                <w:color w:val="000000"/>
                <w:sz w:val="18"/>
                <w:szCs w:val="18"/>
                <w:lang w:val="en-US"/>
              </w:rPr>
              <w:t>e</w:t>
            </w:r>
            <w:r w:rsidRPr="00F921FA">
              <w:rPr>
                <w:rFonts w:ascii="Times" w:hAnsi="Times" w:cs="Times"/>
                <w:color w:val="000000"/>
                <w:sz w:val="18"/>
                <w:szCs w:val="18"/>
              </w:rPr>
              <w:t>.</w:t>
            </w:r>
            <w:r>
              <w:rPr>
                <w:rFonts w:ascii="Times" w:hAnsi="Times" w:cs="Times"/>
                <w:color w:val="000000"/>
                <w:sz w:val="18"/>
                <w:szCs w:val="18"/>
                <w:lang w:val="en-US"/>
              </w:rPr>
              <w:t>nazarova</w:t>
            </w:r>
            <w:r w:rsidRPr="00F921FA">
              <w:rPr>
                <w:rFonts w:ascii="Times" w:hAnsi="Times" w:cs="Times"/>
                <w:color w:val="000000"/>
                <w:sz w:val="18"/>
                <w:szCs w:val="18"/>
              </w:rPr>
              <w:t>@</w:t>
            </w:r>
            <w:r w:rsidRPr="00F921FA">
              <w:rPr>
                <w:rFonts w:ascii="Times" w:hAnsi="Times" w:cs="Times"/>
                <w:color w:val="000000"/>
                <w:sz w:val="18"/>
                <w:szCs w:val="18"/>
                <w:lang w:val="en-US"/>
              </w:rPr>
              <w:t>meteorf</w:t>
            </w:r>
            <w:r w:rsidRPr="00F921FA">
              <w:rPr>
                <w:rFonts w:ascii="Times" w:hAnsi="Times" w:cs="Times"/>
                <w:color w:val="000000"/>
                <w:sz w:val="18"/>
                <w:szCs w:val="18"/>
              </w:rPr>
              <w:t>.</w:t>
            </w:r>
            <w:r w:rsidRPr="00F921FA">
              <w:rPr>
                <w:rFonts w:ascii="Times" w:hAnsi="Times" w:cs="Times"/>
                <w:color w:val="000000"/>
                <w:sz w:val="18"/>
                <w:szCs w:val="18"/>
                <w:lang w:val="en-US"/>
              </w:rPr>
              <w:t>ru</w:t>
            </w:r>
          </w:p>
        </w:tc>
      </w:tr>
      <w:tr w:rsidR="00F921FA" w14:paraId="566F66A9" w14:textId="77777777" w:rsidTr="000B1C7A">
        <w:tblPrEx>
          <w:tblCellMar>
            <w:top w:w="0" w:type="dxa"/>
            <w:left w:w="0" w:type="dxa"/>
            <w:bottom w:w="0" w:type="dxa"/>
            <w:right w:w="0" w:type="dxa"/>
          </w:tblCellMar>
        </w:tblPrEx>
        <w:trPr>
          <w:gridAfter w:val="3"/>
          <w:wAfter w:w="6096" w:type="dxa"/>
        </w:trPr>
        <w:tc>
          <w:tcPr>
            <w:tcW w:w="4536" w:type="dxa"/>
            <w:tcBorders>
              <w:top w:val="nil"/>
              <w:left w:val="nil"/>
              <w:bottom w:val="nil"/>
              <w:right w:val="nil"/>
            </w:tcBorders>
          </w:tcPr>
          <w:p w14:paraId="6B0FA14F" w14:textId="77777777" w:rsidR="00F921FA" w:rsidRPr="00F921FA" w:rsidRDefault="00F921FA" w:rsidP="00F921FA">
            <w:pPr>
              <w:widowControl w:val="0"/>
              <w:autoSpaceDE w:val="0"/>
              <w:autoSpaceDN w:val="0"/>
              <w:adjustRightInd w:val="0"/>
              <w:spacing w:after="0" w:line="240" w:lineRule="auto"/>
              <w:rPr>
                <w:rFonts w:ascii="Times" w:hAnsi="Times" w:cs="Times"/>
                <w:color w:val="000000"/>
                <w:sz w:val="18"/>
                <w:szCs w:val="18"/>
              </w:rPr>
            </w:pPr>
            <w:r w:rsidRPr="00F921FA">
              <w:rPr>
                <w:rFonts w:ascii="Times" w:hAnsi="Times" w:cs="Times"/>
                <w:color w:val="000000"/>
                <w:sz w:val="18"/>
                <w:szCs w:val="18"/>
              </w:rPr>
              <w:lastRenderedPageBreak/>
              <w:t>ИНН/КПП 7703092752 / 770301001</w:t>
            </w:r>
          </w:p>
          <w:p w14:paraId="51AC31E2" w14:textId="77777777" w:rsidR="00F921FA" w:rsidRPr="00F921FA" w:rsidRDefault="00F921FA" w:rsidP="00F921FA">
            <w:pPr>
              <w:widowControl w:val="0"/>
              <w:autoSpaceDE w:val="0"/>
              <w:autoSpaceDN w:val="0"/>
              <w:adjustRightInd w:val="0"/>
              <w:spacing w:after="0" w:line="240" w:lineRule="auto"/>
              <w:rPr>
                <w:rFonts w:ascii="Times" w:hAnsi="Times" w:cs="Times"/>
                <w:color w:val="000000"/>
                <w:sz w:val="18"/>
                <w:szCs w:val="18"/>
              </w:rPr>
            </w:pPr>
            <w:r w:rsidRPr="00F921FA">
              <w:rPr>
                <w:rFonts w:ascii="Times" w:hAnsi="Times" w:cs="Times"/>
                <w:color w:val="000000"/>
                <w:sz w:val="18"/>
                <w:szCs w:val="18"/>
              </w:rPr>
              <w:t>Номер казначейского счета: 03211643000000019503</w:t>
            </w:r>
          </w:p>
          <w:p w14:paraId="56029161" w14:textId="77777777" w:rsidR="00F921FA" w:rsidRPr="00F921FA" w:rsidRDefault="00F921FA" w:rsidP="00F921FA">
            <w:pPr>
              <w:widowControl w:val="0"/>
              <w:autoSpaceDE w:val="0"/>
              <w:autoSpaceDN w:val="0"/>
              <w:adjustRightInd w:val="0"/>
              <w:spacing w:after="0" w:line="240" w:lineRule="auto"/>
              <w:rPr>
                <w:rFonts w:ascii="Times" w:hAnsi="Times" w:cs="Times"/>
                <w:color w:val="000000"/>
                <w:sz w:val="18"/>
                <w:szCs w:val="18"/>
              </w:rPr>
            </w:pPr>
            <w:r w:rsidRPr="00F921FA">
              <w:rPr>
                <w:rFonts w:ascii="Times" w:hAnsi="Times" w:cs="Times"/>
                <w:color w:val="000000"/>
                <w:sz w:val="18"/>
                <w:szCs w:val="18"/>
              </w:rPr>
              <w:t>Единый казначейский счет: 40102810045370000002</w:t>
            </w:r>
          </w:p>
          <w:p w14:paraId="3B900DC1" w14:textId="77777777" w:rsidR="00F921FA" w:rsidRPr="00F921FA" w:rsidRDefault="00F921FA" w:rsidP="00F921FA">
            <w:pPr>
              <w:widowControl w:val="0"/>
              <w:autoSpaceDE w:val="0"/>
              <w:autoSpaceDN w:val="0"/>
              <w:adjustRightInd w:val="0"/>
              <w:spacing w:after="0" w:line="240" w:lineRule="auto"/>
              <w:rPr>
                <w:rFonts w:ascii="Times" w:hAnsi="Times" w:cs="Times"/>
                <w:color w:val="000000"/>
                <w:sz w:val="18"/>
                <w:szCs w:val="18"/>
              </w:rPr>
            </w:pPr>
            <w:r w:rsidRPr="00F921FA">
              <w:rPr>
                <w:rFonts w:ascii="Times" w:hAnsi="Times" w:cs="Times"/>
                <w:color w:val="000000"/>
                <w:sz w:val="18"/>
                <w:szCs w:val="18"/>
              </w:rPr>
              <w:t>БИК 024501901</w:t>
            </w:r>
          </w:p>
          <w:p w14:paraId="206C84F3" w14:textId="77777777" w:rsidR="00F921FA" w:rsidRPr="00F921FA" w:rsidRDefault="00F921FA" w:rsidP="00F921FA">
            <w:pPr>
              <w:widowControl w:val="0"/>
              <w:autoSpaceDE w:val="0"/>
              <w:autoSpaceDN w:val="0"/>
              <w:adjustRightInd w:val="0"/>
              <w:spacing w:after="0" w:line="240" w:lineRule="auto"/>
              <w:rPr>
                <w:rFonts w:ascii="Times" w:hAnsi="Times" w:cs="Times"/>
                <w:color w:val="000000"/>
                <w:sz w:val="18"/>
                <w:szCs w:val="18"/>
              </w:rPr>
            </w:pPr>
            <w:r w:rsidRPr="00F921FA">
              <w:rPr>
                <w:rFonts w:ascii="Times" w:hAnsi="Times" w:cs="Times"/>
                <w:color w:val="000000"/>
                <w:sz w:val="18"/>
                <w:szCs w:val="18"/>
              </w:rPr>
              <w:t xml:space="preserve">Операционный департамент Банка России/Межрегиональное операционное управление Федерального казначейства </w:t>
            </w:r>
          </w:p>
          <w:p w14:paraId="7E351DF7" w14:textId="77777777" w:rsidR="00F921FA" w:rsidRPr="00F921FA" w:rsidRDefault="00F921FA" w:rsidP="00F921FA">
            <w:pPr>
              <w:widowControl w:val="0"/>
              <w:autoSpaceDE w:val="0"/>
              <w:autoSpaceDN w:val="0"/>
              <w:adjustRightInd w:val="0"/>
              <w:spacing w:after="0" w:line="240" w:lineRule="auto"/>
              <w:rPr>
                <w:rFonts w:ascii="Times" w:hAnsi="Times" w:cs="Times"/>
                <w:color w:val="000000"/>
                <w:sz w:val="18"/>
                <w:szCs w:val="18"/>
              </w:rPr>
            </w:pPr>
            <w:r w:rsidRPr="00F921FA">
              <w:rPr>
                <w:rFonts w:ascii="Times" w:hAnsi="Times" w:cs="Times"/>
                <w:color w:val="000000"/>
                <w:sz w:val="18"/>
                <w:szCs w:val="18"/>
              </w:rPr>
              <w:t xml:space="preserve">г. Москва (Межрегиональное операционное управление Федерального казначейства Федеральная служба по гидрометеорологии и мониторингу окружающей среды л/с 03951001690)  </w:t>
            </w:r>
          </w:p>
          <w:p w14:paraId="56CB75B4" w14:textId="77777777" w:rsidR="00F921FA" w:rsidRDefault="00F921FA">
            <w:pPr>
              <w:widowControl w:val="0"/>
              <w:autoSpaceDE w:val="0"/>
              <w:autoSpaceDN w:val="0"/>
              <w:adjustRightInd w:val="0"/>
              <w:spacing w:after="0" w:line="240" w:lineRule="auto"/>
              <w:rPr>
                <w:rFonts w:ascii="Times" w:hAnsi="Times" w:cs="Times"/>
                <w:b/>
                <w:bCs/>
                <w:color w:val="000000"/>
                <w:sz w:val="18"/>
                <w:szCs w:val="18"/>
              </w:rPr>
            </w:pPr>
          </w:p>
        </w:tc>
      </w:tr>
      <w:tr w:rsidR="00F866C7" w14:paraId="5B1BFF4D" w14:textId="77777777" w:rsidTr="000B1C7A">
        <w:tblPrEx>
          <w:tblCellMar>
            <w:top w:w="0" w:type="dxa"/>
            <w:left w:w="0" w:type="dxa"/>
            <w:bottom w:w="0" w:type="dxa"/>
            <w:right w:w="0" w:type="dxa"/>
          </w:tblCellMar>
        </w:tblPrEx>
        <w:trPr>
          <w:gridAfter w:val="3"/>
          <w:wAfter w:w="6096" w:type="dxa"/>
        </w:trPr>
        <w:tc>
          <w:tcPr>
            <w:tcW w:w="4536" w:type="dxa"/>
            <w:tcBorders>
              <w:top w:val="nil"/>
              <w:left w:val="nil"/>
              <w:bottom w:val="nil"/>
              <w:right w:val="nil"/>
            </w:tcBorders>
          </w:tcPr>
          <w:p w14:paraId="0AC24D4B" w14:textId="77777777" w:rsidR="00F866C7" w:rsidRDefault="00F866C7">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t>13. ПОДПИСИ СТОРОН</w:t>
            </w:r>
          </w:p>
        </w:tc>
      </w:tr>
      <w:tr w:rsidR="00F921FA" w14:paraId="71A68E9C" w14:textId="77777777" w:rsidTr="000B1C7A">
        <w:tblPrEx>
          <w:tblCellMar>
            <w:top w:w="0" w:type="dxa"/>
            <w:left w:w="0" w:type="dxa"/>
            <w:bottom w:w="0" w:type="dxa"/>
            <w:right w:w="0" w:type="dxa"/>
          </w:tblCellMar>
        </w:tblPrEx>
        <w:trPr>
          <w:gridAfter w:val="3"/>
          <w:wAfter w:w="6096" w:type="dxa"/>
        </w:trPr>
        <w:tc>
          <w:tcPr>
            <w:tcW w:w="4536" w:type="dxa"/>
            <w:tcBorders>
              <w:top w:val="nil"/>
              <w:left w:val="nil"/>
              <w:bottom w:val="nil"/>
              <w:right w:val="nil"/>
            </w:tcBorders>
          </w:tcPr>
          <w:p w14:paraId="5C1E0AA2" w14:textId="77777777" w:rsidR="00F921FA" w:rsidRDefault="00F921FA">
            <w:pPr>
              <w:widowControl w:val="0"/>
              <w:autoSpaceDE w:val="0"/>
              <w:autoSpaceDN w:val="0"/>
              <w:adjustRightInd w:val="0"/>
              <w:spacing w:after="0" w:line="240" w:lineRule="auto"/>
              <w:rPr>
                <w:rFonts w:ascii="Times" w:hAnsi="Times" w:cs="Times"/>
                <w:b/>
                <w:bCs/>
                <w:color w:val="000000"/>
                <w:sz w:val="18"/>
                <w:szCs w:val="18"/>
              </w:rPr>
            </w:pPr>
          </w:p>
          <w:p w14:paraId="078AC4A4" w14:textId="77777777" w:rsidR="00F921FA" w:rsidRDefault="00F921FA">
            <w:pPr>
              <w:widowControl w:val="0"/>
              <w:autoSpaceDE w:val="0"/>
              <w:autoSpaceDN w:val="0"/>
              <w:adjustRightInd w:val="0"/>
              <w:spacing w:after="0" w:line="240" w:lineRule="auto"/>
              <w:rPr>
                <w:rFonts w:ascii="Times" w:hAnsi="Times" w:cs="Times"/>
                <w:b/>
                <w:bCs/>
                <w:color w:val="000000"/>
                <w:sz w:val="18"/>
                <w:szCs w:val="18"/>
              </w:rPr>
            </w:pPr>
          </w:p>
        </w:tc>
      </w:tr>
      <w:tr w:rsidR="00F866C7" w14:paraId="278BC7CC" w14:textId="77777777" w:rsidTr="000B1C7A">
        <w:tblPrEx>
          <w:tblCellMar>
            <w:top w:w="0" w:type="dxa"/>
            <w:left w:w="0" w:type="dxa"/>
            <w:bottom w:w="0" w:type="dxa"/>
            <w:right w:w="0" w:type="dxa"/>
          </w:tblCellMar>
        </w:tblPrEx>
        <w:tc>
          <w:tcPr>
            <w:tcW w:w="6096" w:type="dxa"/>
            <w:gridSpan w:val="2"/>
            <w:tcBorders>
              <w:top w:val="nil"/>
              <w:left w:val="nil"/>
              <w:bottom w:val="nil"/>
              <w:right w:val="nil"/>
            </w:tcBorders>
          </w:tcPr>
          <w:p w14:paraId="1DB9D802" w14:textId="77777777" w:rsidR="00F866C7" w:rsidRPr="00F921FA" w:rsidRDefault="00F866C7">
            <w:pPr>
              <w:widowControl w:val="0"/>
              <w:autoSpaceDE w:val="0"/>
              <w:autoSpaceDN w:val="0"/>
              <w:adjustRightInd w:val="0"/>
              <w:spacing w:after="0" w:line="240" w:lineRule="auto"/>
              <w:rPr>
                <w:rFonts w:ascii="Times" w:hAnsi="Times" w:cs="Times"/>
                <w:b/>
                <w:bCs/>
                <w:color w:val="000000"/>
                <w:sz w:val="18"/>
                <w:szCs w:val="18"/>
              </w:rPr>
            </w:pPr>
            <w:r w:rsidRPr="00F921FA">
              <w:rPr>
                <w:rFonts w:ascii="Times" w:hAnsi="Times" w:cs="Times"/>
                <w:b/>
                <w:bCs/>
                <w:color w:val="000000"/>
                <w:sz w:val="18"/>
                <w:szCs w:val="18"/>
              </w:rPr>
              <w:t>ОПЕРАТОР</w:t>
            </w:r>
          </w:p>
        </w:tc>
        <w:tc>
          <w:tcPr>
            <w:tcW w:w="4536" w:type="dxa"/>
            <w:gridSpan w:val="2"/>
            <w:tcBorders>
              <w:top w:val="nil"/>
              <w:left w:val="nil"/>
              <w:bottom w:val="nil"/>
              <w:right w:val="nil"/>
            </w:tcBorders>
          </w:tcPr>
          <w:p w14:paraId="7DA07667" w14:textId="77777777" w:rsidR="00F866C7" w:rsidRPr="00F921FA" w:rsidRDefault="00F866C7">
            <w:pPr>
              <w:widowControl w:val="0"/>
              <w:autoSpaceDE w:val="0"/>
              <w:autoSpaceDN w:val="0"/>
              <w:adjustRightInd w:val="0"/>
              <w:spacing w:after="0" w:line="240" w:lineRule="auto"/>
              <w:rPr>
                <w:rFonts w:ascii="Times" w:hAnsi="Times" w:cs="Times"/>
                <w:b/>
                <w:bCs/>
                <w:color w:val="000000"/>
                <w:sz w:val="18"/>
                <w:szCs w:val="18"/>
              </w:rPr>
            </w:pPr>
            <w:r w:rsidRPr="00F921FA">
              <w:rPr>
                <w:rFonts w:ascii="Times" w:hAnsi="Times" w:cs="Times"/>
                <w:b/>
                <w:bCs/>
                <w:color w:val="000000"/>
                <w:sz w:val="18"/>
                <w:szCs w:val="18"/>
              </w:rPr>
              <w:t>АБОНЕНТ</w:t>
            </w:r>
          </w:p>
          <w:p w14:paraId="0FEB37AB" w14:textId="77777777" w:rsidR="00F921FA" w:rsidRDefault="00F921FA">
            <w:pPr>
              <w:widowControl w:val="0"/>
              <w:autoSpaceDE w:val="0"/>
              <w:autoSpaceDN w:val="0"/>
              <w:adjustRightInd w:val="0"/>
              <w:spacing w:after="0" w:line="240" w:lineRule="auto"/>
              <w:rPr>
                <w:rFonts w:ascii="Times" w:hAnsi="Times" w:cs="Times"/>
                <w:color w:val="000000"/>
                <w:sz w:val="18"/>
                <w:szCs w:val="18"/>
              </w:rPr>
            </w:pPr>
            <w:r w:rsidRPr="00F921FA">
              <w:rPr>
                <w:rFonts w:ascii="Times" w:hAnsi="Times" w:cs="Times"/>
                <w:color w:val="000000"/>
                <w:sz w:val="18"/>
                <w:szCs w:val="18"/>
              </w:rPr>
              <w:t>Федеральная служба по гидрометеорологии и мониторингу окружающей среды (Росгидромет)</w:t>
            </w:r>
          </w:p>
          <w:p w14:paraId="4DC3647A" w14:textId="77777777" w:rsidR="00F921FA" w:rsidRDefault="00F921FA">
            <w:pPr>
              <w:widowControl w:val="0"/>
              <w:autoSpaceDE w:val="0"/>
              <w:autoSpaceDN w:val="0"/>
              <w:adjustRightInd w:val="0"/>
              <w:spacing w:after="0" w:line="240" w:lineRule="auto"/>
              <w:rPr>
                <w:rFonts w:ascii="Times" w:hAnsi="Times" w:cs="Times"/>
                <w:color w:val="000000"/>
                <w:sz w:val="18"/>
                <w:szCs w:val="18"/>
              </w:rPr>
            </w:pPr>
          </w:p>
          <w:p w14:paraId="5BF26F7D" w14:textId="77777777" w:rsidR="00F921FA" w:rsidRDefault="00F921FA">
            <w:pPr>
              <w:widowControl w:val="0"/>
              <w:autoSpaceDE w:val="0"/>
              <w:autoSpaceDN w:val="0"/>
              <w:adjustRightInd w:val="0"/>
              <w:spacing w:after="0" w:line="240" w:lineRule="auto"/>
              <w:rPr>
                <w:rFonts w:ascii="Times" w:hAnsi="Times" w:cs="Times"/>
                <w:color w:val="000000"/>
                <w:sz w:val="18"/>
                <w:szCs w:val="18"/>
              </w:rPr>
            </w:pPr>
          </w:p>
          <w:p w14:paraId="7EAC0013" w14:textId="77777777" w:rsidR="00F921FA" w:rsidRDefault="00F921FA">
            <w:pPr>
              <w:widowControl w:val="0"/>
              <w:autoSpaceDE w:val="0"/>
              <w:autoSpaceDN w:val="0"/>
              <w:adjustRightInd w:val="0"/>
              <w:spacing w:after="0" w:line="240" w:lineRule="auto"/>
              <w:rPr>
                <w:rFonts w:ascii="Times" w:hAnsi="Times" w:cs="Times"/>
                <w:color w:val="000000"/>
                <w:sz w:val="18"/>
                <w:szCs w:val="18"/>
              </w:rPr>
            </w:pPr>
          </w:p>
        </w:tc>
      </w:tr>
      <w:tr w:rsidR="00F866C7" w14:paraId="4457679D" w14:textId="77777777" w:rsidTr="000B1C7A">
        <w:tblPrEx>
          <w:tblCellMar>
            <w:top w:w="0" w:type="dxa"/>
            <w:left w:w="0" w:type="dxa"/>
            <w:bottom w:w="0" w:type="dxa"/>
            <w:right w:w="0" w:type="dxa"/>
          </w:tblCellMar>
        </w:tblPrEx>
        <w:trPr>
          <w:trHeight w:val="170"/>
        </w:trPr>
        <w:tc>
          <w:tcPr>
            <w:tcW w:w="4536" w:type="dxa"/>
            <w:tcBorders>
              <w:top w:val="nil"/>
              <w:left w:val="nil"/>
              <w:bottom w:val="single" w:sz="6" w:space="0" w:color="000000"/>
              <w:right w:val="nil"/>
            </w:tcBorders>
          </w:tcPr>
          <w:p w14:paraId="387CB05B" w14:textId="77777777" w:rsidR="00F866C7" w:rsidRDefault="00F866C7">
            <w:pPr>
              <w:widowControl w:val="0"/>
              <w:autoSpaceDE w:val="0"/>
              <w:autoSpaceDN w:val="0"/>
              <w:adjustRightInd w:val="0"/>
              <w:spacing w:after="0" w:line="240" w:lineRule="auto"/>
              <w:rPr>
                <w:rFonts w:ascii="Times" w:hAnsi="Times" w:cs="Times"/>
                <w:color w:val="000000"/>
                <w:sz w:val="18"/>
                <w:szCs w:val="18"/>
              </w:rPr>
            </w:pPr>
          </w:p>
        </w:tc>
        <w:tc>
          <w:tcPr>
            <w:tcW w:w="1560" w:type="dxa"/>
            <w:tcBorders>
              <w:top w:val="nil"/>
              <w:left w:val="nil"/>
              <w:bottom w:val="nil"/>
              <w:right w:val="nil"/>
            </w:tcBorders>
          </w:tcPr>
          <w:p w14:paraId="22866555" w14:textId="77777777" w:rsidR="00F866C7" w:rsidRDefault="00F866C7">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w:t>
            </w:r>
          </w:p>
        </w:tc>
        <w:tc>
          <w:tcPr>
            <w:tcW w:w="2593" w:type="dxa"/>
            <w:tcBorders>
              <w:top w:val="nil"/>
              <w:left w:val="nil"/>
              <w:bottom w:val="single" w:sz="6" w:space="0" w:color="000000"/>
              <w:right w:val="nil"/>
            </w:tcBorders>
          </w:tcPr>
          <w:p w14:paraId="18EA324B" w14:textId="77777777" w:rsidR="00F866C7" w:rsidRDefault="00F866C7">
            <w:pPr>
              <w:widowControl w:val="0"/>
              <w:autoSpaceDE w:val="0"/>
              <w:autoSpaceDN w:val="0"/>
              <w:adjustRightInd w:val="0"/>
              <w:spacing w:after="0" w:line="240" w:lineRule="auto"/>
              <w:rPr>
                <w:rFonts w:ascii="Times" w:hAnsi="Times" w:cs="Times"/>
                <w:color w:val="000000"/>
                <w:sz w:val="18"/>
                <w:szCs w:val="18"/>
              </w:rPr>
            </w:pPr>
          </w:p>
        </w:tc>
        <w:tc>
          <w:tcPr>
            <w:tcW w:w="1943" w:type="dxa"/>
            <w:tcBorders>
              <w:top w:val="nil"/>
              <w:left w:val="nil"/>
              <w:bottom w:val="nil"/>
              <w:right w:val="nil"/>
            </w:tcBorders>
          </w:tcPr>
          <w:p w14:paraId="6B981480" w14:textId="77777777" w:rsidR="00F866C7" w:rsidRPr="00F921FA" w:rsidRDefault="00F921FA">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lang w:val="en-US"/>
              </w:rPr>
              <w:t>/</w:t>
            </w:r>
            <w:r>
              <w:rPr>
                <w:rFonts w:ascii="Times" w:hAnsi="Times" w:cs="Times"/>
                <w:color w:val="000000"/>
                <w:sz w:val="18"/>
                <w:szCs w:val="18"/>
              </w:rPr>
              <w:t>М.Ю. Кутузов/</w:t>
            </w:r>
          </w:p>
        </w:tc>
      </w:tr>
      <w:tr w:rsidR="00F866C7" w14:paraId="7E0324FE" w14:textId="77777777" w:rsidTr="000B1C7A">
        <w:tblPrEx>
          <w:tblCellMar>
            <w:top w:w="0" w:type="dxa"/>
            <w:left w:w="0" w:type="dxa"/>
            <w:bottom w:w="0" w:type="dxa"/>
            <w:right w:w="0" w:type="dxa"/>
          </w:tblCellMar>
        </w:tblPrEx>
        <w:trPr>
          <w:trHeight w:val="170"/>
        </w:trPr>
        <w:tc>
          <w:tcPr>
            <w:tcW w:w="6096" w:type="dxa"/>
            <w:gridSpan w:val="2"/>
            <w:tcBorders>
              <w:top w:val="nil"/>
              <w:left w:val="nil"/>
              <w:bottom w:val="nil"/>
              <w:right w:val="nil"/>
            </w:tcBorders>
          </w:tcPr>
          <w:p w14:paraId="682EC847" w14:textId="77777777" w:rsidR="00F866C7" w:rsidRDefault="00F866C7">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c>
          <w:tcPr>
            <w:tcW w:w="4536" w:type="dxa"/>
            <w:gridSpan w:val="2"/>
            <w:tcBorders>
              <w:top w:val="nil"/>
              <w:left w:val="nil"/>
              <w:bottom w:val="nil"/>
              <w:right w:val="nil"/>
            </w:tcBorders>
          </w:tcPr>
          <w:p w14:paraId="65C62841" w14:textId="77777777" w:rsidR="00F866C7" w:rsidRDefault="00F866C7">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r>
    </w:tbl>
    <w:p w14:paraId="59AF2D3E" w14:textId="77777777" w:rsidR="00F866C7" w:rsidRDefault="00F866C7">
      <w:pPr>
        <w:widowControl w:val="0"/>
        <w:autoSpaceDE w:val="0"/>
        <w:autoSpaceDN w:val="0"/>
        <w:adjustRightInd w:val="0"/>
        <w:spacing w:after="0" w:line="240" w:lineRule="auto"/>
        <w:rPr>
          <w:rFonts w:ascii="Arial" w:hAnsi="Arial" w:cs="Arial"/>
          <w:sz w:val="24"/>
          <w:szCs w:val="24"/>
        </w:rPr>
        <w:sectPr w:rsidR="00F866C7">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F866C7" w14:paraId="13C09A7A" w14:textId="77777777">
        <w:tblPrEx>
          <w:tblCellMar>
            <w:top w:w="0" w:type="dxa"/>
            <w:left w:w="0" w:type="dxa"/>
            <w:bottom w:w="0" w:type="dxa"/>
            <w:right w:w="0" w:type="dxa"/>
          </w:tblCellMar>
        </w:tblPrEx>
        <w:tc>
          <w:tcPr>
            <w:tcW w:w="1133" w:type="dxa"/>
            <w:tcBorders>
              <w:top w:val="nil"/>
              <w:left w:val="nil"/>
              <w:bottom w:val="nil"/>
              <w:right w:val="nil"/>
            </w:tcBorders>
          </w:tcPr>
          <w:p w14:paraId="30677EDD" w14:textId="77777777" w:rsidR="00F866C7" w:rsidRDefault="00F866C7">
            <w:pPr>
              <w:widowControl w:val="0"/>
              <w:autoSpaceDE w:val="0"/>
              <w:autoSpaceDN w:val="0"/>
              <w:adjustRightInd w:val="0"/>
              <w:spacing w:after="0" w:line="240" w:lineRule="auto"/>
              <w:rPr>
                <w:rFonts w:ascii="Times" w:hAnsi="Times" w:cs="Times"/>
                <w:color w:val="000000"/>
                <w:sz w:val="17"/>
                <w:szCs w:val="17"/>
              </w:rPr>
            </w:pPr>
          </w:p>
        </w:tc>
        <w:tc>
          <w:tcPr>
            <w:tcW w:w="9467" w:type="dxa"/>
            <w:tcBorders>
              <w:top w:val="nil"/>
              <w:left w:val="nil"/>
              <w:bottom w:val="nil"/>
              <w:right w:val="nil"/>
            </w:tcBorders>
          </w:tcPr>
          <w:p w14:paraId="0D7AA7E0" w14:textId="77777777" w:rsidR="00F866C7" w:rsidRDefault="00F866C7">
            <w:pPr>
              <w:widowControl w:val="0"/>
              <w:autoSpaceDE w:val="0"/>
              <w:autoSpaceDN w:val="0"/>
              <w:adjustRightInd w:val="0"/>
              <w:spacing w:after="0" w:line="240" w:lineRule="auto"/>
              <w:jc w:val="right"/>
              <w:rPr>
                <w:rFonts w:ascii="Times" w:hAnsi="Times" w:cs="Times"/>
                <w:b/>
                <w:bCs/>
                <w:color w:val="000000"/>
                <w:sz w:val="17"/>
                <w:szCs w:val="17"/>
              </w:rPr>
            </w:pPr>
            <w:r>
              <w:rPr>
                <w:rFonts w:ascii="Times" w:hAnsi="Times" w:cs="Times"/>
                <w:b/>
                <w:bCs/>
                <w:color w:val="000000"/>
                <w:sz w:val="17"/>
                <w:szCs w:val="17"/>
              </w:rPr>
              <w:t>Приложение 1</w:t>
            </w:r>
          </w:p>
          <w:p w14:paraId="3586E9B5" w14:textId="77777777" w:rsidR="00F866C7" w:rsidRDefault="00F866C7">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к Договору № </w:t>
            </w:r>
            <w:r w:rsidR="00546ED2">
              <w:rPr>
                <w:rFonts w:ascii="Times" w:hAnsi="Times" w:cs="Times"/>
                <w:color w:val="000000"/>
                <w:sz w:val="17"/>
                <w:szCs w:val="17"/>
              </w:rPr>
              <w:t xml:space="preserve">      </w:t>
            </w:r>
            <w:r>
              <w:rPr>
                <w:rFonts w:ascii="Times" w:hAnsi="Times" w:cs="Times"/>
                <w:color w:val="000000"/>
                <w:sz w:val="17"/>
                <w:szCs w:val="17"/>
              </w:rPr>
              <w:t> от </w:t>
            </w:r>
            <w:r w:rsidR="00546ED2">
              <w:rPr>
                <w:rFonts w:ascii="Times" w:hAnsi="Times" w:cs="Times"/>
                <w:color w:val="000000"/>
                <w:sz w:val="17"/>
                <w:szCs w:val="17"/>
              </w:rPr>
              <w:t xml:space="preserve">  </w:t>
            </w:r>
            <w:r>
              <w:rPr>
                <w:rFonts w:ascii="Times" w:hAnsi="Times" w:cs="Times"/>
                <w:color w:val="000000"/>
                <w:sz w:val="17"/>
                <w:szCs w:val="17"/>
              </w:rPr>
              <w:t>.2026</w:t>
            </w:r>
          </w:p>
        </w:tc>
      </w:tr>
      <w:tr w:rsidR="00F866C7" w14:paraId="56B9D96A" w14:textId="77777777">
        <w:tblPrEx>
          <w:tblCellMar>
            <w:top w:w="0" w:type="dxa"/>
            <w:left w:w="0" w:type="dxa"/>
            <w:bottom w:w="0" w:type="dxa"/>
            <w:right w:w="0" w:type="dxa"/>
          </w:tblCellMar>
        </w:tblPrEx>
        <w:tc>
          <w:tcPr>
            <w:tcW w:w="10600" w:type="dxa"/>
            <w:gridSpan w:val="2"/>
            <w:tcBorders>
              <w:top w:val="nil"/>
              <w:left w:val="nil"/>
              <w:bottom w:val="nil"/>
              <w:right w:val="nil"/>
            </w:tcBorders>
          </w:tcPr>
          <w:p w14:paraId="5EF2E600" w14:textId="77777777" w:rsidR="00F866C7" w:rsidRDefault="00F866C7">
            <w:pPr>
              <w:widowControl w:val="0"/>
              <w:autoSpaceDE w:val="0"/>
              <w:autoSpaceDN w:val="0"/>
              <w:adjustRightInd w:val="0"/>
              <w:spacing w:after="0" w:line="240" w:lineRule="auto"/>
              <w:jc w:val="center"/>
              <w:rPr>
                <w:rFonts w:ascii="Times" w:hAnsi="Times" w:cs="Times"/>
                <w:b/>
                <w:bCs/>
                <w:color w:val="000000"/>
                <w:sz w:val="17"/>
                <w:szCs w:val="17"/>
              </w:rPr>
            </w:pPr>
            <w:r>
              <w:rPr>
                <w:rFonts w:ascii="Times" w:hAnsi="Times" w:cs="Times"/>
                <w:b/>
                <w:bCs/>
                <w:color w:val="000000"/>
                <w:sz w:val="17"/>
                <w:szCs w:val="17"/>
              </w:rPr>
              <w:t>Спецификация №</w:t>
            </w:r>
            <w:r w:rsidR="00F921FA">
              <w:rPr>
                <w:rFonts w:ascii="Times" w:hAnsi="Times" w:cs="Times"/>
                <w:b/>
                <w:bCs/>
                <w:color w:val="000000"/>
                <w:sz w:val="17"/>
                <w:szCs w:val="17"/>
              </w:rPr>
              <w:t xml:space="preserve"> </w:t>
            </w:r>
            <w:r>
              <w:rPr>
                <w:rFonts w:ascii="Times" w:hAnsi="Times" w:cs="Times"/>
                <w:b/>
                <w:bCs/>
                <w:color w:val="000000"/>
                <w:sz w:val="17"/>
                <w:szCs w:val="17"/>
              </w:rPr>
              <w:t xml:space="preserve">1 от </w:t>
            </w:r>
            <w:r w:rsidR="00546ED2">
              <w:rPr>
                <w:rFonts w:ascii="Times" w:hAnsi="Times" w:cs="Times"/>
                <w:b/>
                <w:bCs/>
                <w:color w:val="000000"/>
                <w:sz w:val="17"/>
                <w:szCs w:val="17"/>
              </w:rPr>
              <w:t xml:space="preserve">  </w:t>
            </w:r>
            <w:r>
              <w:rPr>
                <w:rFonts w:ascii="Times" w:hAnsi="Times" w:cs="Times"/>
                <w:b/>
                <w:bCs/>
                <w:color w:val="000000"/>
                <w:sz w:val="17"/>
                <w:szCs w:val="17"/>
              </w:rPr>
              <w:t>.2026</w:t>
            </w:r>
          </w:p>
          <w:p w14:paraId="276E8A3C" w14:textId="77777777" w:rsidR="00F866C7" w:rsidRDefault="00F866C7">
            <w:pPr>
              <w:widowControl w:val="0"/>
              <w:autoSpaceDE w:val="0"/>
              <w:autoSpaceDN w:val="0"/>
              <w:adjustRightInd w:val="0"/>
              <w:spacing w:after="0" w:line="240" w:lineRule="auto"/>
              <w:jc w:val="center"/>
              <w:rPr>
                <w:rFonts w:ascii="Times" w:hAnsi="Times" w:cs="Times"/>
                <w:color w:val="000000"/>
                <w:sz w:val="17"/>
                <w:szCs w:val="17"/>
              </w:rPr>
            </w:pPr>
            <w:r>
              <w:rPr>
                <w:rFonts w:ascii="Times" w:hAnsi="Times" w:cs="Times"/>
                <w:color w:val="000000"/>
                <w:sz w:val="17"/>
                <w:szCs w:val="17"/>
              </w:rPr>
              <w:t xml:space="preserve">с </w:t>
            </w:r>
            <w:r w:rsidR="00546ED2">
              <w:rPr>
                <w:rFonts w:ascii="Times" w:hAnsi="Times" w:cs="Times"/>
                <w:color w:val="000000"/>
                <w:sz w:val="17"/>
                <w:szCs w:val="17"/>
              </w:rPr>
              <w:t xml:space="preserve">         </w:t>
            </w:r>
            <w:r>
              <w:rPr>
                <w:rFonts w:ascii="Times" w:hAnsi="Times" w:cs="Times"/>
                <w:color w:val="000000"/>
                <w:sz w:val="17"/>
                <w:szCs w:val="17"/>
              </w:rPr>
              <w:t xml:space="preserve"> (ИНН </w:t>
            </w:r>
            <w:r w:rsidR="00546ED2">
              <w:rPr>
                <w:rFonts w:ascii="Times" w:hAnsi="Times" w:cs="Times"/>
                <w:color w:val="000000"/>
                <w:sz w:val="17"/>
                <w:szCs w:val="17"/>
              </w:rPr>
              <w:t xml:space="preserve">     </w:t>
            </w:r>
            <w:r>
              <w:rPr>
                <w:rFonts w:ascii="Times" w:hAnsi="Times" w:cs="Times"/>
                <w:color w:val="000000"/>
                <w:sz w:val="17"/>
                <w:szCs w:val="17"/>
              </w:rPr>
              <w:t xml:space="preserve">; КПП </w:t>
            </w:r>
            <w:r w:rsidR="00546ED2">
              <w:rPr>
                <w:rFonts w:ascii="Times" w:hAnsi="Times" w:cs="Times"/>
                <w:color w:val="000000"/>
                <w:sz w:val="17"/>
                <w:szCs w:val="17"/>
              </w:rPr>
              <w:t xml:space="preserve">       </w:t>
            </w:r>
            <w:r>
              <w:rPr>
                <w:rFonts w:ascii="Times" w:hAnsi="Times" w:cs="Times"/>
                <w:color w:val="000000"/>
                <w:sz w:val="17"/>
                <w:szCs w:val="17"/>
              </w:rPr>
              <w:t>)</w:t>
            </w:r>
          </w:p>
        </w:tc>
      </w:tr>
    </w:tbl>
    <w:p w14:paraId="32D6AB7F" w14:textId="77777777" w:rsidR="00F866C7" w:rsidRDefault="00F866C7">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F866C7" w14:paraId="6CF93A8C" w14:textId="77777777">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07E07DE" w14:textId="77777777" w:rsidR="00F866C7" w:rsidRDefault="00F866C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E00BC98" w14:textId="77777777" w:rsidR="00F866C7" w:rsidRDefault="00F866C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D4FF140" w14:textId="77777777" w:rsidR="00F866C7" w:rsidRDefault="00F866C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EE722E1" w14:textId="77777777" w:rsidR="00F866C7" w:rsidRDefault="00F866C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431EAAD" w14:textId="77777777" w:rsidR="00F866C7" w:rsidRDefault="00F866C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A04DFFD" w14:textId="77777777" w:rsidR="00F866C7" w:rsidRDefault="00F866C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811D189" w14:textId="77777777" w:rsidR="00F866C7" w:rsidRDefault="00F866C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EA072CD" w14:textId="77777777" w:rsidR="00F866C7" w:rsidRDefault="00F866C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C60E9E1" w14:textId="77777777" w:rsidR="00F866C7" w:rsidRDefault="00F866C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F866C7" w14:paraId="0AD3E3DF" w14:textId="77777777">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047F696" w14:textId="77777777" w:rsidR="00F866C7" w:rsidRDefault="00F866C7">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3CB975B" w14:textId="77777777" w:rsidR="00F866C7" w:rsidRDefault="00F866C7">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Право использования программы для ЭВМ “Контур.Экстерн” по тарифному плану “Бюджетник максимальный” на 1 год, с применением встроенных в сертификат/ключевой контейнер СКЗИ “КриптоПро CSP”</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47A671C" w14:textId="77777777" w:rsidR="00F866C7" w:rsidRDefault="00F866C7">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6D269FA" w14:textId="77777777" w:rsidR="00F866C7" w:rsidRDefault="00F866C7">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1385643" w14:textId="77777777" w:rsidR="00F866C7" w:rsidRDefault="00F866C7">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9523C42" w14:textId="77777777" w:rsidR="00F866C7" w:rsidRDefault="00F866C7">
            <w:pPr>
              <w:widowControl w:val="0"/>
              <w:autoSpaceDE w:val="0"/>
              <w:autoSpaceDN w:val="0"/>
              <w:adjustRightInd w:val="0"/>
              <w:spacing w:after="0" w:line="240" w:lineRule="auto"/>
              <w:jc w:val="right"/>
              <w:rPr>
                <w:rFonts w:ascii="Times" w:hAnsi="Times" w:cs="Times"/>
                <w:color w:val="000000"/>
                <w:sz w:val="16"/>
                <w:szCs w:val="16"/>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2DE6375" w14:textId="77777777" w:rsidR="00F866C7" w:rsidRDefault="00F866C7">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89A2AD0" w14:textId="77777777" w:rsidR="00F866C7" w:rsidRDefault="00F866C7">
            <w:pPr>
              <w:widowControl w:val="0"/>
              <w:autoSpaceDE w:val="0"/>
              <w:autoSpaceDN w:val="0"/>
              <w:adjustRightInd w:val="0"/>
              <w:spacing w:after="0" w:line="240" w:lineRule="auto"/>
              <w:jc w:val="center"/>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D6946F4" w14:textId="77777777" w:rsidR="00F866C7" w:rsidRDefault="00F866C7">
            <w:pPr>
              <w:widowControl w:val="0"/>
              <w:autoSpaceDE w:val="0"/>
              <w:autoSpaceDN w:val="0"/>
              <w:adjustRightInd w:val="0"/>
              <w:spacing w:after="0" w:line="240" w:lineRule="auto"/>
              <w:jc w:val="right"/>
              <w:rPr>
                <w:rFonts w:ascii="Times" w:hAnsi="Times" w:cs="Times"/>
                <w:color w:val="000000"/>
                <w:sz w:val="16"/>
                <w:szCs w:val="16"/>
              </w:rPr>
            </w:pPr>
          </w:p>
        </w:tc>
      </w:tr>
      <w:tr w:rsidR="00F866C7" w14:paraId="77C44812" w14:textId="77777777">
        <w:tblPrEx>
          <w:tblCellMar>
            <w:top w:w="0" w:type="dxa"/>
            <w:left w:w="0" w:type="dxa"/>
            <w:bottom w:w="0" w:type="dxa"/>
            <w:right w:w="0" w:type="dxa"/>
          </w:tblCellMar>
        </w:tblPrEx>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DD9A4B2" w14:textId="77777777" w:rsidR="00F866C7" w:rsidRDefault="00F866C7">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19033D5" w14:textId="77777777" w:rsidR="00F866C7" w:rsidRDefault="00F866C7">
            <w:pPr>
              <w:widowControl w:val="0"/>
              <w:autoSpaceDE w:val="0"/>
              <w:autoSpaceDN w:val="0"/>
              <w:adjustRightInd w:val="0"/>
              <w:spacing w:after="0" w:line="240" w:lineRule="auto"/>
              <w:jc w:val="right"/>
              <w:rPr>
                <w:rFonts w:ascii="Times" w:hAnsi="Times" w:cs="Times"/>
                <w:b/>
                <w:bC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4212CE6" w14:textId="77777777" w:rsidR="00F866C7" w:rsidRDefault="00F866C7">
            <w:pPr>
              <w:widowControl w:val="0"/>
              <w:autoSpaceDE w:val="0"/>
              <w:autoSpaceDN w:val="0"/>
              <w:adjustRightInd w:val="0"/>
              <w:spacing w:after="0" w:line="240" w:lineRule="auto"/>
              <w:jc w:val="right"/>
              <w:rPr>
                <w:rFonts w:ascii="Times" w:hAnsi="Times" w:cs="Times"/>
                <w:b/>
                <w:bCs/>
                <w:color w:val="000000"/>
                <w:sz w:val="16"/>
                <w:szCs w:val="16"/>
              </w:rPr>
            </w:pPr>
          </w:p>
        </w:tc>
      </w:tr>
    </w:tbl>
    <w:p w14:paraId="400DD68C" w14:textId="77777777" w:rsidR="00F866C7" w:rsidRDefault="00F866C7">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1.2. Оказание услуг/выполнение работ/передача ТМЦ</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F866C7" w14:paraId="22840AD2" w14:textId="77777777">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DEC8403" w14:textId="77777777" w:rsidR="00F866C7" w:rsidRDefault="00F866C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591480D" w14:textId="77777777" w:rsidR="00F866C7" w:rsidRDefault="00F866C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185CFFF" w14:textId="77777777" w:rsidR="00F866C7" w:rsidRDefault="00F866C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5894919" w14:textId="77777777" w:rsidR="00F866C7" w:rsidRDefault="00F866C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EC6074B" w14:textId="77777777" w:rsidR="00F866C7" w:rsidRDefault="00F866C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E129F77" w14:textId="77777777" w:rsidR="00F866C7" w:rsidRDefault="00F866C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B7C5C31" w14:textId="77777777" w:rsidR="00F866C7" w:rsidRDefault="00F866C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CE993F8" w14:textId="77777777" w:rsidR="00F866C7" w:rsidRDefault="00F866C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7DE9EEF" w14:textId="77777777" w:rsidR="00F866C7" w:rsidRDefault="00F866C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F866C7" w14:paraId="367733DE" w14:textId="77777777">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E9FE584" w14:textId="77777777" w:rsidR="00F866C7" w:rsidRDefault="00F866C7">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734E0E2" w14:textId="77777777" w:rsidR="00F866C7" w:rsidRDefault="00F866C7">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Услуги по сопровождению программы для ЭВМ “Контур.Экстерн” (техническая поддержка в виде абонентского обслуживания) по тарифному плану “Бюджетник максимальный” на 1 год</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2A3EF1A" w14:textId="77777777" w:rsidR="00F866C7" w:rsidRDefault="00F866C7">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618B0B5" w14:textId="77777777" w:rsidR="00F866C7" w:rsidRDefault="00F866C7">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C3FD7B0" w14:textId="77777777" w:rsidR="00F866C7" w:rsidRDefault="00F866C7">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8423CCC" w14:textId="77777777" w:rsidR="00F866C7" w:rsidRDefault="00F866C7">
            <w:pPr>
              <w:widowControl w:val="0"/>
              <w:autoSpaceDE w:val="0"/>
              <w:autoSpaceDN w:val="0"/>
              <w:adjustRightInd w:val="0"/>
              <w:spacing w:after="0" w:line="240" w:lineRule="auto"/>
              <w:jc w:val="right"/>
              <w:rPr>
                <w:rFonts w:ascii="Times" w:hAnsi="Times" w:cs="Times"/>
                <w:color w:val="000000"/>
                <w:sz w:val="16"/>
                <w:szCs w:val="16"/>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023515A" w14:textId="77777777" w:rsidR="00F866C7" w:rsidRDefault="00F866C7">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5F4AB43" w14:textId="77777777" w:rsidR="00F866C7" w:rsidRDefault="00F866C7">
            <w:pPr>
              <w:widowControl w:val="0"/>
              <w:autoSpaceDE w:val="0"/>
              <w:autoSpaceDN w:val="0"/>
              <w:adjustRightInd w:val="0"/>
              <w:spacing w:after="0" w:line="240" w:lineRule="auto"/>
              <w:jc w:val="center"/>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65ADA59" w14:textId="77777777" w:rsidR="00F866C7" w:rsidRDefault="00F866C7">
            <w:pPr>
              <w:widowControl w:val="0"/>
              <w:autoSpaceDE w:val="0"/>
              <w:autoSpaceDN w:val="0"/>
              <w:adjustRightInd w:val="0"/>
              <w:spacing w:after="0" w:line="240" w:lineRule="auto"/>
              <w:jc w:val="right"/>
              <w:rPr>
                <w:rFonts w:ascii="Times" w:hAnsi="Times" w:cs="Times"/>
                <w:color w:val="000000"/>
                <w:sz w:val="16"/>
                <w:szCs w:val="16"/>
              </w:rPr>
            </w:pPr>
          </w:p>
        </w:tc>
      </w:tr>
      <w:tr w:rsidR="00F866C7" w14:paraId="1B833E95" w14:textId="77777777">
        <w:tblPrEx>
          <w:tblCellMar>
            <w:top w:w="0" w:type="dxa"/>
            <w:left w:w="0" w:type="dxa"/>
            <w:bottom w:w="0" w:type="dxa"/>
            <w:right w:w="0" w:type="dxa"/>
          </w:tblCellMar>
        </w:tblPrEx>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60D9395" w14:textId="77777777" w:rsidR="00F866C7" w:rsidRDefault="00F866C7">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1E37CFE" w14:textId="77777777" w:rsidR="00F866C7" w:rsidRDefault="00F866C7">
            <w:pPr>
              <w:widowControl w:val="0"/>
              <w:autoSpaceDE w:val="0"/>
              <w:autoSpaceDN w:val="0"/>
              <w:adjustRightInd w:val="0"/>
              <w:spacing w:after="0" w:line="240" w:lineRule="auto"/>
              <w:jc w:val="right"/>
              <w:rPr>
                <w:rFonts w:ascii="Times" w:hAnsi="Times" w:cs="Times"/>
                <w:b/>
                <w:bC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F3EE927" w14:textId="77777777" w:rsidR="00F866C7" w:rsidRDefault="00F866C7">
            <w:pPr>
              <w:widowControl w:val="0"/>
              <w:autoSpaceDE w:val="0"/>
              <w:autoSpaceDN w:val="0"/>
              <w:adjustRightInd w:val="0"/>
              <w:spacing w:after="0" w:line="240" w:lineRule="auto"/>
              <w:jc w:val="right"/>
              <w:rPr>
                <w:rFonts w:ascii="Times" w:hAnsi="Times" w:cs="Times"/>
                <w:b/>
                <w:bCs/>
                <w:color w:val="000000"/>
                <w:sz w:val="16"/>
                <w:szCs w:val="16"/>
              </w:rPr>
            </w:pPr>
          </w:p>
        </w:tc>
      </w:tr>
    </w:tbl>
    <w:p w14:paraId="1504A390" w14:textId="77777777" w:rsidR="00F866C7" w:rsidRDefault="00F866C7">
      <w:pPr>
        <w:widowControl w:val="0"/>
        <w:autoSpaceDE w:val="0"/>
        <w:autoSpaceDN w:val="0"/>
        <w:adjustRightInd w:val="0"/>
        <w:spacing w:before="226" w:after="0" w:line="240" w:lineRule="auto"/>
        <w:rPr>
          <w:rFonts w:ascii="Times" w:hAnsi="Times" w:cs="Times"/>
          <w:color w:val="000000"/>
          <w:sz w:val="17"/>
          <w:szCs w:val="17"/>
        </w:rPr>
      </w:pPr>
      <w:r>
        <w:rPr>
          <w:rFonts w:ascii="Times" w:hAnsi="Times" w:cs="Times"/>
          <w:color w:val="000000"/>
          <w:sz w:val="17"/>
          <w:szCs w:val="17"/>
        </w:rPr>
        <w:t>Общая стоимость Спецификации по п.1 составляет: </w:t>
      </w:r>
      <w:r w:rsidR="00546ED2">
        <w:rPr>
          <w:rFonts w:ascii="Times" w:hAnsi="Times" w:cs="Times"/>
          <w:color w:val="000000"/>
          <w:sz w:val="17"/>
          <w:szCs w:val="17"/>
        </w:rPr>
        <w:t xml:space="preserve">       </w:t>
      </w:r>
      <w:r>
        <w:rPr>
          <w:rFonts w:ascii="Times" w:hAnsi="Times" w:cs="Times"/>
          <w:color w:val="000000"/>
          <w:sz w:val="17"/>
          <w:szCs w:val="17"/>
        </w:rPr>
        <w:t> руб. (</w:t>
      </w:r>
      <w:r w:rsidR="00546ED2">
        <w:rPr>
          <w:rFonts w:ascii="Times" w:hAnsi="Times" w:cs="Times"/>
          <w:color w:val="000000"/>
          <w:sz w:val="17"/>
          <w:szCs w:val="17"/>
        </w:rPr>
        <w:t xml:space="preserve">          </w:t>
      </w:r>
      <w:r>
        <w:rPr>
          <w:rFonts w:ascii="Times" w:hAnsi="Times" w:cs="Times"/>
          <w:color w:val="000000"/>
          <w:sz w:val="17"/>
          <w:szCs w:val="17"/>
        </w:rPr>
        <w:t>), НДС</w:t>
      </w:r>
    </w:p>
    <w:p w14:paraId="6E037F16" w14:textId="77777777" w:rsidR="00F866C7" w:rsidRDefault="00F866C7">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p w14:paraId="172F5C8A" w14:textId="77777777" w:rsidR="00F866C7" w:rsidRDefault="00F866C7">
      <w:pPr>
        <w:widowControl w:val="0"/>
        <w:autoSpaceDE w:val="0"/>
        <w:autoSpaceDN w:val="0"/>
        <w:adjustRightInd w:val="0"/>
        <w:spacing w:before="226" w:after="226" w:line="240" w:lineRule="auto"/>
        <w:rPr>
          <w:rFonts w:ascii="Times" w:hAnsi="Times" w:cs="Times"/>
          <w:b/>
          <w:bCs/>
          <w:color w:val="000000"/>
          <w:sz w:val="17"/>
          <w:szCs w:val="17"/>
        </w:rPr>
      </w:pPr>
      <w:r>
        <w:rPr>
          <w:rFonts w:ascii="Times" w:hAnsi="Times" w:cs="Times"/>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облагается НДС по ставке, установленной пунктом 3 статьи 164 Налогового кодекса Российской Федерации.</w:t>
      </w:r>
    </w:p>
    <w:p w14:paraId="0EFDE331" w14:textId="77777777" w:rsidR="00F866C7" w:rsidRDefault="00F866C7">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F866C7" w14:paraId="67325A0B" w14:textId="77777777">
        <w:tblPrEx>
          <w:tblCellMar>
            <w:top w:w="0" w:type="dxa"/>
            <w:left w:w="0" w:type="dxa"/>
            <w:bottom w:w="0" w:type="dxa"/>
            <w:right w:w="0" w:type="dxa"/>
          </w:tblCellMar>
        </w:tblPrEx>
        <w:tc>
          <w:tcPr>
            <w:tcW w:w="5300" w:type="dxa"/>
            <w:gridSpan w:val="2"/>
            <w:tcBorders>
              <w:top w:val="nil"/>
              <w:left w:val="nil"/>
              <w:bottom w:val="nil"/>
              <w:right w:val="nil"/>
            </w:tcBorders>
          </w:tcPr>
          <w:p w14:paraId="3D018619" w14:textId="77777777" w:rsidR="00F866C7" w:rsidRDefault="00F866C7">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ОПЕРАТОР</w:t>
            </w:r>
          </w:p>
        </w:tc>
        <w:tc>
          <w:tcPr>
            <w:tcW w:w="5300" w:type="dxa"/>
            <w:gridSpan w:val="2"/>
            <w:tcBorders>
              <w:top w:val="nil"/>
              <w:left w:val="nil"/>
              <w:bottom w:val="nil"/>
              <w:right w:val="nil"/>
            </w:tcBorders>
          </w:tcPr>
          <w:p w14:paraId="7E8248DE" w14:textId="77777777" w:rsidR="00F866C7" w:rsidRDefault="00F866C7">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АБОНЕНТ</w:t>
            </w:r>
          </w:p>
        </w:tc>
      </w:tr>
      <w:tr w:rsidR="00F866C7" w14:paraId="22D7B922" w14:textId="77777777">
        <w:tblPrEx>
          <w:tblCellMar>
            <w:top w:w="0" w:type="dxa"/>
            <w:left w:w="0" w:type="dxa"/>
            <w:bottom w:w="0" w:type="dxa"/>
            <w:right w:w="0" w:type="dxa"/>
          </w:tblCellMar>
        </w:tblPrEx>
        <w:tc>
          <w:tcPr>
            <w:tcW w:w="5300" w:type="dxa"/>
            <w:gridSpan w:val="2"/>
            <w:tcBorders>
              <w:top w:val="nil"/>
              <w:left w:val="nil"/>
              <w:bottom w:val="nil"/>
              <w:right w:val="nil"/>
            </w:tcBorders>
          </w:tcPr>
          <w:p w14:paraId="11B53955" w14:textId="77777777" w:rsidR="00F866C7" w:rsidRDefault="00F866C7">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14:paraId="7065237B" w14:textId="77777777" w:rsidR="00F921FA" w:rsidRPr="00F921FA" w:rsidRDefault="00F921FA" w:rsidP="00F921FA">
            <w:pPr>
              <w:widowControl w:val="0"/>
              <w:autoSpaceDE w:val="0"/>
              <w:autoSpaceDN w:val="0"/>
              <w:adjustRightInd w:val="0"/>
              <w:spacing w:after="0" w:line="240" w:lineRule="auto"/>
              <w:rPr>
                <w:rFonts w:ascii="Times" w:hAnsi="Times" w:cs="Times"/>
                <w:color w:val="000000"/>
                <w:sz w:val="17"/>
                <w:szCs w:val="17"/>
              </w:rPr>
            </w:pPr>
            <w:r w:rsidRPr="00F921FA">
              <w:rPr>
                <w:rFonts w:ascii="Times" w:hAnsi="Times" w:cs="Times"/>
                <w:color w:val="000000"/>
                <w:sz w:val="17"/>
                <w:szCs w:val="17"/>
              </w:rPr>
              <w:t>Федеральная служба по гидрометеорологии и мониторингу окружающей среды (Росгидромет)</w:t>
            </w:r>
          </w:p>
          <w:p w14:paraId="730F08F6" w14:textId="77777777" w:rsidR="00F866C7" w:rsidRDefault="00F866C7">
            <w:pPr>
              <w:widowControl w:val="0"/>
              <w:autoSpaceDE w:val="0"/>
              <w:autoSpaceDN w:val="0"/>
              <w:adjustRightInd w:val="0"/>
              <w:spacing w:after="0" w:line="240" w:lineRule="auto"/>
              <w:rPr>
                <w:rFonts w:ascii="Times" w:hAnsi="Times" w:cs="Times"/>
                <w:color w:val="000000"/>
                <w:sz w:val="17"/>
                <w:szCs w:val="17"/>
              </w:rPr>
            </w:pPr>
          </w:p>
        </w:tc>
      </w:tr>
      <w:tr w:rsidR="00F866C7" w14:paraId="10DE8FB0" w14:textId="77777777">
        <w:tblPrEx>
          <w:tblCellMar>
            <w:top w:w="0" w:type="dxa"/>
            <w:left w:w="0" w:type="dxa"/>
            <w:bottom w:w="0" w:type="dxa"/>
            <w:right w:w="0" w:type="dxa"/>
          </w:tblCellMar>
        </w:tblPrEx>
        <w:tc>
          <w:tcPr>
            <w:tcW w:w="5300" w:type="dxa"/>
            <w:gridSpan w:val="2"/>
            <w:tcBorders>
              <w:top w:val="nil"/>
              <w:left w:val="nil"/>
              <w:bottom w:val="nil"/>
              <w:right w:val="nil"/>
            </w:tcBorders>
          </w:tcPr>
          <w:p w14:paraId="48E61941" w14:textId="77777777" w:rsidR="00F866C7" w:rsidRDefault="00F866C7">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c>
        <w:tc>
          <w:tcPr>
            <w:tcW w:w="5300" w:type="dxa"/>
            <w:gridSpan w:val="2"/>
            <w:tcBorders>
              <w:top w:val="nil"/>
              <w:left w:val="nil"/>
              <w:bottom w:val="nil"/>
              <w:right w:val="nil"/>
            </w:tcBorders>
          </w:tcPr>
          <w:p w14:paraId="3E63AC87" w14:textId="77777777" w:rsidR="00F866C7" w:rsidRDefault="00F866C7">
            <w:pPr>
              <w:widowControl w:val="0"/>
              <w:autoSpaceDE w:val="0"/>
              <w:autoSpaceDN w:val="0"/>
              <w:adjustRightInd w:val="0"/>
              <w:spacing w:after="0" w:line="240" w:lineRule="auto"/>
              <w:rPr>
                <w:rFonts w:ascii="Times" w:hAnsi="Times" w:cs="Times"/>
                <w:color w:val="000000"/>
                <w:sz w:val="17"/>
                <w:szCs w:val="17"/>
              </w:rPr>
            </w:pPr>
          </w:p>
        </w:tc>
      </w:tr>
      <w:tr w:rsidR="00F866C7" w14:paraId="4305DFBA" w14:textId="77777777">
        <w:tblPrEx>
          <w:tblCellMar>
            <w:top w:w="0" w:type="dxa"/>
            <w:left w:w="0" w:type="dxa"/>
            <w:bottom w:w="0" w:type="dxa"/>
            <w:right w:w="0" w:type="dxa"/>
          </w:tblCellMar>
        </w:tblPrEx>
        <w:tc>
          <w:tcPr>
            <w:tcW w:w="2650" w:type="dxa"/>
            <w:tcBorders>
              <w:top w:val="nil"/>
              <w:left w:val="nil"/>
              <w:bottom w:val="single" w:sz="6" w:space="0" w:color="000000"/>
              <w:right w:val="nil"/>
            </w:tcBorders>
          </w:tcPr>
          <w:p w14:paraId="453B01D8" w14:textId="77777777" w:rsidR="00F866C7" w:rsidRDefault="00F866C7">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03C28A13" w14:textId="77777777" w:rsidR="00F866C7" w:rsidRDefault="00F866C7">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c>
        <w:tc>
          <w:tcPr>
            <w:tcW w:w="2650" w:type="dxa"/>
            <w:tcBorders>
              <w:top w:val="nil"/>
              <w:left w:val="nil"/>
              <w:bottom w:val="single" w:sz="6" w:space="0" w:color="000000"/>
              <w:right w:val="nil"/>
            </w:tcBorders>
          </w:tcPr>
          <w:p w14:paraId="59379CC5" w14:textId="77777777" w:rsidR="00F866C7" w:rsidRDefault="00F866C7">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45860F4D" w14:textId="77777777" w:rsidR="00F866C7" w:rsidRDefault="00F921FA">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/М.Ю. Кутузов/</w:t>
            </w:r>
          </w:p>
        </w:tc>
      </w:tr>
      <w:tr w:rsidR="00F866C7" w14:paraId="2C6DAD6F" w14:textId="77777777">
        <w:tblPrEx>
          <w:tblCellMar>
            <w:top w:w="0" w:type="dxa"/>
            <w:left w:w="0" w:type="dxa"/>
            <w:bottom w:w="0" w:type="dxa"/>
            <w:right w:w="0" w:type="dxa"/>
          </w:tblCellMar>
        </w:tblPrEx>
        <w:tc>
          <w:tcPr>
            <w:tcW w:w="2650" w:type="dxa"/>
            <w:tcBorders>
              <w:top w:val="nil"/>
              <w:left w:val="nil"/>
              <w:bottom w:val="nil"/>
              <w:right w:val="nil"/>
            </w:tcBorders>
          </w:tcPr>
          <w:p w14:paraId="5364CBD8" w14:textId="77777777" w:rsidR="00F866C7" w:rsidRDefault="00F866C7">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14:paraId="5CECFF2C" w14:textId="77777777" w:rsidR="00F866C7" w:rsidRDefault="00F866C7">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0B0635CC" w14:textId="77777777" w:rsidR="00F866C7" w:rsidRDefault="00F866C7">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14:paraId="084A7B6D" w14:textId="77777777" w:rsidR="00F866C7" w:rsidRDefault="00F866C7">
            <w:pPr>
              <w:widowControl w:val="0"/>
              <w:autoSpaceDE w:val="0"/>
              <w:autoSpaceDN w:val="0"/>
              <w:adjustRightInd w:val="0"/>
              <w:spacing w:after="0" w:line="240" w:lineRule="auto"/>
              <w:rPr>
                <w:rFonts w:ascii="Times" w:hAnsi="Times" w:cs="Times"/>
                <w:color w:val="000000"/>
                <w:sz w:val="17"/>
                <w:szCs w:val="17"/>
              </w:rPr>
            </w:pPr>
          </w:p>
        </w:tc>
      </w:tr>
    </w:tbl>
    <w:p w14:paraId="06A354F1" w14:textId="77777777" w:rsidR="00F866C7" w:rsidRDefault="00F866C7">
      <w:pPr>
        <w:widowControl w:val="0"/>
        <w:autoSpaceDE w:val="0"/>
        <w:autoSpaceDN w:val="0"/>
        <w:adjustRightInd w:val="0"/>
        <w:spacing w:after="0" w:line="240" w:lineRule="auto"/>
        <w:rPr>
          <w:rFonts w:ascii="Arial" w:hAnsi="Arial" w:cs="Arial"/>
          <w:sz w:val="24"/>
          <w:szCs w:val="24"/>
        </w:rPr>
        <w:sectPr w:rsidR="00F866C7">
          <w:pgSz w:w="11905" w:h="16837"/>
          <w:pgMar w:top="623" w:right="623" w:bottom="623" w:left="907" w:header="720" w:footer="720" w:gutter="0"/>
          <w:cols w:space="720"/>
          <w:noEndnote/>
        </w:sectPr>
      </w:pPr>
    </w:p>
    <w:p w14:paraId="42FE5E51" w14:textId="77777777" w:rsidR="00F866C7" w:rsidRDefault="00F866C7">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lastRenderedPageBreak/>
        <w:t>Приложение 2</w:t>
      </w:r>
    </w:p>
    <w:p w14:paraId="33752F2E" w14:textId="77777777" w:rsidR="00F866C7" w:rsidRDefault="00F866C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 xml:space="preserve">ЛИЦЕНЗИОННЫЙ ДОГОВОР № </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F866C7" w14:paraId="2875DC2B" w14:textId="77777777">
        <w:tblPrEx>
          <w:tblCellMar>
            <w:top w:w="0" w:type="dxa"/>
            <w:left w:w="0" w:type="dxa"/>
            <w:bottom w:w="0" w:type="dxa"/>
            <w:right w:w="0" w:type="dxa"/>
          </w:tblCellMar>
        </w:tblPrEx>
        <w:tc>
          <w:tcPr>
            <w:tcW w:w="8277" w:type="dxa"/>
            <w:tcBorders>
              <w:top w:val="nil"/>
              <w:left w:val="nil"/>
              <w:bottom w:val="nil"/>
              <w:right w:val="nil"/>
            </w:tcBorders>
          </w:tcPr>
          <w:p w14:paraId="319FC4D0" w14:textId="77777777" w:rsidR="00F866C7" w:rsidRDefault="00F866C7">
            <w:pPr>
              <w:widowControl w:val="0"/>
              <w:autoSpaceDE w:val="0"/>
              <w:autoSpaceDN w:val="0"/>
              <w:adjustRightInd w:val="0"/>
              <w:spacing w:after="0" w:line="240" w:lineRule="auto"/>
              <w:rPr>
                <w:rFonts w:ascii="Times" w:hAnsi="Times" w:cs="Times"/>
                <w:color w:val="000000"/>
                <w:sz w:val="16"/>
                <w:szCs w:val="16"/>
              </w:rPr>
            </w:pPr>
          </w:p>
        </w:tc>
        <w:tc>
          <w:tcPr>
            <w:tcW w:w="2097" w:type="dxa"/>
            <w:tcBorders>
              <w:top w:val="nil"/>
              <w:left w:val="nil"/>
              <w:bottom w:val="nil"/>
              <w:right w:val="nil"/>
            </w:tcBorders>
          </w:tcPr>
          <w:p w14:paraId="594E35E1" w14:textId="77777777" w:rsidR="00F866C7" w:rsidRDefault="00F866C7">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.2026</w:t>
            </w:r>
          </w:p>
        </w:tc>
      </w:tr>
    </w:tbl>
    <w:p w14:paraId="4C8C38E2"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Лицензионный договор является офертой АО «ПФ «СКБ Контур», именуемого в дальнейшем Лицензиар, Пользователю − юридическому лицу, именуемому в дальнейшем Лицензиат, заключающему с </w:t>
      </w:r>
      <w:r w:rsidR="00B82F19">
        <w:rPr>
          <w:rFonts w:ascii="Times" w:hAnsi="Times" w:cs="Times"/>
          <w:color w:val="000000"/>
          <w:sz w:val="18"/>
          <w:szCs w:val="18"/>
        </w:rPr>
        <w:t>_______________</w:t>
      </w:r>
      <w:r>
        <w:rPr>
          <w:rFonts w:ascii="Times" w:hAnsi="Times" w:cs="Times"/>
          <w:color w:val="000000"/>
          <w:sz w:val="18"/>
          <w:szCs w:val="18"/>
        </w:rPr>
        <w:t xml:space="preserve"> Договор на право использования программы для ЭВМ «Контур.Экстерн» и оказание услуг по сопровождению (технической поддержке) (далее – Договор). Лицензионный договор признается заключенным с момента его акцепта Лицензиатом. Под акцептом в целях Лицензионного договора признается факт начала использования Продукта или факт оплаты вознаграждения по Договору, в зависимости от того, какое событие наступит раньше.</w:t>
      </w:r>
    </w:p>
    <w:p w14:paraId="3A6F1915" w14:textId="77777777" w:rsidR="00F866C7" w:rsidRDefault="00F866C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14:paraId="53221272"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Контур.Экстерн – результат интеллектуальной деятельности – программа для ЭВМ «Контур.Экстерн» (в том числе интеграционные и иные Модули, предусмотренные Прайс-листом и позволяющие Лицензиату использовать дополнительную функциональность Контур.Экстерна) (далее – Продукт), предназначенная для формирования и представления отчетности, организации электронного документооборота и иных целей.</w:t>
      </w:r>
    </w:p>
    <w:p w14:paraId="5D2A74C2" w14:textId="77777777" w:rsidR="00F866C7" w:rsidRDefault="00F866C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Лицензионного договора</w:t>
      </w:r>
    </w:p>
    <w:p w14:paraId="40CE0C0C"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Лицензиар предоставляет Лицензиату право использования Продукта на условиях простой (неисключительной) лицензии.</w:t>
      </w:r>
    </w:p>
    <w:p w14:paraId="3BB0EC78" w14:textId="77777777" w:rsidR="00F866C7" w:rsidRDefault="00F866C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Исключительные права</w:t>
      </w:r>
    </w:p>
    <w:p w14:paraId="0D6C95B5"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Исключительные права на Продукт принадлежат Лицензиару и охраняются как объект интеллектуальной собственности.</w:t>
      </w:r>
    </w:p>
    <w:p w14:paraId="19B7F9A1"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Право использования Продукта предоставляется исключительно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p>
    <w:p w14:paraId="41F043CB"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3.3. Свидетельство о государственной регистрации прав на Продукт официально публикуется на сайте Лицензиара </w:t>
      </w:r>
      <w:hyperlink r:id="rId14" w:history="1">
        <w:r>
          <w:rPr>
            <w:rFonts w:ascii="Times" w:hAnsi="Times" w:cs="Times"/>
            <w:color w:val="0000CD"/>
            <w:sz w:val="18"/>
            <w:szCs w:val="18"/>
          </w:rPr>
          <w:t>https://kontur.ru/about/licences</w:t>
        </w:r>
      </w:hyperlink>
      <w:r>
        <w:rPr>
          <w:rFonts w:ascii="Times" w:hAnsi="Times" w:cs="Times"/>
          <w:color w:val="000000"/>
          <w:sz w:val="18"/>
          <w:szCs w:val="18"/>
        </w:rPr>
        <w:t>.</w:t>
      </w:r>
    </w:p>
    <w:p w14:paraId="3965A654"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 Продукт внесен в единый реестр российских программ для электронных вычислительных машин и баз данных 29.04.2016, регистрационный номер 523.</w:t>
      </w:r>
    </w:p>
    <w:p w14:paraId="0BAAA75B"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 Продукт передается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14:paraId="2CE3026F"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3.6.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14:paraId="1BE134E4" w14:textId="77777777" w:rsidR="00F866C7" w:rsidRDefault="00F866C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Гарантии Лицензиара. Условия использования (объем предоставляемых прав)</w:t>
      </w:r>
    </w:p>
    <w:p w14:paraId="29B6DD21"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Лицензиар гарантирует:</w:t>
      </w:r>
    </w:p>
    <w:p w14:paraId="674E0DB5"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что является обладателем исключительных прав на Продукт, и что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14:paraId="3870C6F9"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4.1.2. что Продукт сертифицирован в соответствии с законодательством Российской Федерации. Данные по сертификации расположены на сайте по адресу </w:t>
      </w:r>
      <w:hyperlink r:id="rId15" w:history="1">
        <w:r>
          <w:rPr>
            <w:rFonts w:ascii="Times" w:hAnsi="Times" w:cs="Times"/>
            <w:color w:val="0000CD"/>
            <w:sz w:val="18"/>
            <w:szCs w:val="18"/>
          </w:rPr>
          <w:t>https://kontur.ru</w:t>
        </w:r>
      </w:hyperlink>
      <w:r>
        <w:rPr>
          <w:rFonts w:ascii="Times" w:hAnsi="Times" w:cs="Times"/>
          <w:color w:val="000000"/>
          <w:sz w:val="18"/>
          <w:szCs w:val="18"/>
        </w:rPr>
        <w:t>;</w:t>
      </w:r>
    </w:p>
    <w:p w14:paraId="598E1FB6"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4.1.3. что Продукт будет соответствовать функциональности, описанной в Пользовательской документации, публикуемой на сайте </w:t>
      </w:r>
      <w:hyperlink r:id="rId16" w:history="1">
        <w:r>
          <w:rPr>
            <w:rFonts w:ascii="Times" w:hAnsi="Times" w:cs="Times"/>
            <w:color w:val="0000CD"/>
            <w:sz w:val="18"/>
            <w:szCs w:val="18"/>
          </w:rPr>
          <w:t>https://support.kontur.ru/extern</w:t>
        </w:r>
      </w:hyperlink>
      <w:r>
        <w:rPr>
          <w:rFonts w:ascii="Times" w:hAnsi="Times" w:cs="Times"/>
          <w:color w:val="000000"/>
          <w:sz w:val="18"/>
          <w:szCs w:val="18"/>
        </w:rPr>
        <w:t>;</w:t>
      </w:r>
    </w:p>
    <w:p w14:paraId="3C63807A"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защиту информации, обрабатываемой на сервере Лицензиара, от несанкционированного доступа;</w:t>
      </w:r>
    </w:p>
    <w:p w14:paraId="5044AFB8"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своевременное обновление вспомогательного программного обеспечения на сервере Лицензиара;</w:t>
      </w:r>
    </w:p>
    <w:p w14:paraId="76161928"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4.1.6. круглосуточную доступность сервера Лицензиара, за исключением времени проведения профилактических работ.</w:t>
      </w:r>
    </w:p>
    <w:p w14:paraId="48D00246"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Лицензиату предоставляется право не отправлять отчеты об использовании Продукта Лицензиару.</w:t>
      </w:r>
    </w:p>
    <w:p w14:paraId="6EF42340" w14:textId="77777777" w:rsidR="00F866C7" w:rsidRDefault="00F866C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Порядок предоставления доступа и способы использования</w:t>
      </w:r>
    </w:p>
    <w:p w14:paraId="26F936B4"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Неисключительное право использования Продукта предоставляется Лицензиату путем открытия доступа к серверу Лицензиара и необходимым для функционирования Продукта дистрибутивам программных компонентов на срок, установленный оплаченным Тарифным планом.</w:t>
      </w:r>
    </w:p>
    <w:p w14:paraId="41B452F5"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При этом Лицензиат может использовать Продукт следующими способами:</w:t>
      </w:r>
    </w:p>
    <w:p w14:paraId="3DDF6A5B"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круглосуточно получать доступ к серверу Лицензиара, за исключением времени проведения профилактических работ, и воспроизводить графическую часть (рабочий интерфейс) на экране персонального компьютера;</w:t>
      </w:r>
    </w:p>
    <w:p w14:paraId="3EFFE75F"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самостоятельно осуществлять интеграцию информационных систем Лицензиата с Продуктом с использованием API;</w:t>
      </w:r>
    </w:p>
    <w:p w14:paraId="7A5BF7D5"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все функциональные возможности Продукта, описанные Тарифным планом в Прайс-листе Лицензиара;</w:t>
      </w:r>
    </w:p>
    <w:p w14:paraId="353F9BCB"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размножать Пользовательскую документацию Продукта для личного использования;</w:t>
      </w:r>
    </w:p>
    <w:p w14:paraId="6448867F"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для оказания собственных услуг третьим лицам при условии приобретения Тарифного плана, предусматривающего такую возможность.</w:t>
      </w:r>
    </w:p>
    <w:p w14:paraId="4D5CA87A"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Лицензиат не вправе:</w:t>
      </w:r>
    </w:p>
    <w:p w14:paraId="76B83133"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в нарушение законодательства;</w:t>
      </w:r>
    </w:p>
    <w:p w14:paraId="13446C6A"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копировать, модифицировать, декомпилировать, деассемблировать Продукт;</w:t>
      </w:r>
    </w:p>
    <w:p w14:paraId="42FFCDCA"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в нарушение Пользовательской документации;</w:t>
      </w:r>
    </w:p>
    <w:p w14:paraId="6A868975"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14:paraId="46544DDB" w14:textId="77777777" w:rsidR="00F866C7" w:rsidRDefault="00F866C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Территория действия Лицензионного договора</w:t>
      </w:r>
    </w:p>
    <w:p w14:paraId="2B3BAA2B"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Лицензионный договор действует на всей территории Российской Федерации.</w:t>
      </w:r>
    </w:p>
    <w:p w14:paraId="2AFC04C5" w14:textId="77777777" w:rsidR="00F866C7" w:rsidRDefault="00F866C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Срок действия Лицензионного договора</w:t>
      </w:r>
    </w:p>
    <w:p w14:paraId="214FC88B"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Лицензионный договор действует с момента его акцепта Лицензиатом в течение срока действия Договора на право использования программы для ЭВМ «Контур.Экстерн» и оказание услуг по сопровождению (технической поддержке).</w:t>
      </w:r>
    </w:p>
    <w:p w14:paraId="0CCD4135" w14:textId="77777777" w:rsidR="00F866C7" w:rsidRDefault="00F866C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Вознаграждение</w:t>
      </w:r>
    </w:p>
    <w:p w14:paraId="394B5762"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Лицензиат уплачивает по Лицензионному договору вознаграждение Лицензиару в размере и на условиях согласно Договору на право использования программы для ЭВМ «Контур.Экстерн» и оказание услуг по сопровождению (технической поддержке).</w:t>
      </w:r>
    </w:p>
    <w:p w14:paraId="1A642F3C" w14:textId="77777777" w:rsidR="00F866C7" w:rsidRDefault="00F866C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Прочие условия</w:t>
      </w:r>
    </w:p>
    <w:p w14:paraId="1074C21A"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Все иные условия, не урегулированные Лицензионным договором, регулируются Договором на право использования программы для ЭВМ «Контур.Экстерн» и оказание услуг по сопровождению (технической поддержке).</w:t>
      </w:r>
    </w:p>
    <w:p w14:paraId="6A4726DA" w14:textId="77777777" w:rsidR="00F866C7" w:rsidRDefault="00F866C7">
      <w:pPr>
        <w:widowControl w:val="0"/>
        <w:autoSpaceDE w:val="0"/>
        <w:autoSpaceDN w:val="0"/>
        <w:adjustRightInd w:val="0"/>
        <w:spacing w:after="0" w:line="240" w:lineRule="auto"/>
        <w:rPr>
          <w:rFonts w:ascii="Arial" w:hAnsi="Arial" w:cs="Arial"/>
          <w:sz w:val="24"/>
          <w:szCs w:val="24"/>
        </w:rPr>
        <w:sectPr w:rsidR="00F866C7">
          <w:pgSz w:w="11905" w:h="16837"/>
          <w:pgMar w:top="623" w:right="623" w:bottom="623" w:left="907" w:header="720" w:footer="720" w:gutter="0"/>
          <w:cols w:space="720"/>
          <w:noEndnote/>
        </w:sectPr>
      </w:pPr>
    </w:p>
    <w:p w14:paraId="46AA5701" w14:textId="77777777" w:rsidR="00F866C7" w:rsidRDefault="00F866C7">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lastRenderedPageBreak/>
        <w:t>Приложение 3</w:t>
      </w:r>
    </w:p>
    <w:p w14:paraId="0FD8AB17" w14:textId="77777777" w:rsidR="00F866C7" w:rsidRDefault="00F866C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 xml:space="preserve">СУБЛИЦЕНЗИОННЫЙ ДОГОВОР № </w:t>
      </w:r>
    </w:p>
    <w:p w14:paraId="06285026" w14:textId="77777777" w:rsidR="00F866C7" w:rsidRDefault="00F866C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использование программы для ЭВМ СКЗИ «КриптоПро»</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F866C7" w14:paraId="144F4A62" w14:textId="77777777">
        <w:tblPrEx>
          <w:tblCellMar>
            <w:top w:w="0" w:type="dxa"/>
            <w:left w:w="0" w:type="dxa"/>
            <w:bottom w:w="0" w:type="dxa"/>
            <w:right w:w="0" w:type="dxa"/>
          </w:tblCellMar>
        </w:tblPrEx>
        <w:tc>
          <w:tcPr>
            <w:tcW w:w="8277" w:type="dxa"/>
            <w:tcBorders>
              <w:top w:val="nil"/>
              <w:left w:val="nil"/>
              <w:bottom w:val="nil"/>
              <w:right w:val="nil"/>
            </w:tcBorders>
          </w:tcPr>
          <w:p w14:paraId="53977D86" w14:textId="77777777" w:rsidR="00F866C7" w:rsidRDefault="00F866C7">
            <w:pPr>
              <w:widowControl w:val="0"/>
              <w:autoSpaceDE w:val="0"/>
              <w:autoSpaceDN w:val="0"/>
              <w:adjustRightInd w:val="0"/>
              <w:spacing w:after="0" w:line="240" w:lineRule="auto"/>
              <w:rPr>
                <w:rFonts w:ascii="Times" w:hAnsi="Times" w:cs="Times"/>
                <w:color w:val="000000"/>
                <w:sz w:val="16"/>
                <w:szCs w:val="16"/>
              </w:rPr>
            </w:pPr>
          </w:p>
        </w:tc>
        <w:tc>
          <w:tcPr>
            <w:tcW w:w="2097" w:type="dxa"/>
            <w:tcBorders>
              <w:top w:val="nil"/>
              <w:left w:val="nil"/>
              <w:bottom w:val="nil"/>
              <w:right w:val="nil"/>
            </w:tcBorders>
          </w:tcPr>
          <w:p w14:paraId="75B74E99" w14:textId="77777777" w:rsidR="00F866C7" w:rsidRDefault="00F866C7">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.2026</w:t>
            </w:r>
          </w:p>
        </w:tc>
      </w:tr>
    </w:tbl>
    <w:p w14:paraId="40E53C63"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Сублицензионный договор является офертой АО «ПФ «СКБ Контур» именуемого в дальнейшем Лицензиат, Пользователю − физическому или юридическому лицу, именуемому в дальнейшем Сублицензиат, заключающему с </w:t>
      </w:r>
      <w:r w:rsidR="00B82F19">
        <w:rPr>
          <w:rFonts w:ascii="Times" w:hAnsi="Times" w:cs="Times"/>
          <w:color w:val="000000"/>
          <w:sz w:val="18"/>
          <w:szCs w:val="18"/>
        </w:rPr>
        <w:t>_____________</w:t>
      </w:r>
      <w:r>
        <w:rPr>
          <w:rFonts w:ascii="Times" w:hAnsi="Times" w:cs="Times"/>
          <w:color w:val="000000"/>
          <w:sz w:val="18"/>
          <w:szCs w:val="18"/>
        </w:rPr>
        <w:t xml:space="preserve"> Договор на право использования программы для ЭВМ «Контур.Экстерн» и оказание услуг по сопровождению (технической поддержке) (далее – Договор). Сублицензионный договор признается заключенным с момента его акцепта Сублицензиатом. Под акцептом в целях Сублицензионного договора признается факт оплаты вознаграждения по Договору, либо факт получения сертификата ключа проверки электронной подписи, в составе которого имеется лицензия на использование программы для ЭВМ СКЗИ «КриптоПро», либо факт передачи Лицензиатом Сублицензиату лицензии на использование программы для ЭВМ СКЗИ «КриптоПро», в зависимости от того какое событие наступит раньше.</w:t>
      </w:r>
    </w:p>
    <w:p w14:paraId="354A70F1" w14:textId="77777777" w:rsidR="00F866C7" w:rsidRDefault="00F866C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14:paraId="03DB9244"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СКЗИ − программа для ЭВМ, средства криптографической защиты информации (средства электронной подписи), включая носители и документацию, или иные программы для ЭВМ, исключительные права на которую принадлежат ООО «Крипто-Про» (далее − Правообладатель). Точное наименование программ устанавливается в Спецификации в случае, если в период действия Договора Стороны согласовывают финансовые условия путем подписания Спецификаций, и/или в выставленном Лицензиатом счете.</w:t>
      </w:r>
    </w:p>
    <w:p w14:paraId="1986DD79"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Документация − печатные материалы и носители, содержащие документы в электронном виде. Документация является неотъемлемой частью СКЗИ.</w:t>
      </w:r>
    </w:p>
    <w:p w14:paraId="65EB2938"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Сертификат ключа – сертификат ключа проверки электронной подписи.</w:t>
      </w:r>
    </w:p>
    <w:p w14:paraId="09994760"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Бланк лицензии – документ с указанием серийного номера (лицензионного ключа), предоставляющий право использования СКЗИ на одном рабочем месте с указанием срока действия лицензии.</w:t>
      </w:r>
    </w:p>
    <w:p w14:paraId="5853F548"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Лицензия в составе сертификата ключа – программные алгоритмы, встроенные в сертификат ключа, позволяющие активировать СКЗИ, установленное на рабочем месте. Не сопровождается бланком лицензии.</w:t>
      </w:r>
    </w:p>
    <w:p w14:paraId="27F5A8F8"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Лицензия, встроенная в ключевой контейнер, − серийный номер, привязанный к ключевому контейнеру, позволяющий активировать СКЗИ, установленные на рабочем месте. Не сопровождается бланком лицензии.</w:t>
      </w:r>
    </w:p>
    <w:p w14:paraId="165FF575" w14:textId="77777777" w:rsidR="00F866C7" w:rsidRDefault="00F866C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Сублицензионного договора</w:t>
      </w:r>
    </w:p>
    <w:p w14:paraId="7A58484A"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Предметом Сублицензионного договора является возмездная передача Лицензиатом неисключительных прав использования СКЗИ Сублицензиату (простая (неисключительная) лицензия). Сублицензиат не имеет права передавать третьим лицам права, принадлежащие ему на основании Сублицензионного договора.</w:t>
      </w:r>
    </w:p>
    <w:p w14:paraId="27DA4754"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Право использования СКЗИ предоставляется только Сублицензиату (и никаким иным третьим лицам), за исключением случаев, когда Договором предусмотрено наличие Конечных пользователей, список которых устанавливается в указанном Договоре или приложении к нему. В таких случаях право использования СКЗИ предоставляется также Конечным пользователям.</w:t>
      </w:r>
    </w:p>
    <w:p w14:paraId="7BEF3283" w14:textId="77777777" w:rsidR="00F866C7" w:rsidRDefault="00F866C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Исключительные права</w:t>
      </w:r>
    </w:p>
    <w:p w14:paraId="2271B2FE"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СКЗИ является результатом интеллектуальной деятельности Правообладателя и защищается законодательством Российской Федерации об авторском праве.</w:t>
      </w:r>
    </w:p>
    <w:p w14:paraId="7EEC8739"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Средство криптографической защиты информации «КриптоПро CSP» (версия 5.0) внесено в единый реестр российских программ для электронных вычислительных машин и баз данных 29.03.2018, регистрационный номер 4332. Лицензия в составе сертификата ключа позволяет Сублицензиату активировать СКЗИ версии 5.0, установленное на рабочем месте Сублицензиата.</w:t>
      </w:r>
    </w:p>
    <w:p w14:paraId="530C8473"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Право использования СКЗИ предоставляется Сублицензиату исключительно в объеме, оговоренном Сублицензионным договором, если нет письменного согласия Правообладателя на иное.</w:t>
      </w:r>
    </w:p>
    <w:p w14:paraId="22421B9A" w14:textId="77777777" w:rsidR="00F866C7" w:rsidRDefault="00F866C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Условия использования СКЗИ</w:t>
      </w:r>
    </w:p>
    <w:p w14:paraId="5D29A508"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Сублицензиат имеет право использовать СКЗИ на одном рабочем месте (или сервере) в соответствии с объемом и типом приобретенных Лицензий, назначением и правилами пользования, изложенными в эксплуатационной документации, следующими способами: хранить и устанавливать СКЗИ в память ЭВМ, воспроизводить СКЗИ путем его записи в память ЭВМ.</w:t>
      </w:r>
    </w:p>
    <w:p w14:paraId="21AD05B1"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Сублицензиат обязуется не распространять СКЗИ третьим лицам путем продажи, проката, сдачи внаем, предоставления взаймы или иными другими способами отчуждения.</w:t>
      </w:r>
    </w:p>
    <w:p w14:paraId="05C00C5B"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Сублицензиат не имеет права осуществлять следующую деятельность:</w:t>
      </w:r>
    </w:p>
    <w:p w14:paraId="33A6A340"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допускать использование СКЗИ лицами, не имеющими прав на такое использование;</w:t>
      </w:r>
    </w:p>
    <w:p w14:paraId="1AD19DD4"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дизассемблировать (анализировать и исследовать объектный код), декомпилировать (преобразовывать объектный код в исходный текст), адаптировать и модифицировать СКЗИ;</w:t>
      </w:r>
    </w:p>
    <w:p w14:paraId="76A07DBE"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вносить какие-либо изменения в объектный код программ за исключением тех, которые вносятся средствами, включенными в комплект СКЗИ, и описанными в документации;</w:t>
      </w:r>
    </w:p>
    <w:p w14:paraId="0604D6EA"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совершать относительно СКЗИ другие действия, нарушающие российские и международные нормы по авторскому праву и использованию программных средств.</w:t>
      </w:r>
    </w:p>
    <w:p w14:paraId="02B59046" w14:textId="77777777" w:rsidR="00F866C7" w:rsidRDefault="00F866C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Территория действия Сублицензионного договора</w:t>
      </w:r>
    </w:p>
    <w:p w14:paraId="0A6C88ED"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Сублицензионный договор действует на территории всего мира.</w:t>
      </w:r>
    </w:p>
    <w:p w14:paraId="00CDA81F" w14:textId="77777777" w:rsidR="00F866C7" w:rsidRDefault="00F866C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Сублицензионного договора и передаваемых прав использования (лицензии)</w:t>
      </w:r>
    </w:p>
    <w:p w14:paraId="6CB76452"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Сублицензионный договор вступает в силу с момента его акцепта Сублицензиатом и действует в течение срока, установленного заключенным между Лицензиатом и Сублицензиатом Договором и автоматически пролонгируется на срок и по условиям пролонгации Договора.</w:t>
      </w:r>
    </w:p>
    <w:p w14:paraId="5290A224"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Передача бессрочных лицензий осуществляется на весь период действия исключительного права Правообладателя.</w:t>
      </w:r>
    </w:p>
    <w:p w14:paraId="11A92369"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6.3. Передача лицензий в составе сертификата ключа осуществляется на срок, указанный в таком сертификате. В случае досрочного прекращения срока действия сертификата ключа по любой причине – досрочно прекращается срок действия лицензии.</w:t>
      </w:r>
    </w:p>
    <w:p w14:paraId="20C02EF1"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После окончания срока действия сертификата ключа при условии сохранения ключа электронной подписи (закрытого ключа) лицензия в составе сертификата ключа позволяет производить операции расшифрования и проверки электронной подписи.</w:t>
      </w:r>
    </w:p>
    <w:p w14:paraId="07D58515"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Передача лицензий, встроенных в ключевой контейнер, осуществляется на срок, указанный в сертификате, привязанном к ключевому контейнеру. В случае досрочного прекращения срока действия сертификата ключа по любой причине – досрочно прекращается срок действия лицензии.</w:t>
      </w:r>
    </w:p>
    <w:p w14:paraId="255F2C94"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6.6. После окончания срока действия сертификата ключа при условии сохранения ключевого контейнера лицензия, встроенная в ключевой контейнер, позволяет производить операции расшифрования и проверки электронной подписи.</w:t>
      </w:r>
    </w:p>
    <w:p w14:paraId="4F3DFB36"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6.7. В случае нарушения условий Сублицензионного договора или неспособности далее выполнять его условия, все компоненты СКЗИ (включая печатные материалы, магнитные носители, файлы с информацией, архивные копии) должны быть уничтожены, бланки лицензий возвращены.</w:t>
      </w:r>
    </w:p>
    <w:p w14:paraId="17DB3178" w14:textId="77777777" w:rsidR="00F866C7" w:rsidRDefault="00F866C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Вознаграждение</w:t>
      </w:r>
    </w:p>
    <w:p w14:paraId="4F057CD1"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7.1. Сублицензиат уплачивает Лицензиату по Сублицензионному договору вознаграждение в размере и на условиях согласно заключенному между Лицензиатом и Сублицензиатом Договору.</w:t>
      </w:r>
    </w:p>
    <w:p w14:paraId="20924EEB"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Общий размер лицензионного вознаграждения определяется объемом и типом (количеством) приобретаемых Лицензий и/или Лицензий в составе сертификата ключа.</w:t>
      </w:r>
    </w:p>
    <w:p w14:paraId="27EA63EA"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Количество лицензий и общий размер лицензионного вознаграждения устанавливаются Лицензиатом в Договоре.</w:t>
      </w:r>
    </w:p>
    <w:p w14:paraId="6607D9FA" w14:textId="77777777" w:rsidR="00F866C7" w:rsidRDefault="00F866C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Ответственность</w:t>
      </w:r>
    </w:p>
    <w:p w14:paraId="56424115"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Сублицензиат приобретает право использования СКЗИ в объеме, оговоренном Сублицензионным договором, и несет ответственность за его использование в соответствии с рекомендациями, изложенными в эксплуатационной документации, и действующим законодательством Российской Федерации.</w:t>
      </w:r>
    </w:p>
    <w:p w14:paraId="46C7A6BC"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Незаконное использование СКЗИ является нарушением законодательства Российской Федерации и преследуется по закону.</w:t>
      </w:r>
    </w:p>
    <w:p w14:paraId="7454478C" w14:textId="77777777" w:rsidR="00F866C7" w:rsidRDefault="00F866C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Гарантии изготовителя (Правообладателя)</w:t>
      </w:r>
    </w:p>
    <w:p w14:paraId="6049AA1D"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Правообладатель СКЗИ гарантирует работоспособность СКЗИ при условии его 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СКЗИ на низком уровне.</w:t>
      </w:r>
    </w:p>
    <w:p w14:paraId="050FF5E0" w14:textId="77777777" w:rsidR="00F866C7" w:rsidRDefault="00F866C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Гарантийный срок эксплуатации СКЗИ устанавливается 12 (двенадцать) месяцев с момента установки СКЗИ на рабочем месте пользователя СКЗИ при условии наличия у него лицензии на использование СКЗИ.</w:t>
      </w:r>
    </w:p>
    <w:sectPr w:rsidR="00F866C7">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ED2"/>
    <w:rsid w:val="000B1C7A"/>
    <w:rsid w:val="000E60F6"/>
    <w:rsid w:val="00546ED2"/>
    <w:rsid w:val="008352A0"/>
    <w:rsid w:val="00B82F19"/>
    <w:rsid w:val="00DF6539"/>
    <w:rsid w:val="00F866C7"/>
    <w:rsid w:val="00F921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7E4589"/>
  <w14:defaultImageDpi w14:val="0"/>
  <w15:docId w15:val="{6F00D9BB-CEE2-4AE9-9829-1A5D6ABF1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82F19"/>
    <w:rPr>
      <w:rFonts w:cs="Times New Roman"/>
      <w:color w:val="0563C1" w:themeColor="hyperlink"/>
      <w:u w:val="single"/>
    </w:rPr>
  </w:style>
  <w:style w:type="character" w:styleId="a4">
    <w:name w:val="Unresolved Mention"/>
    <w:basedOn w:val="a0"/>
    <w:uiPriority w:val="99"/>
    <w:semiHidden/>
    <w:unhideWhenUsed/>
    <w:rsid w:val="00B82F19"/>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kontur.ru/contacts/all" TargetMode="External"/><Relationship Id="rId13" Type="http://schemas.openxmlformats.org/officeDocument/2006/relationships/hyperlink" Target="https://kontur.ru"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support.kontur.ru/extern" TargetMode="External"/><Relationship Id="rId12" Type="http://schemas.openxmlformats.org/officeDocument/2006/relationships/hyperlink" Target="https://support.kontur.ru/extern"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support.kontur.ru/extern" TargetMode="External"/><Relationship Id="rId1" Type="http://schemas.openxmlformats.org/officeDocument/2006/relationships/styles" Target="styles.xml"/><Relationship Id="rId6" Type="http://schemas.openxmlformats.org/officeDocument/2006/relationships/hyperlink" Target="https://ca.kontur.ru" TargetMode="External"/><Relationship Id="rId11" Type="http://schemas.openxmlformats.org/officeDocument/2006/relationships/hyperlink" Target="https://kontur.ru/about/licences" TargetMode="External"/><Relationship Id="rId5" Type="http://schemas.openxmlformats.org/officeDocument/2006/relationships/hyperlink" Target="https://www.kontur-extern.ru" TargetMode="External"/><Relationship Id="rId15" Type="http://schemas.openxmlformats.org/officeDocument/2006/relationships/hyperlink" Target="https://kontur.ru" TargetMode="External"/><Relationship Id="rId10" Type="http://schemas.openxmlformats.org/officeDocument/2006/relationships/hyperlink" Target="https://www.kontur.ru/extern" TargetMode="External"/><Relationship Id="rId4" Type="http://schemas.openxmlformats.org/officeDocument/2006/relationships/image" Target="media/image1.png"/><Relationship Id="rId9" Type="http://schemas.openxmlformats.org/officeDocument/2006/relationships/hyperlink" Target="https://www.kontur-extern.ru/support/start" TargetMode="External"/><Relationship Id="rId14" Type="http://schemas.openxmlformats.org/officeDocument/2006/relationships/hyperlink" Target="https://kontur.ru/about/licen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7644</Words>
  <Characters>43577</Characters>
  <Application>Microsoft Office Word</Application>
  <DocSecurity>0</DocSecurity>
  <Lines>363</Lines>
  <Paragraphs>102</Paragraphs>
  <ScaleCrop>false</ScaleCrop>
  <Company/>
  <LinksUpToDate>false</LinksUpToDate>
  <CharactersWithSpaces>51119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Назарова Елена Юрьевна</dc:creator>
  <cp:keywords/>
  <dc:description/>
  <cp:lastModifiedBy>Назарова Елена Юрьевна</cp:lastModifiedBy>
  <cp:revision>2</cp:revision>
  <dcterms:created xsi:type="dcterms:W3CDTF">2026-08-27T13:03:00Z</dcterms:created>
  <dcterms:modified xsi:type="dcterms:W3CDTF">2026-08-27T13:03:00Z</dcterms:modified>
</cp:coreProperties>
</file>