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412B07" w:rsidRPr="00D77ECE" w:rsidRDefault="00471289" w:rsidP="00D77ECE">
      <w:pPr>
        <w:pStyle w:val="ab"/>
        <w:ind w:left="250" w:right="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Электрооборудование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C37890">
        <w:rPr>
          <w:b/>
          <w:bCs/>
          <w:color w:val="000000" w:themeColor="text1"/>
          <w:sz w:val="22"/>
          <w:szCs w:val="22"/>
        </w:rPr>
        <w:t>239</w:t>
      </w:r>
      <w:r w:rsidR="00471289">
        <w:rPr>
          <w:b/>
          <w:bCs/>
          <w:color w:val="000000" w:themeColor="text1"/>
          <w:sz w:val="22"/>
          <w:szCs w:val="22"/>
        </w:rPr>
        <w:t>0000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471289">
        <w:rPr>
          <w:sz w:val="22"/>
          <w:szCs w:val="22"/>
        </w:rPr>
        <w:t>электрооборудование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C304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C304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471289" w:rsidRPr="00471289">
        <w:rPr>
          <w:bCs/>
          <w:sz w:val="22"/>
          <w:szCs w:val="22"/>
        </w:rPr>
        <w:t>12 месяцев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1764"/>
        <w:gridCol w:w="520"/>
        <w:gridCol w:w="709"/>
        <w:gridCol w:w="709"/>
        <w:gridCol w:w="3402"/>
        <w:gridCol w:w="2268"/>
      </w:tblGrid>
      <w:tr w:rsidR="00471289" w:rsidRPr="00A53709" w:rsidTr="00471289">
        <w:trPr>
          <w:trHeight w:val="245"/>
        </w:trPr>
        <w:tc>
          <w:tcPr>
            <w:tcW w:w="2111" w:type="dxa"/>
            <w:vAlign w:val="center"/>
          </w:tcPr>
          <w:p w:rsidR="00471289" w:rsidRPr="00A53709" w:rsidRDefault="00471289" w:rsidP="00251FA1">
            <w:pPr>
              <w:jc w:val="center"/>
              <w:rPr>
                <w:b/>
              </w:rPr>
            </w:pPr>
            <w:r w:rsidRPr="00A53709">
              <w:rPr>
                <w:b/>
              </w:rPr>
              <w:t>Предмет контракта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  <w:rPr>
                <w:b/>
              </w:rPr>
            </w:pPr>
            <w:r w:rsidRPr="00A53709">
              <w:rPr>
                <w:b/>
              </w:rPr>
              <w:t>Наименование товара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  <w:rPr>
                <w:b/>
              </w:rPr>
            </w:pPr>
            <w:r w:rsidRPr="00A53709">
              <w:rPr>
                <w:b/>
              </w:rPr>
              <w:t>№ п/п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left="-118" w:right="-72"/>
              <w:jc w:val="center"/>
              <w:rPr>
                <w:b/>
              </w:rPr>
            </w:pPr>
            <w:r w:rsidRPr="00A53709">
              <w:rPr>
                <w:b/>
              </w:rPr>
              <w:t>Ед.</w:t>
            </w:r>
          </w:p>
          <w:p w:rsidR="00471289" w:rsidRPr="00A53709" w:rsidRDefault="00471289" w:rsidP="00251FA1">
            <w:pPr>
              <w:ind w:left="-118" w:right="-72"/>
              <w:jc w:val="center"/>
              <w:rPr>
                <w:b/>
              </w:rPr>
            </w:pPr>
            <w:r w:rsidRPr="00A53709">
              <w:rPr>
                <w:b/>
              </w:rPr>
              <w:t>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left="-118" w:right="-72"/>
              <w:jc w:val="center"/>
              <w:rPr>
                <w:b/>
              </w:rPr>
            </w:pPr>
            <w:r w:rsidRPr="00A53709">
              <w:rPr>
                <w:b/>
              </w:rPr>
              <w:t>Кол-во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  <w:rPr>
                <w:b/>
              </w:rPr>
            </w:pPr>
            <w:r w:rsidRPr="00A53709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jc w:val="center"/>
              <w:rPr>
                <w:b/>
              </w:rPr>
            </w:pPr>
            <w:r w:rsidRPr="00A53709">
              <w:rPr>
                <w:b/>
              </w:rPr>
              <w:t xml:space="preserve">Требования к значению показателя </w:t>
            </w:r>
          </w:p>
        </w:tc>
      </w:tr>
      <w:tr w:rsidR="00471289" w:rsidRPr="00A53709" w:rsidTr="00471289">
        <w:trPr>
          <w:trHeight w:val="208"/>
        </w:trPr>
        <w:tc>
          <w:tcPr>
            <w:tcW w:w="2111" w:type="dxa"/>
            <w:vMerge w:val="restart"/>
            <w:vAlign w:val="center"/>
          </w:tcPr>
          <w:p w:rsidR="00471289" w:rsidRPr="00A53709" w:rsidRDefault="00471289" w:rsidP="00251FA1">
            <w:pPr>
              <w:ind w:right="-78"/>
              <w:jc w:val="center"/>
            </w:pPr>
            <w:r w:rsidRPr="00A53709">
              <w:t>Электро</w:t>
            </w:r>
            <w:r>
              <w:t>оборудование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:rsidR="00471289" w:rsidRPr="00A53709" w:rsidRDefault="00471289" w:rsidP="00251FA1">
            <w:pPr>
              <w:ind w:right="-78"/>
              <w:jc w:val="center"/>
            </w:pPr>
            <w:r w:rsidRPr="00A53709">
              <w:t>Кабель электрический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  <w:proofErr w:type="spellStart"/>
            <w:r w:rsidRPr="00A53709">
              <w:t>пог.м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  <w:r w:rsidRPr="00A53709">
              <w:t>55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Тип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78"/>
              <w:jc w:val="center"/>
            </w:pPr>
            <w:r w:rsidRPr="00A53709">
              <w:t>Кабель ПВС</w:t>
            </w:r>
          </w:p>
        </w:tc>
      </w:tr>
      <w:tr w:rsidR="00471289" w:rsidRPr="00A53709" w:rsidTr="00471289">
        <w:trPr>
          <w:trHeight w:val="208"/>
        </w:trPr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ГОСТ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ГОСТ 7399 ТУ 27.32.13-006-24117095-2020</w:t>
            </w:r>
          </w:p>
        </w:tc>
      </w:tr>
      <w:tr w:rsidR="00471289" w:rsidRPr="00A53709" w:rsidTr="00471289">
        <w:trPr>
          <w:trHeight w:val="208"/>
        </w:trPr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Материал проводника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78"/>
              <w:jc w:val="center"/>
            </w:pPr>
            <w:r w:rsidRPr="00A53709">
              <w:t>Медь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Материал изоляции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ПВХ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Конструкция токопроводящей жилы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Многожильный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Номинальное напряжение (В)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Мощность (кВт)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Эксплуатация в температурном диапазоне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от - 25°C до + 40°C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Страна происхождения товара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  <w:r w:rsidRPr="00A53709">
              <w:t>Электрогенератор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  <w:r w:rsidRPr="00A53709">
              <w:t>шт.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  <w:r w:rsidRPr="00A53709"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Тип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Генератор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Тип запуска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Ручной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Номинальная мощность (кВт)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Материал обмотки альтернатора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Алюминий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Мощность двигателя (</w:t>
            </w:r>
            <w:proofErr w:type="spellStart"/>
            <w:r w:rsidRPr="00A53709">
              <w:t>л.с</w:t>
            </w:r>
            <w:proofErr w:type="spellEnd"/>
            <w:r w:rsidRPr="00A53709">
              <w:t>.)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Объем двигателя (см³)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Объем топливного бака (л)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15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Количество фаз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Однофазный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Напряжение (В)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220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Топливо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Бензин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Степень защиты (IP)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IP23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Гарантия (лет)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1</w:t>
            </w:r>
          </w:p>
        </w:tc>
      </w:tr>
      <w:tr w:rsidR="00471289" w:rsidRPr="00A53709" w:rsidTr="00471289">
        <w:tc>
          <w:tcPr>
            <w:tcW w:w="2111" w:type="dxa"/>
            <w:vMerge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471289" w:rsidRPr="00A53709" w:rsidRDefault="00471289" w:rsidP="0047128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643" w:hanging="72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1289" w:rsidRPr="00A53709" w:rsidRDefault="00471289" w:rsidP="00251FA1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  <w:r w:rsidRPr="00A53709">
              <w:t>Страна происхождения товара</w:t>
            </w:r>
          </w:p>
        </w:tc>
        <w:tc>
          <w:tcPr>
            <w:tcW w:w="2268" w:type="dxa"/>
            <w:vAlign w:val="center"/>
          </w:tcPr>
          <w:p w:rsidR="00471289" w:rsidRPr="00A53709" w:rsidRDefault="00471289" w:rsidP="00251FA1">
            <w:pPr>
              <w:ind w:right="-47"/>
              <w:jc w:val="center"/>
            </w:pPr>
          </w:p>
        </w:tc>
      </w:tr>
    </w:tbl>
    <w:p w:rsidR="00FE32C7" w:rsidRDefault="00FE32C7" w:rsidP="00FE32C7">
      <w:pPr>
        <w:ind w:left="-709" w:right="-143"/>
        <w:jc w:val="both"/>
      </w:pPr>
    </w:p>
    <w:p w:rsidR="00471289" w:rsidRPr="00A53709" w:rsidRDefault="00471289" w:rsidP="00471289">
      <w:pPr>
        <w:ind w:left="-709"/>
        <w:rPr>
          <w:b/>
          <w:u w:val="single"/>
        </w:rPr>
      </w:pPr>
      <w:r w:rsidRPr="00A53709">
        <w:rPr>
          <w:b/>
        </w:rPr>
        <w:t xml:space="preserve">Гарантия: </w:t>
      </w:r>
      <w:r w:rsidRPr="00A53709">
        <w:t>12 месяцев.</w:t>
      </w: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2"/>
        <w:gridCol w:w="850"/>
        <w:gridCol w:w="1702"/>
        <w:gridCol w:w="1702"/>
      </w:tblGrid>
      <w:tr w:rsidR="00A615D0" w:rsidRPr="00FD7C53" w:rsidTr="00471289">
        <w:trPr>
          <w:trHeight w:val="487"/>
        </w:trPr>
        <w:tc>
          <w:tcPr>
            <w:tcW w:w="1149" w:type="pct"/>
            <w:vAlign w:val="center"/>
          </w:tcPr>
          <w:p w:rsidR="00A615D0" w:rsidRPr="00FD7C53" w:rsidRDefault="00A615D0" w:rsidP="00A615D0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1351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73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11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811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FC3040" w:rsidRPr="00FD7C53" w:rsidTr="00471289">
        <w:trPr>
          <w:trHeight w:val="288"/>
        </w:trPr>
        <w:tc>
          <w:tcPr>
            <w:tcW w:w="1149" w:type="pct"/>
            <w:vMerge w:val="restart"/>
            <w:vAlign w:val="center"/>
          </w:tcPr>
          <w:p w:rsidR="00FC3040" w:rsidRPr="00F27630" w:rsidRDefault="00471289" w:rsidP="00F27630">
            <w:pPr>
              <w:keepNext/>
              <w:contextualSpacing/>
              <w:jc w:val="center"/>
              <w:rPr>
                <w:lang w:eastAsia="en-US"/>
              </w:rPr>
            </w:pPr>
            <w:r w:rsidRPr="00A53709">
              <w:t>Электро</w:t>
            </w:r>
            <w:r>
              <w:t>оборудование</w:t>
            </w:r>
          </w:p>
        </w:tc>
        <w:tc>
          <w:tcPr>
            <w:tcW w:w="1351" w:type="pct"/>
            <w:vAlign w:val="center"/>
          </w:tcPr>
          <w:p w:rsidR="00FC3040" w:rsidRPr="00471289" w:rsidRDefault="00471289" w:rsidP="00471289">
            <w:pPr>
              <w:ind w:right="-78"/>
              <w:jc w:val="center"/>
            </w:pPr>
            <w:r w:rsidRPr="00A53709">
              <w:t>Кабель электрический</w:t>
            </w:r>
          </w:p>
        </w:tc>
        <w:tc>
          <w:tcPr>
            <w:tcW w:w="473" w:type="pct"/>
            <w:vAlign w:val="center"/>
          </w:tcPr>
          <w:p w:rsidR="00FC3040" w:rsidRPr="008A5A66" w:rsidRDefault="00471289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</w:p>
        </w:tc>
        <w:tc>
          <w:tcPr>
            <w:tcW w:w="405" w:type="pct"/>
            <w:vAlign w:val="center"/>
          </w:tcPr>
          <w:p w:rsidR="00FC3040" w:rsidRDefault="00471289" w:rsidP="00F9404C">
            <w:pPr>
              <w:jc w:val="center"/>
            </w:pPr>
            <w:proofErr w:type="spellStart"/>
            <w:r>
              <w:t>пог</w:t>
            </w:r>
            <w:proofErr w:type="spellEnd"/>
            <w:r>
              <w:t>. м.</w:t>
            </w:r>
          </w:p>
        </w:tc>
        <w:tc>
          <w:tcPr>
            <w:tcW w:w="811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C3040" w:rsidRPr="00FD7C53" w:rsidTr="00471289">
        <w:trPr>
          <w:trHeight w:val="288"/>
        </w:trPr>
        <w:tc>
          <w:tcPr>
            <w:tcW w:w="1149" w:type="pct"/>
            <w:vMerge/>
            <w:vAlign w:val="center"/>
          </w:tcPr>
          <w:p w:rsidR="00FC3040" w:rsidRDefault="00FC3040" w:rsidP="00D77ECE">
            <w:pPr>
              <w:keepNext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351" w:type="pct"/>
            <w:vAlign w:val="center"/>
          </w:tcPr>
          <w:p w:rsidR="00FC3040" w:rsidRDefault="00471289" w:rsidP="008A5A66">
            <w:pPr>
              <w:jc w:val="center"/>
            </w:pPr>
            <w:r w:rsidRPr="00A53709">
              <w:t>Электрогенератор</w:t>
            </w:r>
          </w:p>
        </w:tc>
        <w:tc>
          <w:tcPr>
            <w:tcW w:w="473" w:type="pct"/>
            <w:vAlign w:val="center"/>
          </w:tcPr>
          <w:p w:rsidR="00FC3040" w:rsidRDefault="00471289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5" w:type="pct"/>
            <w:vAlign w:val="center"/>
          </w:tcPr>
          <w:p w:rsidR="00FC3040" w:rsidRDefault="00471289" w:rsidP="00F9404C">
            <w:pPr>
              <w:jc w:val="center"/>
            </w:pPr>
            <w:r>
              <w:t>шт</w:t>
            </w:r>
            <w:r w:rsidR="00FC3040">
              <w:t>.</w:t>
            </w:r>
          </w:p>
        </w:tc>
        <w:tc>
          <w:tcPr>
            <w:tcW w:w="811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471289" w:rsidRDefault="0047128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BB" w:rsidRDefault="002C1BBB" w:rsidP="003A1257">
      <w:r>
        <w:separator/>
      </w:r>
    </w:p>
  </w:endnote>
  <w:endnote w:type="continuationSeparator" w:id="0">
    <w:p w:rsidR="002C1BBB" w:rsidRDefault="002C1BBB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B" w:rsidRDefault="002C1BBB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C37890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BB" w:rsidRDefault="002C1BBB" w:rsidP="003A1257">
      <w:r>
        <w:separator/>
      </w:r>
    </w:p>
  </w:footnote>
  <w:footnote w:type="continuationSeparator" w:id="0">
    <w:p w:rsidR="002C1BBB" w:rsidRDefault="002C1BBB" w:rsidP="003A1257">
      <w:r>
        <w:continuationSeparator/>
      </w:r>
    </w:p>
  </w:footnote>
  <w:footnote w:id="1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C1BBB" w:rsidRDefault="002C1BBB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9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6"/>
  </w:num>
  <w:num w:numId="4">
    <w:abstractNumId w:val="7"/>
  </w:num>
  <w:num w:numId="5">
    <w:abstractNumId w:val="26"/>
  </w:num>
  <w:num w:numId="6">
    <w:abstractNumId w:val="1"/>
  </w:num>
  <w:num w:numId="7">
    <w:abstractNumId w:val="38"/>
  </w:num>
  <w:num w:numId="8">
    <w:abstractNumId w:val="41"/>
  </w:num>
  <w:num w:numId="9">
    <w:abstractNumId w:val="24"/>
  </w:num>
  <w:num w:numId="10">
    <w:abstractNumId w:val="25"/>
  </w:num>
  <w:num w:numId="11">
    <w:abstractNumId w:val="19"/>
  </w:num>
  <w:num w:numId="12">
    <w:abstractNumId w:val="35"/>
  </w:num>
  <w:num w:numId="13">
    <w:abstractNumId w:val="40"/>
  </w:num>
  <w:num w:numId="14">
    <w:abstractNumId w:val="16"/>
  </w:num>
  <w:num w:numId="15">
    <w:abstractNumId w:val="3"/>
  </w:num>
  <w:num w:numId="16">
    <w:abstractNumId w:val="36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32"/>
  </w:num>
  <w:num w:numId="23">
    <w:abstractNumId w:val="13"/>
  </w:num>
  <w:num w:numId="24">
    <w:abstractNumId w:val="17"/>
  </w:num>
  <w:num w:numId="25">
    <w:abstractNumId w:val="37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8"/>
  </w:num>
  <w:num w:numId="32">
    <w:abstractNumId w:val="20"/>
  </w:num>
  <w:num w:numId="33">
    <w:abstractNumId w:val="15"/>
  </w:num>
  <w:num w:numId="34">
    <w:abstractNumId w:val="34"/>
  </w:num>
  <w:num w:numId="35">
    <w:abstractNumId w:val="30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4"/>
  </w:num>
  <w:num w:numId="40">
    <w:abstractNumId w:val="42"/>
  </w:num>
  <w:num w:numId="41">
    <w:abstractNumId w:val="39"/>
  </w:num>
  <w:num w:numId="42">
    <w:abstractNumId w:val="8"/>
  </w:num>
  <w:num w:numId="43">
    <w:abstractNumId w:val="43"/>
  </w:num>
  <w:num w:numId="44">
    <w:abstractNumId w:val="31"/>
  </w:num>
  <w:num w:numId="45">
    <w:abstractNumId w:val="4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56C3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B4FBE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1289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30E8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D0421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37890"/>
    <w:rsid w:val="00C44FAF"/>
    <w:rsid w:val="00C47E09"/>
    <w:rsid w:val="00C54DDA"/>
    <w:rsid w:val="00C615EC"/>
    <w:rsid w:val="00C67B4D"/>
    <w:rsid w:val="00C71A52"/>
    <w:rsid w:val="00C71F5B"/>
    <w:rsid w:val="00C73A42"/>
    <w:rsid w:val="00C773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531A5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4858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577C2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6438"/>
    <w:rsid w:val="00FB7DB4"/>
    <w:rsid w:val="00FC3040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65582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A65F-B6FF-46F2-94C6-4F9AFF04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15</Pages>
  <Words>5251</Words>
  <Characters>42451</Characters>
  <Application>Microsoft Office Word</Application>
  <DocSecurity>0</DocSecurity>
  <Lines>353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194</cp:revision>
  <cp:lastPrinted>2018-10-24T12:25:00Z</cp:lastPrinted>
  <dcterms:created xsi:type="dcterms:W3CDTF">2024-03-06T07:03:00Z</dcterms:created>
  <dcterms:modified xsi:type="dcterms:W3CDTF">2026-06-17T09:43:00Z</dcterms:modified>
</cp:coreProperties>
</file>