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2"/>
        <w:rPr>
          <w:rFonts w:ascii="Arial" w:hAnsi="Arial" w:eastAsia="Arial"/>
          <w:b/>
          <w:i/>
          <w:sz w:val="24"/>
          <w:szCs w:val="24"/>
        </w:rPr>
      </w:pPr>
      <w:r>
        <w:rPr>
          <w:rFonts w:ascii="Arial" w:hAnsi="Arial" w:eastAsia="Arial"/>
          <w:b/>
          <w:i/>
          <w:sz w:val="24"/>
          <w:szCs w:val="24"/>
        </w:rPr>
        <w:t xml:space="preserve">                                                      </w:t>
      </w:r>
      <w:r>
        <w:rPr>
          <w:rFonts w:ascii="Arial" w:hAnsi="Arial"/>
          <w:b/>
          <w:i/>
          <w:sz w:val="24"/>
          <w:szCs w:val="24"/>
        </w:rPr>
        <w:t xml:space="preserve">ДОГОВОР № РТ26-43/</w:t>
      </w:r>
      <w:r>
        <w:rPr>
          <w:rFonts w:ascii="Arial" w:hAnsi="Arial"/>
          <w:b/>
          <w:i/>
          <w:sz w:val="24"/>
          <w:szCs w:val="24"/>
          <w:lang w:val="en-US"/>
        </w:rPr>
        <w:t xml:space="preserve">IV</w:t>
      </w:r>
      <w:r>
        <w:rPr>
          <w:rFonts w:ascii="Arial" w:hAnsi="Arial" w:eastAsia="Arial"/>
          <w:b/>
          <w:i/>
          <w:sz w:val="24"/>
          <w:szCs w:val="24"/>
        </w:rPr>
      </w:r>
      <w:r/>
    </w:p>
    <w:p>
      <w:pPr>
        <w:pStyle w:val="632"/>
        <w:rPr>
          <w:b/>
          <w:i/>
          <w:sz w:val="24"/>
          <w:szCs w:val="24"/>
        </w:rPr>
      </w:pPr>
      <w:r>
        <w:rPr>
          <w:rFonts w:ascii="Arial" w:hAnsi="Arial" w:eastAsia="Arial"/>
          <w:b/>
          <w:i/>
          <w:sz w:val="24"/>
          <w:szCs w:val="24"/>
        </w:rPr>
        <w:t xml:space="preserve">                                                 </w:t>
      </w:r>
      <w:r>
        <w:rPr>
          <w:rFonts w:ascii="Arial" w:hAnsi="Arial"/>
          <w:b/>
          <w:i/>
          <w:sz w:val="24"/>
          <w:szCs w:val="24"/>
        </w:rPr>
        <w:t xml:space="preserve">возмездного оказания услуг</w:t>
      </w:r>
      <w:r>
        <w:rPr>
          <w:b/>
          <w:i/>
          <w:sz w:val="24"/>
          <w:szCs w:val="24"/>
        </w:rPr>
      </w:r>
      <w:r/>
    </w:p>
    <w:p>
      <w:pPr>
        <w:pStyle w:val="631"/>
        <w:jc w:val="left"/>
      </w:pPr>
      <w:r>
        <w:rPr>
          <w:rFonts w:cs="Arial"/>
          <w:b w:val="false"/>
          <w:bCs w:val="false"/>
          <w:i w:val="false"/>
          <w:iCs w:val="false"/>
          <w:sz w:val="16"/>
          <w:szCs w:val="16"/>
        </w:rPr>
        <w:t xml:space="preserve">                                                        ИКЗ:</w:t>
      </w:r>
      <w:r>
        <w:rPr>
          <w:rFonts w:cs="Arial"/>
          <w:b/>
          <w:i/>
          <w:sz w:val="16"/>
          <w:szCs w:val="16"/>
        </w:rPr>
        <w:t xml:space="preserve"> </w:t>
      </w:r>
      <w:r>
        <w:rPr>
          <w:rFonts w:ascii="Tahoma" w:hAnsi="Tahoma" w:cs="Tahoma" w:eastAsia="Tahoma"/>
          <w:color w:val="000000"/>
          <w:sz w:val="16"/>
          <w:szCs w:val="16"/>
          <w:highlight w:val="none"/>
        </w:rPr>
        <w:t xml:space="preserve">261434600765643450100100300000000244</w:t>
      </w:r>
      <w:r>
        <w:rPr>
          <w:sz w:val="16"/>
          <w:szCs w:val="16"/>
        </w:rPr>
      </w:r>
      <w:r/>
    </w:p>
    <w:p>
      <w:pPr>
        <w:pStyle w:val="631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</w:r>
      <w:r/>
    </w:p>
    <w:p>
      <w:pPr>
        <w:pStyle w:val="598"/>
        <w:jc w:val="center"/>
        <w:spacing w:lineRule="auto" w:line="276"/>
        <w:shd w:val="clear" w:fill="D9D9D9" w:color="auto"/>
        <w:widowControl/>
        <w:rPr>
          <w:rFonts w:ascii="Arial" w:hAnsi="Arial" w:eastAsia="Arial"/>
          <w:i/>
        </w:rPr>
      </w:pPr>
      <w:r>
        <w:rPr>
          <w:rFonts w:ascii="Arial" w:hAnsi="Arial" w:eastAsia="Arial"/>
          <w:i/>
          <w:sz w:val="20"/>
          <w:szCs w:val="20"/>
          <w:lang w:bidi="ar-SA" w:eastAsia="ru-RU"/>
        </w:rPr>
        <w:t xml:space="preserve">                                                                   </w:t>
      </w:r>
      <w:r>
        <w:rPr>
          <w:rFonts w:ascii="Arial" w:hAnsi="Arial" w:eastAsia="Arial"/>
          <w:i/>
        </w:rPr>
      </w:r>
      <w:r/>
    </w:p>
    <w:p>
      <w:pPr>
        <w:pStyle w:val="632"/>
        <w:rPr>
          <w:rFonts w:ascii="Arial" w:hAnsi="Arial"/>
          <w:i/>
        </w:rPr>
      </w:pPr>
      <w:r>
        <w:rPr>
          <w:rFonts w:ascii="Arial" w:hAnsi="Arial" w:eastAsia="Arial"/>
          <w:i/>
        </w:rPr>
        <w:t xml:space="preserve">    </w:t>
      </w:r>
      <w:r>
        <w:rPr>
          <w:rFonts w:ascii="Arial" w:hAnsi="Arial"/>
          <w:i/>
        </w:rPr>
        <w:t xml:space="preserve">г. Киров                                                                                                                        </w:t>
      </w:r>
      <w:r>
        <w:rPr>
          <w:rFonts w:ascii="Arial" w:hAnsi="Arial"/>
          <w:i/>
        </w:rPr>
        <w:t xml:space="preserve">07</w:t>
      </w:r>
      <w:r>
        <w:rPr>
          <w:rFonts w:ascii="Arial" w:hAnsi="Arial"/>
          <w:i/>
        </w:rPr>
        <w:t xml:space="preserve"> августа 2026 г.</w:t>
      </w:r>
      <w:r/>
    </w:p>
    <w:p>
      <w:pPr>
        <w:pStyle w:val="632"/>
        <w:rPr>
          <w:rFonts w:ascii="Arial" w:hAnsi="Arial"/>
          <w:i/>
        </w:rPr>
      </w:pPr>
      <w:r>
        <w:rPr>
          <w:rFonts w:ascii="Arial" w:hAnsi="Arial"/>
          <w:i/>
        </w:rPr>
      </w:r>
      <w:r/>
    </w:p>
    <w:p>
      <w:pPr>
        <w:pStyle w:val="598"/>
        <w:jc w:val="both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Arial" w:hAnsi="Arial"/>
          <w:i/>
          <w:sz w:val="20"/>
          <w:szCs w:val="20"/>
        </w:rPr>
        <w:tab/>
      </w:r>
      <w:r>
        <w:rPr>
          <w:rFonts w:ascii="Times New Roman" w:hAnsi="Times New Roman" w:cs="Times New Roman" w:eastAsia="Times New Roman"/>
          <w:i w:val="false"/>
          <w:sz w:val="24"/>
          <w:szCs w:val="20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false"/>
          <w:sz w:val="24"/>
          <w:szCs w:val="20"/>
        </w:rPr>
        <w:t xml:space="preserve">ЗАО “Радиотехник”, </w:t>
      </w:r>
      <w:r>
        <w:rPr>
          <w:rFonts w:ascii="Times New Roman" w:hAnsi="Times New Roman" w:cs="Times New Roman" w:eastAsia="Times New Roman"/>
          <w:i w:val="false"/>
          <w:sz w:val="24"/>
          <w:szCs w:val="20"/>
        </w:rPr>
        <w:t xml:space="preserve">именуемое в дальнейшем «Исполнитель», в лице Генерального директора Бакулина Алексея Александровича, действующего на основании Устава, с одной стороны и </w:t>
      </w:r>
      <w:r>
        <w:rPr>
          <w:rFonts w:ascii="Times New Roman" w:hAnsi="Times New Roman" w:cs="Times New Roman" w:eastAsia="Times New Roman"/>
          <w:b/>
          <w:i w:val="false"/>
          <w:sz w:val="24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rFonts w:ascii="Times New Roman" w:hAnsi="Times New Roman" w:cs="Times New Roman" w:eastAsia="Times New Roman"/>
          <w:i w:val="false"/>
          <w:sz w:val="24"/>
          <w:szCs w:val="20"/>
        </w:rPr>
        <w:t xml:space="preserve"> именуемое в дальнейшем «</w:t>
      </w:r>
      <w:r>
        <w:rPr>
          <w:rFonts w:ascii="Times New Roman" w:hAnsi="Times New Roman" w:cs="Times New Roman" w:eastAsia="Times New Roman"/>
          <w:bCs/>
          <w:i w:val="false"/>
          <w:sz w:val="24"/>
          <w:szCs w:val="20"/>
        </w:rPr>
        <w:t xml:space="preserve">Заказчик», </w:t>
      </w:r>
      <w:r>
        <w:rPr>
          <w:rFonts w:ascii="Times New Roman" w:hAnsi="Times New Roman" w:cs="Times New Roman" w:eastAsia="Times New Roman"/>
          <w:i w:val="false"/>
          <w:sz w:val="24"/>
          <w:szCs w:val="20"/>
        </w:rPr>
        <w:t xml:space="preserve">в лице директора Парамонова Игоря Владимировича, действующего на основании Устава, с другой стороны, а вместе именуемые «Стороны»</w:t>
      </w:r>
      <w:r>
        <w:rPr>
          <w:rFonts w:ascii="Times New Roman" w:hAnsi="Times New Roman" w:cs="Times New Roman" w:eastAsia="Times New Roman"/>
          <w:i w:val="false"/>
          <w:sz w:val="24"/>
          <w:szCs w:val="20"/>
          <w:lang w:bidi="ar-SA" w:eastAsia="ru-RU"/>
        </w:rPr>
        <w:t xml:space="preserve">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 w:eastAsia="Times New Roman"/>
          <w:i w:val="false"/>
          <w:spacing w:val="1"/>
          <w:sz w:val="24"/>
          <w:szCs w:val="20"/>
          <w:lang w:bidi="ar-SA" w:eastAsia="ru-RU"/>
        </w:rPr>
        <w:t xml:space="preserve"> </w:t>
      </w:r>
      <w:r>
        <w:rPr>
          <w:rFonts w:ascii="Times New Roman" w:hAnsi="Times New Roman" w:cs="Times New Roman" w:eastAsia="Times New Roman"/>
          <w:i w:val="false"/>
          <w:color w:val="000000"/>
          <w:sz w:val="24"/>
          <w:szCs w:val="20"/>
          <w:lang w:bidi="ar-SA" w:eastAsia="ru-RU"/>
        </w:rPr>
        <w:t xml:space="preserve">заключили настоящий договор о нижеследующем: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1. Согласно  настоящему   договору  Исполнитель  обязуется  по  заданию Заказчика оказать услуги по ремонту плат стандартных телефонов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 к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false"/>
          <w:sz w:val="24"/>
          <w:szCs w:val="24"/>
          <w:lang w:eastAsia="ru-RU"/>
        </w:rPr>
        <w:t xml:space="preserve">УПАТС инв № 01352433</w:t>
      </w:r>
      <w:r>
        <w:rPr>
          <w:rFonts w:ascii="Times New Roman" w:hAnsi="Times New Roman" w:cs="Times New Roman" w:eastAsia="Times New Roman"/>
          <w:i w:val="false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«</w:t>
      </w:r>
      <w:r>
        <w:rPr>
          <w:rFonts w:ascii="Times New Roman" w:hAnsi="Times New Roman" w:cs="Times New Roman" w:eastAsia="Times New Roman"/>
          <w:i w:val="false"/>
          <w:sz w:val="24"/>
          <w:lang w:val="en-US"/>
        </w:rPr>
        <w:t xml:space="preserve">LDK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-300 </w:t>
      </w:r>
      <w:r>
        <w:rPr>
          <w:rFonts w:ascii="Times New Roman" w:hAnsi="Times New Roman" w:cs="Times New Roman" w:eastAsia="Times New Roman"/>
          <w:i w:val="false"/>
          <w:sz w:val="24"/>
          <w:lang w:val="en-US"/>
        </w:rPr>
        <w:t xml:space="preserve">SLIB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2</w:t>
      </w:r>
      <w:r>
        <w:rPr>
          <w:rFonts w:ascii="Times New Roman" w:hAnsi="Times New Roman" w:cs="Times New Roman" w:eastAsia="Times New Roman"/>
          <w:i w:val="false"/>
          <w:sz w:val="24"/>
          <w:lang w:val="en-US"/>
        </w:rPr>
        <w:t xml:space="preserve">E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»</w:t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iCs/>
          <w:sz w:val="24"/>
        </w:rPr>
        <w:t xml:space="preserve">в количестве четырёх штук,</w:t>
      </w:r>
      <w:r>
        <w:rPr>
          <w:rFonts w:ascii="Times New Roman" w:hAnsi="Times New Roman" w:cs="Times New Roman" w:eastAsia="Times New Roman"/>
          <w:i w:val="false"/>
          <w:iCs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а Заказчик обязуется оплатить эти услуги.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 2. Стоимость оказываемых услуг согласно счёту № 1146 от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07.0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8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.2026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 г. составляет 38 080 (Тридцать тысяч восемьдесят) рублей 00 копеек, в том числе НДС (22%) 6 866 (Шесть тысяч восемьсот шестьдесят шесть) рублей 89 коп.</w:t>
      </w:r>
      <w:r>
        <w:rPr>
          <w:rFonts w:ascii="Times New Roman" w:hAnsi="Times New Roman" w:cs="Times New Roman" w:eastAsia="Times New Roman"/>
          <w:i w:val="false"/>
          <w:sz w:val="24"/>
        </w:rPr>
      </w:r>
      <w:r/>
      <w:r/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3. </w:t>
      </w:r>
      <w:r>
        <w:rPr>
          <w:rFonts w:ascii="Times New Roman" w:hAnsi="Times New Roman" w:cs="Times New Roman" w:eastAsia="Times New Roman"/>
          <w:i w:val="false"/>
          <w:iCs w:val="false"/>
          <w:sz w:val="22"/>
          <w:szCs w:val="22"/>
        </w:rPr>
        <w:t xml:space="preserve">Услуги оплачиваются в рублях безналичным расчётом на основании выставленного счёта-фактуры в течение 7 (семи) рабочих дней</w:t>
      </w:r>
      <w:r>
        <w:rPr>
          <w:rFonts w:ascii="Times New Roman" w:hAnsi="Times New Roman" w:cs="Times New Roman" w:eastAsia="Times New Roman"/>
          <w:i w:val="false"/>
          <w:iCs w:val="false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2"/>
          <w:szCs w:val="22"/>
          <w:shd w:val="clear" w:fill="FFFFFF" w:color="auto"/>
        </w:rPr>
        <w:t xml:space="preserve">с момента подписания Заказчиком акта выполненных работ.</w:t>
      </w:r>
      <w:r/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  <w:r/>
      <w:r/>
    </w:p>
    <w:p>
      <w:pPr>
        <w:pStyle w:val="631"/>
        <w:ind w:firstLine="0"/>
        <w:jc w:val="both"/>
        <w:spacing w:lineRule="auto" w:line="314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i w:val="false"/>
          <w:iCs w:val="false"/>
          <w:sz w:val="22"/>
          <w:szCs w:val="22"/>
        </w:rPr>
      </w:r>
      <w:r>
        <w:rPr>
          <w:rFonts w:ascii="Times New Roman" w:hAnsi="Times New Roman" w:cs="Times New Roman" w:eastAsia="Times New Roman"/>
          <w:bCs/>
          <w:i w:val="false"/>
          <w:iCs w:val="false"/>
          <w:color w:val="000000"/>
          <w:spacing w:val="2"/>
          <w:sz w:val="22"/>
          <w:szCs w:val="22"/>
          <w:shd w:val="clear" w:fill="FFFFFF" w:color="auto"/>
        </w:rPr>
        <w:t xml:space="preserve">При приемке товаров, работ, услуг по контрактам, информация</w:t>
      </w:r>
      <w:r>
        <w:rPr>
          <w:rFonts w:ascii="Times New Roman" w:hAnsi="Times New Roman" w:cs="Times New Roman" w:eastAsia="Times New Roman"/>
          <w:bCs/>
          <w:i w:val="false"/>
          <w:iCs w:val="false"/>
          <w:color w:val="000000"/>
          <w:spacing w:val="2"/>
          <w:sz w:val="22"/>
          <w:szCs w:val="22"/>
          <w:shd w:val="clear" w:fill="FFFFFF" w:color="auto"/>
        </w:rPr>
        <w:t xml:space="preserve">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</w:t>
      </w:r>
      <w:r>
        <w:rPr>
          <w:rFonts w:ascii="Times New Roman" w:hAnsi="Times New Roman" w:cs="Times New Roman" w:eastAsia="Times New Roman"/>
          <w:bCs/>
          <w:i w:val="false"/>
          <w:iCs w:val="false"/>
          <w:color w:val="000000"/>
          <w:spacing w:val="2"/>
          <w:sz w:val="22"/>
          <w:szCs w:val="22"/>
          <w:shd w:val="clear" w:fill="FFFFFF" w:color="auto"/>
        </w:rPr>
        <w:t xml:space="preserve">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подписание Акта приемки своим уполномоченным представителем.</w:t>
      </w:r>
      <w:r>
        <w:rPr>
          <w:rFonts w:ascii="Times New Roman" w:hAnsi="Times New Roman" w:cs="Times New Roman"/>
          <w:bCs w:val="false"/>
          <w:i w:val="false"/>
          <w:sz w:val="22"/>
          <w:szCs w:val="22"/>
        </w:rPr>
      </w:r>
      <w:r/>
      <w:r/>
      <w:r/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4. В  случае  невозможности   исполнения, возникшей по вине  Заказчика, услуги подлежат оплате в полном объеме.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5. В  случае,   когда    невозможность    исполнения    возникла     по обстоятельствам,  за  которые  ни  одна  из  сторон  не  отвечает, Заказчик возмещает Исполнителю фактически понесенные им расходы.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6. Заказчик вправе отказаться  от  исполнения  настоящего 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7. Исполнитель вправе отказаться от исполнения настоящего  договора при условии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полного возмещения Заказчику убытков.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8. К настоящему  договору  применяются   общие   положения  о   подряде (ст. ст. 702 - 729 ГК РФ),  если  это  не  противоречит   ст. ст. 779 - 782 ГК РФ, регулирующим вопросы возмездного оказания услуг.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9. Настоящий договор вступает в силу с момента его подписания и действует до 31.12.26 года.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10. Договор составлен  в  2-х  экземплярах,  по  одному  для  каждой из сторон.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i w:val="false"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4"/>
        </w:rPr>
        <w:t xml:space="preserve">11. Адреса и банковские реквизиты сторон:  </w:t>
      </w:r>
      <w:r>
        <w:rPr>
          <w:rFonts w:ascii="Times New Roman" w:hAnsi="Times New Roman" w:cs="Times New Roman" w:eastAsia="Times New Roman"/>
          <w:i w:val="false"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spacing w:lineRule="auto" w:line="314"/>
        <w:rPr>
          <w:rFonts w:ascii="Times New Roman" w:hAnsi="Times New Roman" w:cs="Times New Roman" w:eastAsia="Times New Roman"/>
          <w:b/>
          <w:bCs/>
          <w:i w:val="false"/>
          <w:iCs/>
          <w:sz w:val="24"/>
        </w:rPr>
      </w:pPr>
      <w:r>
        <w:rPr>
          <w:rFonts w:ascii="Times New Roman" w:hAnsi="Times New Roman" w:cs="Times New Roman" w:eastAsia="Times New Roman"/>
          <w:i w:val="false"/>
          <w:sz w:val="24"/>
        </w:rPr>
        <w:t xml:space="preserve">              </w:t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2"/>
        <w:rPr>
          <w:rFonts w:ascii="Times New Roman" w:hAnsi="Times New Roman" w:cs="Times New Roman" w:eastAsia="Times New Roman"/>
          <w:i w:val="false"/>
          <w:iCs/>
          <w:sz w:val="24"/>
        </w:rPr>
      </w:pP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</w:rPr>
        <w:t xml:space="preserve">  </w:t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</w:rPr>
        <w:t xml:space="preserve">Исполнитель - ЗАО «Радиотехник»</w:t>
        <w:tab/>
      </w:r>
      <w:r>
        <w:rPr>
          <w:rFonts w:ascii="Times New Roman" w:hAnsi="Times New Roman" w:cs="Times New Roman" w:eastAsia="Times New Roman"/>
          <w:i w:val="false"/>
          <w:iCs/>
          <w:sz w:val="24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Юридический адрес: 610002, г. Киров, ул. Ленина 129а, корп. 3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Почтовый адрес: 610002, г. Киров, ул. Ленина 129а, корп. 3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Телефон: (8332) 37-25-09, 37-23-50, 37-23-55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ИНН: 4345265037  КПП: 434501001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р/с:40702810800000192317</w:t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ОАО КБ «Хлынов» г. Киров</w:t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  <w:szCs w:val="20"/>
          <w:u w:val="single"/>
        </w:rPr>
        <w:br/>
      </w: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БИК: </w:t>
      </w:r>
      <w:bookmarkStart w:id="0" w:name="OBJ_PREFIX_DWT2767_com_zimbra_date1"/>
      <w:r>
        <w:rPr>
          <w:rFonts w:ascii="Times New Roman" w:hAnsi="Times New Roman" w:cs="Times New Roman" w:eastAsia="Times New Roman"/>
          <w:i w:val="false"/>
          <w:sz w:val="24"/>
        </w:rPr>
      </w:r>
      <w:bookmarkEnd w:id="0"/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043304711   </w:t>
      </w:r>
      <w:r>
        <w:rPr>
          <w:rFonts w:ascii="Times New Roman" w:hAnsi="Times New Roman" w:cs="Times New Roman" w:eastAsia="Times New Roman"/>
          <w:i w:val="false"/>
          <w:iCs/>
          <w:color w:val="000000"/>
          <w:sz w:val="24"/>
          <w:szCs w:val="20"/>
        </w:rPr>
        <w:t xml:space="preserve">ОГРН:  1094345017073</w:t>
      </w: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598"/>
        <w:rPr>
          <w:rFonts w:ascii="Times New Roman" w:hAnsi="Times New Roman" w:cs="Times New Roman" w:eastAsia="Times New Roman"/>
          <w:b/>
          <w:bCs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i w:val="false"/>
          <w:iCs/>
          <w:sz w:val="24"/>
          <w:szCs w:val="20"/>
        </w:rPr>
        <w:t xml:space="preserve">кор/с: 30101810100000000711</w:t>
      </w:r>
      <w:r>
        <w:rPr>
          <w:rFonts w:ascii="Times New Roman" w:hAnsi="Times New Roman" w:cs="Times New Roman" w:eastAsia="Times New Roman"/>
          <w:b/>
          <w:i w:val="false"/>
          <w:iCs/>
          <w:sz w:val="24"/>
          <w:szCs w:val="20"/>
        </w:rPr>
        <w:br/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  <w:szCs w:val="20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pStyle w:val="638"/>
        <w:jc w:val="left"/>
        <w:rPr>
          <w:rFonts w:ascii="Times New Roman" w:hAnsi="Times New Roman" w:cs="Times New Roman" w:eastAsia="Times New Roman"/>
          <w:b/>
          <w:i w:val="false"/>
          <w:sz w:val="24"/>
          <w:szCs w:val="20"/>
          <w:highlight w:val="none"/>
        </w:rPr>
      </w:pP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  <w:szCs w:val="20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 w:val="false"/>
          <w:iCs/>
          <w:sz w:val="24"/>
          <w:szCs w:val="20"/>
        </w:rPr>
        <w:t xml:space="preserve">Заказчик – </w:t>
      </w:r>
      <w:r>
        <w:rPr>
          <w:rFonts w:ascii="Times New Roman" w:hAnsi="Times New Roman" w:cs="Times New Roman" w:eastAsia="Times New Roman"/>
          <w:b/>
          <w:i w:val="false"/>
          <w:sz w:val="24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cs="Times New Roman" w:eastAsia="Times New Roman"/>
          <w:i w:val="false"/>
          <w:sz w:val="24"/>
          <w:szCs w:val="20"/>
          <w:lang w:eastAsia="en-US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610027, г. Киров, ул. Красноармейская, 72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(8332)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25-47-23,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54-53-3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7, 54-79-60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ИНН/КПП 4346007656/434501001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ОКПО 01966992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УФК по Нижегородской области (ФГБУН КНИИГиПК ФМБА России лицевой счет № 20406Ц17940, 21406Ц17940, 22406Ц17940)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р/сч 03214643000000013246 в ОКЦ № 1 ВВГУ Банка России//УФК по Нижегородской области г. Ниж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ний Новгород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кор/сч   40102810745370000024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БИК 012202102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38"/>
        <w:jc w:val="left"/>
        <w:rPr>
          <w:rFonts w:ascii="Times New Roman" w:hAnsi="Times New Roman" w:cs="Times New Roman" w:eastAsia="Times New Roman"/>
          <w:i w:val="false"/>
          <w:sz w:val="24"/>
          <w:szCs w:val="20"/>
        </w:rPr>
      </w:pPr>
      <w:r>
        <w:rPr>
          <w:rFonts w:ascii="Times New Roman" w:hAnsi="Times New Roman" w:cs="Times New Roman" w:eastAsia="Times New Roman"/>
          <w:b/>
          <w:i w:val="false"/>
          <w:sz w:val="24"/>
          <w:szCs w:val="20"/>
          <w:highlight w:val="none"/>
        </w:rPr>
      </w:r>
      <w:r>
        <w:rPr>
          <w:rFonts w:ascii="Times New Roman" w:hAnsi="Times New Roman" w:cs="Times New Roman" w:eastAsia="Times New Roman"/>
          <w:b/>
          <w:i w:val="false"/>
          <w:sz w:val="24"/>
          <w:szCs w:val="20"/>
          <w:highlight w:val="none"/>
        </w:rPr>
      </w:r>
    </w:p>
    <w:p>
      <w:pPr>
        <w:pStyle w:val="598"/>
        <w:rPr>
          <w:rFonts w:ascii="Times New Roman" w:hAnsi="Times New Roman" w:cs="Times New Roman" w:eastAsia="Times New Roman"/>
          <w:b/>
          <w:i w:val="false"/>
          <w:iCs/>
          <w:sz w:val="24"/>
          <w:szCs w:val="20"/>
        </w:rPr>
      </w:pPr>
      <w:r>
        <w:rPr>
          <w:rFonts w:ascii="Times New Roman" w:hAnsi="Times New Roman" w:cs="Times New Roman" w:eastAsia="Times New Roman"/>
          <w:b/>
          <w:i w:val="false"/>
          <w:iCs/>
          <w:sz w:val="24"/>
          <w:szCs w:val="20"/>
          <w:lang w:bidi="ar-SA" w:eastAsia="ru-RU"/>
        </w:rPr>
      </w:r>
      <w:r>
        <w:rPr>
          <w:rFonts w:ascii="Times New Roman" w:hAnsi="Times New Roman" w:cs="Times New Roman" w:eastAsia="Times New Roman"/>
          <w:i w:val="false"/>
          <w:sz w:val="24"/>
        </w:rPr>
      </w:r>
    </w:p>
    <w:tbl>
      <w:tblPr>
        <w:tblW w:w="0" w:type="auto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1899"/>
        <w:gridCol w:w="3810"/>
      </w:tblGrid>
      <w:tr>
        <w:trPr>
          <w:trHeight w:val="120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iCs/>
                <w:sz w:val="24"/>
                <w:szCs w:val="20"/>
              </w:rPr>
              <w:t xml:space="preserve">«Исполнитель»</w:t>
            </w: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  <w:t xml:space="preserve">Генеральный директор 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  <w:t xml:space="preserve">ЗАО “Радиотехник”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  <w:t xml:space="preserve">________________ /Бакулин А. А./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899" w:type="dxa"/>
            <w:vAlign w:val="top"/>
            <w:textDirection w:val="lrTb"/>
            <w:noWrap w:val="false"/>
          </w:tcPr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3810" w:type="dxa"/>
            <w:vAlign w:val="top"/>
            <w:textDirection w:val="lrTb"/>
            <w:noWrap w:val="false"/>
          </w:tcPr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iCs/>
                <w:sz w:val="24"/>
                <w:szCs w:val="20"/>
              </w:rPr>
              <w:t xml:space="preserve">«Заказчик»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  <w:szCs w:val="20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638"/>
              <w:jc w:val="left"/>
              <w:rPr>
                <w:rFonts w:ascii="Times New Roman" w:hAnsi="Times New Roman" w:cs="Times New Roman" w:eastAsia="Times New Roman"/>
                <w:i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i w:val="false"/>
                <w:sz w:val="24"/>
                <w:szCs w:val="20"/>
              </w:rPr>
              <w:t xml:space="preserve">Директор ФГБУН КНИИГиПК ФМБА России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638"/>
              <w:jc w:val="left"/>
              <w:rPr>
                <w:rFonts w:ascii="Times New Roman" w:hAnsi="Times New Roman" w:cs="Times New Roman" w:eastAsia="Times New Roman"/>
                <w:i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  <w:p>
            <w:pPr>
              <w:pStyle w:val="598"/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 w:eastAsia="Times New Roman"/>
                <w:i w:val="false"/>
                <w:iCs/>
                <w:sz w:val="24"/>
                <w:szCs w:val="20"/>
              </w:rPr>
              <w:t xml:space="preserve">_____________ /Парамонов И.В.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</w:rPr>
            </w:r>
          </w:p>
        </w:tc>
      </w:tr>
    </w:tbl>
    <w:p>
      <w:r/>
    </w:p>
    <w:sectPr>
      <w:footnotePr/>
      <w:endnotePr/>
      <w:type w:val="nextPage"/>
      <w:pgSz w:w="11906" w:h="16838" w:orient="portrait"/>
      <w:pgMar w:top="315" w:right="850" w:bottom="674" w:left="105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18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18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18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1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1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1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1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1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18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18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18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8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8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8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8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598">
    <w:name w:val="Обычный"/>
    <w:next w:val="598"/>
    <w:link w:val="598"/>
    <w:rPr>
      <w:sz w:val="24"/>
      <w:szCs w:val="24"/>
      <w:lang w:val="ru-RU" w:bidi="ru-RU" w:eastAsia="zh-CN"/>
    </w:rPr>
    <w:pPr>
      <w:widowControl w:val="off"/>
    </w:pPr>
  </w:style>
  <w:style w:type="character" w:styleId="599">
    <w:name w:val="Основной шрифт абзаца"/>
    <w:next w:val="599"/>
    <w:link w:val="598"/>
    <w:semiHidden/>
  </w:style>
  <w:style w:type="table" w:styleId="600">
    <w:name w:val="Обычная таблица"/>
    <w:next w:val="600"/>
    <w:link w:val="598"/>
    <w:semiHidden/>
    <w:tblPr/>
  </w:style>
  <w:style w:type="numbering" w:styleId="601">
    <w:name w:val="Нет списка"/>
    <w:next w:val="601"/>
    <w:link w:val="598"/>
    <w:semiHidden/>
  </w:style>
  <w:style w:type="character" w:styleId="602">
    <w:name w:val="Основной шрифт абзаца2"/>
    <w:next w:val="602"/>
    <w:link w:val="598"/>
  </w:style>
  <w:style w:type="character" w:styleId="603">
    <w:name w:val="Absatz-Standardschriftart"/>
    <w:next w:val="603"/>
    <w:link w:val="598"/>
  </w:style>
  <w:style w:type="character" w:styleId="604">
    <w:name w:val="WW-Absatz-Standardschriftart"/>
    <w:next w:val="604"/>
    <w:link w:val="598"/>
  </w:style>
  <w:style w:type="character" w:styleId="605">
    <w:name w:val="WW-Absatz-Standardschriftart1"/>
    <w:next w:val="605"/>
    <w:link w:val="598"/>
  </w:style>
  <w:style w:type="character" w:styleId="606">
    <w:name w:val="WW-Absatz-Standardschriftart11"/>
    <w:next w:val="606"/>
    <w:link w:val="598"/>
  </w:style>
  <w:style w:type="character" w:styleId="607">
    <w:name w:val="WW-Absatz-Standardschriftart111"/>
    <w:next w:val="607"/>
    <w:link w:val="598"/>
  </w:style>
  <w:style w:type="character" w:styleId="608">
    <w:name w:val="WW-Absatz-Standardschriftart1111"/>
    <w:next w:val="608"/>
    <w:link w:val="598"/>
  </w:style>
  <w:style w:type="character" w:styleId="609">
    <w:name w:val="WW-Absatz-Standardschriftart11111"/>
    <w:next w:val="609"/>
    <w:link w:val="598"/>
  </w:style>
  <w:style w:type="character" w:styleId="610">
    <w:name w:val="WW-Absatz-Standardschriftart111111"/>
    <w:next w:val="610"/>
    <w:link w:val="598"/>
  </w:style>
  <w:style w:type="character" w:styleId="611">
    <w:name w:val="WW-Absatz-Standardschriftart1111111"/>
    <w:next w:val="611"/>
    <w:link w:val="598"/>
  </w:style>
  <w:style w:type="character" w:styleId="612">
    <w:name w:val="WW-Absatz-Standardschriftart11111111"/>
    <w:next w:val="612"/>
    <w:link w:val="598"/>
  </w:style>
  <w:style w:type="character" w:styleId="613">
    <w:name w:val="WW-Absatz-Standardschriftart111111111"/>
    <w:next w:val="613"/>
    <w:link w:val="598"/>
  </w:style>
  <w:style w:type="character" w:styleId="614">
    <w:name w:val="WW-Absatz-Standardschriftart1111111111"/>
    <w:next w:val="614"/>
    <w:link w:val="598"/>
  </w:style>
  <w:style w:type="character" w:styleId="615">
    <w:name w:val="WW-Absatz-Standardschriftart11111111111"/>
    <w:next w:val="615"/>
    <w:link w:val="598"/>
  </w:style>
  <w:style w:type="character" w:styleId="616">
    <w:name w:val="WW-Absatz-Standardschriftart111111111111"/>
    <w:next w:val="616"/>
    <w:link w:val="598"/>
  </w:style>
  <w:style w:type="character" w:styleId="617">
    <w:name w:val="Основной шрифт абзаца1"/>
    <w:next w:val="617"/>
    <w:link w:val="598"/>
  </w:style>
  <w:style w:type="character" w:styleId="618" w:default="1">
    <w:name w:val="Default Paragraph Font"/>
    <w:next w:val="618"/>
    <w:link w:val="598"/>
  </w:style>
  <w:style w:type="character" w:styleId="619">
    <w:name w:val="Символ нумерации"/>
    <w:next w:val="619"/>
    <w:link w:val="598"/>
  </w:style>
  <w:style w:type="character" w:styleId="620">
    <w:name w:val="Гиперссылка"/>
    <w:next w:val="620"/>
    <w:link w:val="598"/>
    <w:rPr>
      <w:color w:val="000080"/>
      <w:u w:val="single"/>
      <w:lang w:val="en-US" w:bidi="en-US"/>
    </w:rPr>
  </w:style>
  <w:style w:type="character" w:styleId="621">
    <w:name w:val="Без интервала Знак"/>
    <w:next w:val="621"/>
    <w:link w:val="598"/>
    <w:rPr>
      <w:sz w:val="24"/>
      <w:szCs w:val="24"/>
    </w:rPr>
  </w:style>
  <w:style w:type="paragraph" w:styleId="622">
    <w:name w:val="Заголовок"/>
    <w:basedOn w:val="598"/>
    <w:next w:val="623"/>
    <w:link w:val="598"/>
    <w:rPr>
      <w:rFonts w:ascii="Arial" w:hAnsi="Arial" w:eastAsia="Arial Unicode MS"/>
      <w:sz w:val="28"/>
      <w:szCs w:val="28"/>
    </w:rPr>
    <w:pPr>
      <w:keepNext/>
      <w:spacing w:after="120" w:before="240"/>
    </w:pPr>
  </w:style>
  <w:style w:type="paragraph" w:styleId="623">
    <w:name w:val="Основной текст"/>
    <w:basedOn w:val="598"/>
    <w:next w:val="623"/>
    <w:link w:val="598"/>
    <w:pPr>
      <w:spacing w:after="120" w:before="0"/>
    </w:pPr>
  </w:style>
  <w:style w:type="paragraph" w:styleId="624">
    <w:name w:val="Список"/>
    <w:basedOn w:val="623"/>
    <w:next w:val="624"/>
    <w:link w:val="598"/>
    <w:rPr>
      <w:rFonts w:ascii="Arial" w:hAnsi="Arial"/>
    </w:rPr>
  </w:style>
  <w:style w:type="paragraph" w:styleId="625">
    <w:name w:val="Название объекта"/>
    <w:basedOn w:val="598"/>
    <w:next w:val="625"/>
    <w:link w:val="598"/>
    <w:rPr>
      <w:i/>
      <w:iCs/>
      <w:sz w:val="24"/>
      <w:szCs w:val="24"/>
    </w:rPr>
    <w:pPr>
      <w:spacing w:after="120" w:before="120"/>
      <w:suppressLineNumbers/>
    </w:pPr>
  </w:style>
  <w:style w:type="paragraph" w:styleId="626">
    <w:name w:val="Указатель3"/>
    <w:basedOn w:val="598"/>
    <w:next w:val="626"/>
    <w:link w:val="598"/>
    <w:pPr>
      <w:suppressLineNumbers/>
    </w:pPr>
  </w:style>
  <w:style w:type="paragraph" w:styleId="627">
    <w:name w:val="Название объекта1"/>
    <w:basedOn w:val="598"/>
    <w:next w:val="627"/>
    <w:link w:val="598"/>
    <w:rPr>
      <w:i/>
      <w:iCs/>
      <w:sz w:val="24"/>
      <w:szCs w:val="24"/>
    </w:rPr>
    <w:pPr>
      <w:spacing w:after="120" w:before="120"/>
      <w:suppressLineNumbers/>
    </w:pPr>
  </w:style>
  <w:style w:type="paragraph" w:styleId="628">
    <w:name w:val="Указатель2"/>
    <w:basedOn w:val="598"/>
    <w:next w:val="628"/>
    <w:link w:val="598"/>
    <w:pPr>
      <w:suppressLineNumbers/>
    </w:pPr>
  </w:style>
  <w:style w:type="paragraph" w:styleId="629">
    <w:name w:val="Название1"/>
    <w:basedOn w:val="598"/>
    <w:next w:val="629"/>
    <w:link w:val="598"/>
    <w:rPr>
      <w:rFonts w:ascii="Arial" w:hAnsi="Arial"/>
      <w:i/>
      <w:iCs/>
      <w:sz w:val="20"/>
      <w:szCs w:val="24"/>
    </w:rPr>
    <w:pPr>
      <w:spacing w:after="120" w:before="120"/>
      <w:suppressLineNumbers/>
    </w:pPr>
  </w:style>
  <w:style w:type="paragraph" w:styleId="630">
    <w:name w:val="Указатель1"/>
    <w:basedOn w:val="598"/>
    <w:next w:val="630"/>
    <w:link w:val="598"/>
    <w:rPr>
      <w:rFonts w:ascii="Arial" w:hAnsi="Arial"/>
    </w:rPr>
    <w:pPr>
      <w:suppressLineNumbers/>
    </w:pPr>
  </w:style>
  <w:style w:type="paragraph" w:styleId="631">
    <w:name w:val="ConsPlusNormal"/>
    <w:next w:val="598"/>
    <w:link w:val="598"/>
    <w:rPr>
      <w:rFonts w:ascii="Arial" w:hAnsi="Arial" w:eastAsia="Arial"/>
      <w:lang w:val="ru-RU" w:bidi="ru-RU" w:eastAsia="zh-CN"/>
    </w:rPr>
    <w:pPr>
      <w:ind w:firstLine="720"/>
      <w:widowControl w:val="off"/>
    </w:pPr>
  </w:style>
  <w:style w:type="paragraph" w:styleId="632">
    <w:name w:val="ConsPlusNonformat"/>
    <w:basedOn w:val="598"/>
    <w:next w:val="631"/>
    <w:link w:val="598"/>
    <w:rPr>
      <w:rFonts w:ascii="Courier New" w:hAnsi="Courier New" w:eastAsia="Courier New"/>
      <w:b w:val="false"/>
      <w:bCs w:val="false"/>
      <w:i w:val="false"/>
      <w:iCs w:val="false"/>
      <w:sz w:val="20"/>
      <w:szCs w:val="20"/>
      <w:lang w:val="ru-RU"/>
    </w:rPr>
  </w:style>
  <w:style w:type="paragraph" w:styleId="633">
    <w:name w:val="ConsPlusTitle"/>
    <w:basedOn w:val="598"/>
    <w:next w:val="631"/>
    <w:link w:val="598"/>
    <w:rPr>
      <w:rFonts w:ascii="Arial" w:hAnsi="Arial" w:eastAsia="Arial"/>
      <w:b/>
      <w:bCs/>
      <w:i w:val="false"/>
      <w:iCs w:val="false"/>
      <w:sz w:val="20"/>
      <w:szCs w:val="20"/>
      <w:lang w:val="ru-RU"/>
    </w:rPr>
  </w:style>
  <w:style w:type="paragraph" w:styleId="634">
    <w:name w:val="ConsPlusCell"/>
    <w:basedOn w:val="598"/>
    <w:next w:val="634"/>
    <w:link w:val="598"/>
    <w:rPr>
      <w:rFonts w:ascii="Arial" w:hAnsi="Arial" w:eastAsia="Arial"/>
      <w:b w:val="false"/>
      <w:bCs w:val="false"/>
      <w:i w:val="false"/>
      <w:iCs w:val="false"/>
      <w:sz w:val="20"/>
      <w:szCs w:val="20"/>
      <w:lang w:val="ru-RU"/>
    </w:rPr>
  </w:style>
  <w:style w:type="paragraph" w:styleId="635">
    <w:name w:val="ConsPlusDocList"/>
    <w:basedOn w:val="598"/>
    <w:next w:val="635"/>
    <w:link w:val="598"/>
    <w:rPr>
      <w:rFonts w:ascii="Courier New" w:hAnsi="Courier New" w:eastAsia="Courier New"/>
      <w:b w:val="false"/>
      <w:bCs w:val="false"/>
      <w:i w:val="false"/>
      <w:iCs w:val="false"/>
      <w:sz w:val="20"/>
      <w:szCs w:val="20"/>
      <w:lang w:val="ru-RU"/>
    </w:rPr>
  </w:style>
  <w:style w:type="paragraph" w:styleId="636">
    <w:name w:val="Содержимое таблицы"/>
    <w:basedOn w:val="598"/>
    <w:next w:val="636"/>
    <w:link w:val="598"/>
    <w:pPr>
      <w:suppressLineNumbers/>
    </w:pPr>
  </w:style>
  <w:style w:type="paragraph" w:styleId="637">
    <w:name w:val="Заголовок таблицы"/>
    <w:basedOn w:val="636"/>
    <w:next w:val="637"/>
    <w:link w:val="598"/>
    <w:rPr>
      <w:b/>
      <w:bCs/>
    </w:rPr>
    <w:pPr>
      <w:jc w:val="center"/>
      <w:suppressLineNumbers/>
    </w:pPr>
  </w:style>
  <w:style w:type="paragraph" w:styleId="638">
    <w:name w:val="Без интервала"/>
    <w:next w:val="638"/>
    <w:link w:val="598"/>
    <w:rPr>
      <w:sz w:val="24"/>
      <w:szCs w:val="24"/>
      <w:lang w:val="ru-RU" w:bidi="ar-SA" w:eastAsia="zh-CN"/>
    </w:rPr>
    <w:pPr>
      <w:jc w:val="both"/>
    </w:pPr>
  </w:style>
  <w:style w:type="numbering" w:styleId="939" w:default="1">
    <w:name w:val="No List"/>
    <w:uiPriority w:val="99"/>
    <w:semiHidden/>
    <w:unhideWhenUsed/>
  </w:style>
  <w:style w:type="paragraph" w:styleId="940" w:default="1">
    <w:name w:val="Normal"/>
    <w:qFormat/>
  </w:style>
  <w:style w:type="table" w:styleId="9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2026-08-13T06:23:42Z</dcterms:modified>
</cp:coreProperties>
</file>