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</w:pPr>
      <w:r/>
      <w:bookmarkStart w:id="0" w:name="Par520"/>
      <w:r/>
      <w:bookmarkEnd w:id="0"/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 xml:space="preserve">ПРОЕКТ КОНТРАКТА №________________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tabs>
          <w:tab w:val="left" w:pos="2490" w:leader="none"/>
        </w:tabs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spacing w:after="0" w:line="240" w:lineRule="auto"/>
        <w:rPr>
          <w:rFonts w:eastAsia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г. Славянск-на-Кубани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                                                                                         __________2026 г.</w:t>
      </w:r>
      <w:r>
        <w:rPr>
          <w:rFonts w:eastAsia="Times New Roman"/>
          <w:color w:val="auto"/>
          <w:sz w:val="24"/>
          <w:szCs w:val="24"/>
          <w:lang w:eastAsia="zh-CN"/>
        </w:rPr>
      </w:r>
      <w:r>
        <w:rPr>
          <w:rFonts w:eastAsia="Times New Roman"/>
          <w:color w:val="auto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eastAsia="Times New Roman"/>
          <w:color w:val="auto"/>
          <w:sz w:val="24"/>
          <w:szCs w:val="24"/>
          <w:lang w:eastAsia="zh-CN"/>
        </w:rPr>
      </w:pPr>
      <w:r>
        <w:rPr>
          <w:rFonts w:eastAsia="Times New Roman"/>
          <w:color w:val="auto"/>
          <w:sz w:val="24"/>
          <w:szCs w:val="24"/>
          <w:lang w:eastAsia="zh-CN"/>
        </w:rPr>
        <w:t xml:space="preserve"> </w:t>
      </w:r>
      <w:r>
        <w:rPr>
          <w:rFonts w:eastAsia="Times New Roman"/>
          <w:color w:val="auto"/>
          <w:sz w:val="24"/>
          <w:szCs w:val="24"/>
          <w:lang w:eastAsia="zh-CN"/>
        </w:rPr>
      </w:r>
      <w:r>
        <w:rPr>
          <w:rFonts w:eastAsia="Times New Roman"/>
          <w:color w:val="auto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Федеральное государственное бюджетное  учреждение «Управление мелиорации земель и сельскохозяйственного водоснабжения по Краснодарскому краю», в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лице директора Петровско-Анастасиевского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филиала ФГБУ «Управление «Кубаньмелиоводхоз»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Журба Дениса Геннадьевича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, действующего на основании Положе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ния о филиале и доверенности № 8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от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22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10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.202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4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г., именуемое в дальнейшем «Заказчик», с одной стороны, и _________,  в лице ___________, именуемый в дальнейшем «Поставщик», действующего на основании _________________, с другой стороны, вместе именуемые «Стороны» и каждый в отдельности «Сторона», 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  <w:t xml:space="preserve">с учетом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требований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заключили настоящий Контракт (далее – Контракт) о нижеследующем: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</w:r>
    </w:p>
    <w:p>
      <w:pPr>
        <w:numPr>
          <w:ilvl w:val="3"/>
          <w:numId w:val="1"/>
        </w:numPr>
        <w:ind w:left="1134" w:hanging="283"/>
        <w:jc w:val="center"/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outlineLvl w:val="0"/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 xml:space="preserve">ПРЕДМЕТ КОНТРАКТА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1.1.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Предметом настоящего Контракта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является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Приобретение материалов и инструментов для нужд Петровско-Анастасиевского филиала ФГБУ «Управление «Кубаньмелиоводхоз»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1.2. Требования к поставляемому Товару, являющемуся предметом настоящего Контракта, определяю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тся Заказчиком в соответствии со Спецификацией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(Приложение №1 к Контракту) и иными условиями Контракта.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1.3. Право собственности на Товар переходит к Заказчику в момент поставки Товара, после полного оформления всех товаросопроводительных документов о приемке.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1.4. Днем исполнения Поставщиком обязательств по поставке Товара считается дата поступления Товара Заказчику и подписания акта приемки Товара.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1.5. Поставщик обязан передать Заказчику докуме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left="2520"/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outlineLvl w:val="0"/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 xml:space="preserve">              2. СТОИМОСТЬ 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2.1.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Общая стоимость услуг по настоящему Контракту (цена Контракта) составляет ____ (_________________) рублей __ копеек, НДС ______/</w:t>
      </w:r>
      <w:r>
        <w:rPr>
          <w:rFonts w:eastAsia="Times New Roman"/>
          <w:color w:val="auto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Без учета НДС.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shd w:val="clear" w:color="auto" w:fill="ffffff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shd w:val="clear" w:color="auto" w:fill="ffffff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2.2. Цена Контракта является твердой, определяется на весь срок исполнения Контракта и не подлежит изменению,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и иным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2.3. Цена контракта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Российской Федерации Заказчиком.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2.4. Цена Контракта включает все расходы Поставщика, возникающие при выполнении работ по контракту, в том числе расходы на оплату труда, уплату налогов, сборов и других обязательных платежей, необходимых для выполнения работ.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2.5. Источник финансирования: средства субсидий федерального бюджета на финансовое обеспечение выполнения государственного задания.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center"/>
        <w:keepNext/>
        <w:spacing w:after="0" w:line="240" w:lineRule="auto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outlineLvl w:val="0"/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 xml:space="preserve">3. СРОК ПОСТАВКИ ТОВАРА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3.1.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Сроки поставки товара: в течение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5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(пяти) рабочих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дней с даты заключения 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3.2. Доставка Товара должна производиться до адреса: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353560, Краснодарский край, г. Славянск-на-Кубани, ул. Кубанская, 139.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3.3. Поставка товара Заказчику осуществляется транспортом Поставщика или с привлечением транспорта третьих лиц (стоимость доставки включена в цену договора).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3.4. Поставщик гарантирует Заказчику соответствие качества поставляемого им Товара стандартам и требованиям, предъявляемым к Товарам такого рода на территории Российской Федерации. Поставщик подтверждает качество Товара соответствующими документами.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r>
    </w:p>
    <w:p>
      <w:pPr>
        <w:ind w:firstLine="709"/>
        <w:jc w:val="center"/>
        <w:spacing w:after="200" w:line="276" w:lineRule="auto"/>
        <w:widowControl w:val="off"/>
        <w:rPr>
          <w:rFonts w:ascii="Times New Roman" w:hAnsi="Times New Roman" w:eastAsia="SimSu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SimSun" w:cs="Times New Roman"/>
          <w:b/>
          <w:color w:val="000000"/>
          <w:sz w:val="26"/>
          <w:szCs w:val="26"/>
          <w:lang w:eastAsia="ru-RU"/>
        </w:rPr>
        <w:t xml:space="preserve">4. ПОРЯДОК РАСЧЕТОВ.</w:t>
      </w:r>
      <w:r>
        <w:rPr>
          <w:rFonts w:ascii="Times New Roman" w:hAnsi="Times New Roman" w:eastAsia="SimSun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SimSun" w:cs="Times New Roman"/>
          <w:b/>
          <w:color w:val="000000"/>
          <w:sz w:val="20"/>
          <w:szCs w:val="20"/>
          <w:lang w:eastAsia="ru-RU"/>
        </w:rPr>
      </w:r>
    </w:p>
    <w:p>
      <w:pPr>
        <w:contextualSpacing/>
        <w:jc w:val="both"/>
        <w:keepLines/>
        <w:spacing w:after="200" w:line="283" w:lineRule="atLeast"/>
        <w:widowControl w:val="off"/>
        <w:rPr>
          <w:rFonts w:ascii="Times New Roman" w:hAnsi="Times New Roman" w:cs="Times New Roman"/>
          <w:color w:val="auto"/>
          <w:sz w:val="22"/>
          <w:szCs w:val="22"/>
          <w:lang w:eastAsia="ru-RU"/>
        </w:rPr>
      </w:pPr>
      <w:r>
        <w:rPr>
          <w:rFonts w:ascii="Times New Roman" w:hAnsi="Times New Roman" w:eastAsia="SimSun" w:cs="Times New Roman"/>
          <w:color w:val="auto"/>
          <w:sz w:val="26"/>
          <w:szCs w:val="26"/>
          <w:lang w:eastAsia="ru-RU"/>
        </w:rPr>
        <w:t xml:space="preserve">        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  4.1.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оплаты поставленного Товара, Поставщик обязан предоставить Заказчику счет-фактуру с приложением соответствующих товарных накладных на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Товар и акта приема-передачи Товара.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auto"/>
          <w:sz w:val="22"/>
          <w:szCs w:val="22"/>
          <w:lang w:eastAsia="ru-RU"/>
        </w:rPr>
      </w:r>
    </w:p>
    <w:p>
      <w:pPr>
        <w:contextualSpacing/>
        <w:ind w:firstLine="709"/>
        <w:jc w:val="both"/>
        <w:keepLines/>
        <w:spacing w:after="200" w:line="283" w:lineRule="atLeast"/>
        <w:widowControl w:val="off"/>
        <w:rPr>
          <w:rFonts w:ascii="Times New Roman" w:hAnsi="Times New Roman" w:cs="Times New Roman"/>
          <w:color w:val="auto"/>
          <w:sz w:val="22"/>
          <w:szCs w:val="22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4.2. В течение одного рабочего дня с момента предоставления Заказчику товарных накладных, Поставщик выставляет Заказчику счет за поставленный Товар, в котором указывается стоимость поставленного Товара сумма, подлежащая оплате Заказчиком.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auto"/>
          <w:sz w:val="22"/>
          <w:szCs w:val="22"/>
          <w:lang w:eastAsia="ru-RU"/>
        </w:rPr>
      </w:r>
    </w:p>
    <w:p>
      <w:pPr>
        <w:contextualSpacing/>
        <w:ind w:firstLine="709"/>
        <w:jc w:val="both"/>
        <w:keepLines/>
        <w:spacing w:after="200" w:line="283" w:lineRule="atLeast"/>
        <w:widowControl w:val="off"/>
        <w:rPr>
          <w:rFonts w:ascii="Times New Roman" w:hAnsi="Times New Roman" w:eastAsia="SimSun" w:cs="Times New Roman"/>
          <w:color w:val="auto"/>
          <w:sz w:val="22"/>
          <w:szCs w:val="22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4.3.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аказчик производит расчет с Поставщиком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не позднее 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(семи) рабочих дней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поставки Товара в полном объеме и качестве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согласно Спецификации к настоящему Контракту, на основании выставленных Поставщиком счета,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товарных накладных и акта приема-передачи Товара.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2"/>
          <w:szCs w:val="22"/>
          <w:lang w:eastAsia="ru-RU"/>
        </w:rPr>
      </w:r>
    </w:p>
    <w:p>
      <w:pPr>
        <w:contextualSpacing/>
        <w:ind w:firstLine="709"/>
        <w:jc w:val="both"/>
        <w:keepLines/>
        <w:spacing w:after="200" w:line="283" w:lineRule="atLeast"/>
        <w:widowControl w:val="off"/>
        <w:rPr>
          <w:rFonts w:ascii="Times New Roman" w:hAnsi="Times New Roman" w:eastAsia="SimSu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4.4.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Обязательства по оплате считаются исполненными с момента списания денежных средств с лицевого счета Заказчика.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000000"/>
          <w:sz w:val="22"/>
          <w:szCs w:val="22"/>
          <w:lang w:eastAsia="ru-RU"/>
        </w:rPr>
      </w:r>
    </w:p>
    <w:p>
      <w:pPr>
        <w:contextualSpacing/>
        <w:ind w:firstLine="709"/>
        <w:jc w:val="both"/>
        <w:keepLines/>
        <w:spacing w:after="200" w:line="283" w:lineRule="atLeast"/>
        <w:widowControl w:val="off"/>
        <w:rPr>
          <w:rFonts w:eastAsia="SimSun" w:cs="Tahoma"/>
          <w:color w:val="auto"/>
          <w:sz w:val="26"/>
          <w:szCs w:val="26"/>
          <w:lang w:eastAsia="ru-RU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4.5.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Сумма, подлежащая уплате Поставщику, уменьшается на размер налогов, сборов и иных обязательных платежей в бюджетную систему Р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SimSun" w:cs="Tahoma"/>
          <w:color w:val="auto"/>
          <w:sz w:val="24"/>
          <w:szCs w:val="24"/>
          <w:lang w:eastAsia="ru-RU"/>
        </w:rPr>
      </w:r>
      <w:r>
        <w:rPr>
          <w:rFonts w:eastAsia="SimSun" w:cs="Tahoma"/>
          <w:color w:val="auto"/>
          <w:sz w:val="26"/>
          <w:szCs w:val="26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ПРАВА И ОБЯЗАННОСТИ СТОРОН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zh-CN"/>
        </w:rPr>
        <w:t xml:space="preserve">5.1. Заказчик вправе:</w:t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5.1.1.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ом.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zh-CN"/>
        </w:rPr>
        <w:t xml:space="preserve">5.1.2. В случае поставки Товара с нарушением условий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zh-CN"/>
        </w:rPr>
        <w:t xml:space="preserve">, Заказчик вправе отказаться от оплаты поставленного Товара или потребовать возврата уплаченных Поставщику денежных средств, которые подлежат возврату в течение 3 (трех) рабочих дней с момента получения Поставщиком письменного требования.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zh-CN"/>
        </w:rPr>
        <w:t xml:space="preserve">5.1.3. Требовать от Поставщика передачи недостающих или замены отчетных документов, материалов и иной документации, подтверждающих поставку (отгрузку) Товара.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5.1.4. Привлекать экспертов, специалистов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отчетных документов и материалов.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ru-RU" w:bidi="fa-IR"/>
        </w:rPr>
      </w:pP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 w:bidi="fa-IR"/>
        </w:rPr>
        <w:t xml:space="preserve">5.1.5. 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Для проверки предоставленных Поставщиком 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 w:bidi="fa-IR"/>
        </w:rPr>
        <w:t xml:space="preserve">Товаров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Контрактом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, в части их соответствия условиям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 вправе провести экспертизу.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ru-RU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ru-RU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</w:pP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5.1.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 w:bidi="fa-IR"/>
        </w:rPr>
        <w:t xml:space="preserve">6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. Создать приемочную комиссию для приемки поставленного Товара, результатов отдельного этапа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  <w:t xml:space="preserve">.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val="de-DE" w:eastAsia="ru-RU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  <w:t xml:space="preserve">5.2. Заказчик обязан: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5.2.1. Своевременно сообщать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письменной форме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Поставщику о недостатках Товара, обнаруженных в ходе их поставки или приемки.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5.2.2. Обеспечивать своевременную оплату Товара в соответствии с условиями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  <w:t xml:space="preserve">5.3.      Поставщик вправе: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5.3.1. Требовать своевременной оплаты поставленного Товара в соответствии с подписанными Сторонами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документами, подтверждающими поставку Товара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zh-CN"/>
        </w:rPr>
        <w:t xml:space="preserve">5.4.      Поставщик обязан: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  <w:t xml:space="preserve">5.4.1. Своевременно и надлежащим образом поставить Товар, представить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Заказчику отчетные документы, предусмотренные настоящим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Контрактом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right" w:pos="9498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5.4.2.  Передать Товар надлежащего качества.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5.4.3. Поставить Товар Покупателю по адресу, указанному в п.3.2.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5.4.4. Поставщик в соответствии с условиями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, а также к установленному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Контрактом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 сроку обязан предоставить Заказчику результаты поставки товара, предусмотренные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  <w:t xml:space="preserve">ом, при этом Заказчик обязан обеспечить приемку продукции.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jc w:val="center"/>
        <w:spacing w:after="0" w:line="240" w:lineRule="auto"/>
        <w:tabs>
          <w:tab w:val="left" w:pos="1135" w:leader="none"/>
          <w:tab w:val="left" w:pos="1609" w:leader="none"/>
          <w:tab w:val="left" w:pos="4429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zh-CN"/>
        </w:rPr>
      </w:r>
    </w:p>
    <w:p>
      <w:pPr>
        <w:jc w:val="center"/>
        <w:spacing w:after="0" w:line="240" w:lineRule="auto"/>
        <w:tabs>
          <w:tab w:val="left" w:pos="900" w:leader="none"/>
          <w:tab w:val="left" w:pos="321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6. ОТВЕТСТВЕННОСТЬ СТОРОН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6.1. За неисполнение или ненадлежащее исполнение обязательств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у Стороны несут ответственность в соответствии с условиями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, 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в части, им не урегулированной, в порядке, установленном действующим законодательством Российской Федерации.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6.2.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размер штрафа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устанавливается в следующем порядке: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 процентов цены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(этапа) в случае,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(этапа) не превышает 3 млн. рублей;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 процентов цены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(этапа) в случае,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(этапа) составляет от 3 млн. рублей до 50 млн. рублей (включительно).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6.3.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которое не имеет стоимостного выражения,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размер штрафа устанавливается (при наличии в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 таких обязательств)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в следующем порядке: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не превышает 3 млн. рублей;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составляет от 3 млн. рублей до 50 млн. рублей (включительно).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/>
      <w:bookmarkStart w:id="1" w:name="Par26"/>
      <w:r/>
      <w:bookmarkEnd w:id="1"/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6.4. За каждый факт неисполнения Заказчиком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Договор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исключением просрочки исполнения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 w:bidi="hi-IN"/>
        </w:rPr>
        <w:t xml:space="preserve">ом, размер штрафа устанавливается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в следующем порядке: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не превышает 3 млн. рублей (включительно);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составляет от 3 млн. рублей до 50 млн. рублей (включительно).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6.5. В случае просрочки исполнения Заказчиком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6.6. В случае просрочки исполнения Поставщиком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в размере одной трехсотой действующей на дату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уплаты пени ключевой ставки Центрального банка Российской Федерации от цены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(отдельного этапа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zh-CN"/>
        </w:rPr>
        <w:t xml:space="preserve">(соответствующим отдельным этапом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zh-CN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и фактически исполненных Поставщиком.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pacing w:val="-2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bidi="fa-IR"/>
        </w:rPr>
        <w:t xml:space="preserve">Сумма неустойки перечисляется на лицевой счет Заказчика, указанный в реквизитах.</w:t>
      </w:r>
      <w:r>
        <w:rPr>
          <w:rFonts w:ascii="Times New Roman" w:hAnsi="Times New Roman" w:eastAsia="Times New Roman" w:cs="Times New Roman"/>
          <w:color w:val="auto"/>
          <w:spacing w:val="-2"/>
          <w:sz w:val="24"/>
          <w:szCs w:val="24"/>
          <w:lang w:val="de-DE" w:eastAsia="ja-JP" w:bidi="fa-IR"/>
        </w:rPr>
      </w:r>
      <w:r>
        <w:rPr>
          <w:rFonts w:ascii="Times New Roman" w:hAnsi="Times New Roman" w:eastAsia="Times New Roman" w:cs="Times New Roman"/>
          <w:color w:val="auto"/>
          <w:spacing w:val="-2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6.7.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6.8.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517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6.9. В случае неисполнения, ненадлежащего исполнения, просрочки исполнения обязательств, предусмотренных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ом, Заказчик производит оплату по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у Поставщику за вычетом соответствующего размера неустойки (штрафа, пени), предусмотренных настоящим разделом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spacing w:after="0" w:line="240" w:lineRule="auto"/>
        <w:tabs>
          <w:tab w:val="left" w:pos="900" w:leader="none"/>
          <w:tab w:val="left" w:pos="1080" w:leader="none"/>
        </w:tabs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</w:p>
    <w:p>
      <w:pPr>
        <w:jc w:val="center"/>
        <w:spacing w:after="0" w:line="240" w:lineRule="auto"/>
        <w:tabs>
          <w:tab w:val="left" w:pos="900" w:leader="none"/>
          <w:tab w:val="left" w:pos="10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val="de-DE" w:eastAsia="ja-JP" w:bidi="fa-IR"/>
        </w:rPr>
        <w:t xml:space="preserve">7. ПОРЯДОК УРЕГУЛИРОВАНИЯ СПОРОВ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7.1. В своих взаимоотношениях Стороны стремятся избегать противоречий и конфликтов, а в случае возникновения таковых – разрешать их на основе взаимного согласия. Если согласие не достигнуто, то споры и противоречия разрешаются в соответствии с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ом и действующим гражданским законодательством РФ.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3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7.2.</w:t>
      </w: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ab/>
        <w:t xml:space="preserve">В случае не достижения взаимного согласия, споры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у передаются на разрешение в Арбитражный суд Краснодарского края в соответствии с законодательством Российской Федерации.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300" w:leader="none"/>
        </w:tabs>
        <w:rPr>
          <w:rFonts w:ascii="Times New Roman" w:hAnsi="Times New Roman" w:cs="Times New Roman"/>
          <w:color w:val="auto"/>
          <w:sz w:val="24"/>
          <w:szCs w:val="24"/>
          <w:lang w:bidi="fa-IR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7.3.</w:t>
      </w: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ab/>
        <w:t xml:space="preserve">До передачи спора на разрешение Арбитражного суда Краснодарского края Сто</w:t>
      </w:r>
      <w:r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с даты ее получения. </w:t>
      </w:r>
      <w:r>
        <w:rPr>
          <w:rFonts w:ascii="Times New Roman" w:hAnsi="Times New Roman" w:cs="Times New Roman"/>
          <w:color w:val="auto"/>
          <w:sz w:val="24"/>
          <w:szCs w:val="24"/>
          <w:lang w:bidi="fa-IR"/>
        </w:rPr>
      </w:r>
      <w:r>
        <w:rPr>
          <w:rFonts w:ascii="Times New Roman" w:hAnsi="Times New Roman" w:cs="Times New Roman"/>
          <w:color w:val="auto"/>
          <w:sz w:val="24"/>
          <w:szCs w:val="24"/>
          <w:lang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3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</w:p>
    <w:p>
      <w:pPr>
        <w:jc w:val="center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color w:val="000000"/>
          <w:sz w:val="24"/>
          <w:szCs w:val="24"/>
          <w:lang w:val="de-DE" w:eastAsia="ja-JP" w:bidi="fa-IR"/>
        </w:rPr>
        <w:t xml:space="preserve">8. ФОРС-МАЖОР.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8.1. Стороны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у, если неис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8.2. Сторона, которая не в состоянии выполнить свои обязательства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 в силу вышеуказанных обстоятельств, незамедлительно письменно информирует другую Сторону о наступлении данных обстоятельств и прекращении выполнения указанных обязательств, но в любом случае не позднее 3 (т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рех) рабочих дней после начала их действия. Несвоевременное уведомление о наступлении обстоятельств непреодолимой силы лишает соответствующую Сторон у права на освобождение от ответственности за частичное или полное неисполнение обязательств по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 по причине указанных обстоятельств. Факт наступления и прекращения обстоятельств непреодолимой силы документально подтверждается компетентными государственными органами.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8.3. Если указанные обстоятельства продолжаются более 1 (одного) месяца, то каждая Сторона имеет право на досрочное расторжение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 В этом случае Стороны производят взаиморасчеты.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jc w:val="center"/>
        <w:spacing w:after="0" w:line="240" w:lineRule="auto"/>
        <w:tabs>
          <w:tab w:val="left" w:pos="900" w:leader="none"/>
        </w:tabs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eastAsia="ja-JP" w:bidi="fa-IR"/>
        </w:rPr>
        <w:t xml:space="preserve">9</w:t>
      </w: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. срок действия и порядок </w:t>
      </w: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eastAsia="ja-JP" w:bidi="fa-IR"/>
        </w:rPr>
      </w:r>
    </w:p>
    <w:p>
      <w:pPr>
        <w:jc w:val="center"/>
        <w:spacing w:after="0" w:line="240" w:lineRule="auto"/>
        <w:tabs>
          <w:tab w:val="left" w:pos="9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расторжения </w:t>
      </w:r>
      <w:r>
        <w:rPr>
          <w:rFonts w:ascii="Times New Roman" w:hAnsi="Times New Roman" w:eastAsia="Andale Sans UI" w:cs="Times New Roman"/>
          <w:b/>
          <w:bCs/>
          <w:caps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  <w:t xml:space="preserve">9.1. Настоящий Контракт действует с момента его заключения до полного исполнения сторонами своих обязательств по</w:t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eastAsia="ja-JP" w:bidi="fa-IR"/>
        </w:rPr>
        <w:t xml:space="preserve"> Контракту</w:t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  <w:t xml:space="preserve">. Истечение срока действия Контракта не освобождает Стороны от ответственности за ненадлежащее исполнение своих обязательств по настоящему</w:t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eastAsia="ja-JP" w:bidi="fa-IR"/>
        </w:rPr>
        <w:t xml:space="preserve"> Контракту</w:t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  <w:t xml:space="preserve">, в том числе за неисполнение гарантийных обязательств.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9.2.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Внесение изменений в настоящий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считается действительным, если оно подтверждено Сторонами в виде заключения дополнительного соглашения в письменной форме.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de-DE" w:bidi="fa-IR"/>
        </w:rPr>
        <w:t xml:space="preserve">9.3. Заказчик по согласованию с Поставщиком при исполнении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de-DE" w:bidi="fa-IR"/>
        </w:rPr>
        <w:t xml:space="preserve"> вправе изменить объем, цену и (или) сроки исполнения (действия)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de-DE" w:bidi="fa-IR"/>
        </w:rPr>
        <w:t xml:space="preserve">, в случае, если такие изменения ведут к обоснованному улучшению условий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de-DE" w:bidi="fa-IR"/>
        </w:rPr>
        <w:t xml:space="preserve"> для Заказчика по сравнению с указанными в итоговом протоколе и не ухудшают экономическую эффективность закупки, в том числе не превышают начальную (максимальную) цену, установленную в документации о закупке.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9.4. Заказчик вправе изменить при исполнении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цену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в случае изменения в соответствии с законодательством Российской Федерации регулируемых государством цен (тарифов) соответственно размеру изменения (цен тарифов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).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9.5. При исполнении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по согласованию Заказчика с Поставщик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ом допускается поставка продукции (части продукции), качество, технические и функциональные характеристики (потребительские свойства) которой являются улучшенными по сравнению с такими качеством и характеристиками продукции (части продукции), указанными в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Контракте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val="de-DE" w:eastAsia="ru-RU"/>
        </w:rPr>
        <w:t xml:space="preserve">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9.6. При исполнении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 Контракта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Заказчик по согласованию с Поставщиком, с которым в соответствии с настоящим Положением заключен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 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, вправе увеличить количество поставляемой продукции на сумму, не превышающую разницы между ценой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, предложенной таким участником, и начальной (максимальной) ценой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 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. При этом цена единицы продукции не должна превышать цену единицы продукции, определяемую как частное от деления цены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 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, предложенной участником закупки, на количество продукции, указанное в извещении о проведении закупки.    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9.7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. Расторжение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 возможно по соглашению сторон, решению суда или вследствие одностороннего отказа от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8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9.8. Заказчик вправе принять решение об одностороннем отказе от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de-DE" w:eastAsia="ru-RU" w:bidi="fa-IR"/>
        </w:rPr>
        <w:t xml:space="preserve"> по основаниям, предусмотренным Гражданским кодексом Российской Федерации.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9.9. Заказчик вправе провести экспертизу поставленного Товара, с привлечением экспертов, экспертных организаций до принятия решения об одностороннем отказе от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9.1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0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Поставщика, указанному в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Контракте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, а также телеграммой, либо посредством факсимильной связи, либо по адресу электронной почты, либо с использованием иных средств связи и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Контракта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Контракта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 в единой информационной системе.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</w:pP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9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11.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 Решение Заказчика об одностороннем отказе от исполнения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Контракта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вступает в силу и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Контракт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 Контракта.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9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.1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2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В случае расторжения Контракта в связи с односторонним отказом Заказчика от исполнения Контракта Заказчик вправе осуществить закупку Товара, который являлся предметом расторгнутого Договора.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SimSun" w:cs="Times New Roman"/>
          <w:bCs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9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.1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bidi="fa-IR"/>
        </w:rPr>
        <w:t xml:space="preserve">3</w:t>
      </w:r>
      <w:r>
        <w:rPr>
          <w:rFonts w:ascii="Times New Roman" w:hAnsi="Times New Roman" w:eastAsia="Andale Sans UI" w:cs="Times New Roman"/>
          <w:bCs/>
          <w:color w:val="auto"/>
          <w:sz w:val="24"/>
          <w:szCs w:val="24"/>
          <w:lang w:val="de-DE" w:bidi="fa-IR"/>
        </w:rPr>
        <w:t xml:space="preserve">. В случае расторжения настоящего Контракта Стороны производят сверку расчетов, которой подтверждается объем Товара, поставленного Поставщиком.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000000"/>
          <w:sz w:val="24"/>
          <w:szCs w:val="24"/>
          <w:lang w:val="de-DE" w:eastAsia="ja-JP" w:bidi="fa-IR"/>
        </w:rPr>
      </w:r>
    </w:p>
    <w:p>
      <w:pPr>
        <w:jc w:val="center"/>
        <w:spacing w:after="0" w:line="240" w:lineRule="auto"/>
        <w:tabs>
          <w:tab w:val="left" w:pos="9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caps/>
          <w:color w:val="auto"/>
          <w:sz w:val="24"/>
          <w:szCs w:val="24"/>
          <w:lang w:eastAsia="ja-JP" w:bidi="fa-IR"/>
        </w:rPr>
        <w:t xml:space="preserve">10. </w:t>
      </w:r>
      <w:r>
        <w:rPr>
          <w:rFonts w:ascii="Times New Roman" w:hAnsi="Times New Roman" w:eastAsia="Andale Sans UI" w:cs="Times New Roman"/>
          <w:b/>
          <w:caps/>
          <w:color w:val="auto"/>
          <w:sz w:val="24"/>
          <w:szCs w:val="24"/>
          <w:lang w:val="de-DE" w:eastAsia="ja-JP" w:bidi="fa-IR"/>
        </w:rPr>
        <w:t xml:space="preserve">Дополнительные положения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10.1. Все предусмотренные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ом заявления, извещения и другие документы отправляются Сторонами посредством факсимильной связи по телефонным номерам, указанным в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е, и заказными почтовыми отправлениями по адресам, указанным в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е в качестве почтовых адресов, либо вручаются под расписку уполномоченному представителю Стороны - получателя.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.2. Все документы, исходящие от Стороны по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у и отправляемые в рамках исполнения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, должны быть оформлены в письменном виде надлежащим образом.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.3. 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.4. Сторона, не известившая или несвоевременно известившая другую Сторону о вышеуказанных изменениях, несет ответственность за все связанные с этим неблагоприятные последствия.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1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bidi="fa-IR"/>
        </w:rPr>
        <w:t xml:space="preserve">0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.5. При исполнении настоящего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Контракта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 не допускается перемена Поставщика, за исключением случаев, если новый Поставщик является правопреемником Поставщика по такому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Контракту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val="de-DE" w:bidi="fa-IR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10.6.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Во всем ином, не урегулированном в настоящем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е, Стороны будут руководствоваться нормами законодательства Российской Федерации.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tabs>
          <w:tab w:val="left" w:pos="42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7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. Настоящий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  <w:t xml:space="preserve"> составлен в 2-х экземплярах, имеющих равную юридическую силу, по одному для каждой из сторон.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46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eastAsia="ja-JP" w:bidi="fa-IR"/>
        </w:rPr>
        <w:t xml:space="preserve">0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.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eastAsia="ja-JP" w:bidi="fa-IR"/>
        </w:rPr>
        <w:t xml:space="preserve">8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. Все приложения и дополнения к настоящему 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eastAsia="ja-JP" w:bidi="fa-IR"/>
        </w:rPr>
        <w:t xml:space="preserve">Контракт</w:t>
      </w:r>
      <w:r>
        <w:rPr>
          <w:rFonts w:ascii="Times New Roman" w:hAnsi="Times New Roman" w:eastAsia="Andale Sans UI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у являются его неотъемлемой частью, составлены в двух экземплярах, по одному для каждой Стороны.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4" w:leader="none"/>
          <w:tab w:val="left" w:pos="420" w:leader="none"/>
          <w:tab w:val="left" w:pos="900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</w:p>
    <w:p>
      <w:pPr>
        <w:ind w:left="450"/>
        <w:jc w:val="center"/>
        <w:spacing w:after="0" w:line="240" w:lineRule="auto"/>
        <w:tabs>
          <w:tab w:val="left" w:pos="4305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highlight w:val="none"/>
          <w:lang w:val="de-DE" w:eastAsia="ja-JP" w:bidi="fa-IR"/>
        </w:rPr>
      </w:pPr>
      <w:r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lang w:val="de-DE" w:eastAsia="ja-JP" w:bidi="fa-IR"/>
        </w:rPr>
        <w:t xml:space="preserve">1</w:t>
      </w:r>
      <w:r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lang w:eastAsia="ja-JP" w:bidi="fa-IR"/>
        </w:rPr>
        <w:t xml:space="preserve">1</w:t>
      </w:r>
      <w:r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lang w:val="de-DE" w:eastAsia="ja-JP" w:bidi="fa-IR"/>
        </w:rPr>
        <w:t xml:space="preserve">. </w:t>
      </w:r>
      <w:r>
        <w:rPr>
          <w:rFonts w:ascii="Times New Roman" w:hAnsi="Times New Roman" w:eastAsia="Andale Sans UI" w:cs="Times New Roman"/>
          <w:b/>
          <w:bCs/>
          <w:color w:val="auto"/>
          <w:sz w:val="24"/>
          <w:szCs w:val="24"/>
          <w:lang w:eastAsia="ja-JP" w:bidi="fa-IR"/>
        </w:rPr>
        <w:t xml:space="preserve">РЕКВИЗИТЫ И ПОДПИСИ СТОРОН</w:t>
      </w:r>
      <w:r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highlight w:val="none"/>
          <w:lang w:val="de-DE" w:eastAsia="ja-JP" w:bidi="fa-IR"/>
        </w:rPr>
      </w:r>
    </w:p>
    <w:p>
      <w:pPr>
        <w:ind w:left="450"/>
        <w:jc w:val="center"/>
        <w:spacing w:after="0" w:line="240" w:lineRule="auto"/>
        <w:tabs>
          <w:tab w:val="left" w:pos="4305" w:leader="none"/>
        </w:tabs>
        <w:rPr>
          <w:rFonts w:ascii="Times New Roman" w:hAnsi="Times New Roman" w:eastAsia="Andale Sans UI" w:cs="Times New Roman"/>
          <w:color w:val="auto"/>
          <w:sz w:val="24"/>
          <w:szCs w:val="24"/>
          <w:lang w:val="de-DE" w:eastAsia="ja-JP" w:bidi="fa-IR"/>
        </w:rPr>
      </w:pPr>
      <w:r>
        <w:rPr>
          <w:rFonts w:ascii="Times New Roman" w:hAnsi="Times New Roman" w:eastAsia="Andale Sans UI" w:cs="Times New Roman"/>
          <w:color w:val="auto"/>
          <w:sz w:val="24"/>
          <w:szCs w:val="24"/>
          <w:highlight w:val="none"/>
          <w:lang w:val="de-DE" w:eastAsia="ja-JP" w:bidi="fa-IR"/>
        </w:rPr>
      </w:r>
      <w:r>
        <w:rPr>
          <w:rFonts w:ascii="Times New Roman" w:hAnsi="Times New Roman" w:eastAsia="Andale Sans UI" w:cs="Times New Roman"/>
          <w:color w:val="auto"/>
          <w:sz w:val="24"/>
          <w:szCs w:val="24"/>
          <w:highlight w:val="none"/>
          <w:lang w:val="de-DE" w:eastAsia="ja-JP" w:bidi="fa-IR"/>
        </w:rPr>
      </w:r>
    </w:p>
    <w:tbl>
      <w:tblPr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5126"/>
        <w:gridCol w:w="4508"/>
      </w:tblGrid>
      <w:tr>
        <w:tblPrEx/>
        <w:trPr>
          <w:jc w:val="center"/>
        </w:trPr>
        <w:tc>
          <w:tcPr>
            <w:tcW w:w="5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  <w:t xml:space="preserve">«ЗАКАЗЧИК»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ФГБУ «Управление «Кубаньмелиоводхоз»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Юридический адрес: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РФ, 350058, Краснодарский край, г. Краснодар, ул.Селезнева,242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РФ,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353560, Краснодарский край, г. Славянс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к-на-Кубани, ул. Кубанская, 139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ОГРН: 1032307159521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ИНН: 2312042708; КПП: 231201001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Номер казначейского счета – 03214643000000013241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Единый казначейский счет – 40102810745370000024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Банк: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ОКЦ № 1 ВВГУ Банка России //УФК по Нижегородской области, г. Нижний Новгород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УФК по Краснодарскому краю (ФГБУ «Управление «Кубаньмелиоводхоз»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л/сч 20186X24140)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ar-SA"/>
              </w:rPr>
              <w:t xml:space="preserve">БИК 012202102 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ind w:right="-7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Телефон: 8(918) 668-16-99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alexandra_torg@mail.ru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Директор Петровско-Анастасиевского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 филиала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ФГБУ «Управление «Кубаньмелиоводхоз»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_______________ /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Д.Г. Журба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ar-SA"/>
              </w:rPr>
            </w:r>
          </w:p>
        </w:tc>
        <w:tc>
          <w:tcPr>
            <w:tcW w:w="450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  <w:t xml:space="preserve">«ПОСТАВЩИК»</w:t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val="clear" w:color="auto" w:fill="00ffff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val="clear" w:color="auto" w:fill="00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val="clear" w:color="auto" w:fill="00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val="clear" w:color="auto" w:fill="00ffff"/>
                <w:lang w:eastAsia="ar-SA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  <w:t xml:space="preserve">_________________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096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  <w:t xml:space="preserve"> (подписано ЭЦП)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 w:bidi="hi-IN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right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Приложение №1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 Контракту № ______________________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 от ____________   2026г.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r>
    </w:p>
    <w:p>
      <w:pPr>
        <w:jc w:val="center"/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</w:p>
    <w:p>
      <w:pPr>
        <w:jc w:val="center"/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  <w:t xml:space="preserve">Спецификация</w:t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</w:p>
    <w:p>
      <w:pPr>
        <w:pStyle w:val="903"/>
        <w:ind w:firstLine="709"/>
        <w:jc w:val="left"/>
        <w:rPr>
          <w:lang w:val="ru-RU"/>
        </w:rPr>
      </w:pPr>
      <w:r>
        <w:rPr>
          <w:sz w:val="26"/>
          <w:szCs w:val="26"/>
          <w:lang w:val="ru-RU"/>
        </w:rPr>
        <w:t xml:space="preserve">Установить с «___» ________ 2026 г. следующее количество и цены на товар,  поставляемый по Контракту</w:t>
      </w:r>
      <w:r>
        <w:rPr>
          <w:bCs/>
          <w:sz w:val="26"/>
          <w:szCs w:val="26"/>
          <w:lang w:val="ru-RU"/>
        </w:rPr>
        <w:t xml:space="preserve">  № ___</w:t>
      </w:r>
      <w:r>
        <w:rPr>
          <w:bCs/>
          <w:color w:val="000000"/>
          <w:sz w:val="26"/>
          <w:szCs w:val="26"/>
          <w:lang w:val="ru-RU"/>
        </w:rPr>
        <w:t xml:space="preserve"> </w:t>
      </w:r>
      <w:r>
        <w:rPr>
          <w:bCs/>
          <w:sz w:val="26"/>
          <w:szCs w:val="26"/>
          <w:lang w:val="ru-RU"/>
        </w:rPr>
        <w:t xml:space="preserve">от «___» ________ 2026г.</w:t>
      </w:r>
      <w:r>
        <w:rPr>
          <w:lang w:val="ru-RU"/>
        </w:rPr>
      </w:r>
      <w:r>
        <w:rPr>
          <w:lang w:val="ru-RU"/>
        </w:rPr>
      </w:r>
    </w:p>
    <w:p>
      <w:pPr>
        <w:pStyle w:val="904"/>
        <w:ind w:firstLine="709"/>
        <w:tabs>
          <w:tab w:val="left" w:pos="708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82" w:type="dxa"/>
        <w:tblBorders>
          <w:top w:val="single" w:color="000001" w:sz="4" w:space="0"/>
          <w:left w:val="single" w:color="000001" w:sz="4" w:space="0"/>
          <w:bottom w:val="single" w:color="000001" w:sz="4" w:space="0"/>
          <w:insideH w:val="single" w:color="000001" w:sz="4" w:space="0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794"/>
        <w:gridCol w:w="1757"/>
        <w:gridCol w:w="1836"/>
        <w:gridCol w:w="1303"/>
        <w:gridCol w:w="1434"/>
        <w:gridCol w:w="1222"/>
        <w:gridCol w:w="1336"/>
      </w:tblGrid>
      <w:tr>
        <w:tblPrEx/>
        <w:trPr>
          <w:trHeight w:val="1509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52" w:type="dxa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№ п/п</w:t>
            </w:r>
            <w:r>
              <w:rPr>
                <w:b/>
                <w:bCs/>
                <w:color w:val="000000"/>
                <w:szCs w:val="24"/>
              </w:rPr>
            </w:r>
            <w:r>
              <w:rPr>
                <w:b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735" w:type="dxa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rPr>
                <w:b/>
                <w:bCs/>
                <w:color w:val="000000"/>
                <w:szCs w:val="24"/>
              </w:rPr>
              <w:t xml:space="preserve">Наименование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810" w:type="dxa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Осн-ые хар-ки </w:t>
            </w:r>
            <w:r>
              <w:rPr>
                <w:b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90" w:type="dxa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Ед. измерения</w:t>
            </w:r>
            <w:r>
              <w:rPr>
                <w:b/>
                <w:bCs/>
                <w:color w:val="000000"/>
                <w:szCs w:val="24"/>
              </w:rPr>
            </w:r>
            <w:r>
              <w:rPr>
                <w:b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416" w:type="dxa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Количество </w:t>
            </w:r>
            <w:r>
              <w:rPr>
                <w:b/>
                <w:bCs/>
                <w:color w:val="000000"/>
                <w:szCs w:val="24"/>
              </w:rPr>
            </w:r>
            <w:r>
              <w:rPr>
                <w:b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57" w:type="dxa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Цена за  ед.(руб.)</w:t>
            </w:r>
            <w:r>
              <w:rPr>
                <w:b/>
                <w:bCs/>
                <w:color w:val="000000"/>
                <w:szCs w:val="24"/>
              </w:rPr>
            </w:r>
            <w:r>
              <w:rPr>
                <w:b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1" w:type="dxa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Стоимость </w:t>
            </w:r>
            <w:r>
              <w:rPr>
                <w:b/>
                <w:bCs/>
                <w:color w:val="000000"/>
                <w:szCs w:val="24"/>
              </w:rPr>
            </w:r>
            <w:r>
              <w:rPr>
                <w:b/>
                <w:bCs/>
                <w:color w:val="000000"/>
                <w:szCs w:val="24"/>
              </w:rPr>
            </w:r>
          </w:p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rPr>
                <w:b/>
                <w:bCs/>
                <w:color w:val="000000"/>
                <w:szCs w:val="24"/>
              </w:rPr>
              <w:t xml:space="preserve">с учетом НДС (руб.)</w:t>
            </w:r>
            <w:r/>
          </w:p>
        </w:tc>
      </w:tr>
      <w:tr>
        <w:tblPrEx/>
        <w:trPr>
          <w:trHeight w:val="568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52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szCs w:val="24"/>
              </w:rPr>
              <w:t xml:space="preserve">1</w: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735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Дюбель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810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  <w14:ligatures w14:val="none"/>
              </w:rPr>
            </w:r>
          </w:p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90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416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50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57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1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52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735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Дюбель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810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90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416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300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57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1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blPrEx/>
        <w:trPr>
          <w:trHeight w:val="398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52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735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Хомут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810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90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416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500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57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1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blPrEx/>
        <w:trPr>
          <w:trHeight w:val="391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52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735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Бур для перфоратора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810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90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416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57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1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blPrEx/>
        <w:trPr>
          <w:trHeight w:val="245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52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735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Изолента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810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90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416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15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57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1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52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735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Инструмент для натяжения и резки стальной ленты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810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90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416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57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1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blPrEx/>
        <w:trPr>
          <w:trHeight w:val="227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52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735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Хомуты нейлоновые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810" w:type="dxa"/>
            <w:vAlign w:val="center"/>
            <w:textDirection w:val="lrTb"/>
            <w:noWrap w:val="false"/>
          </w:tcPr>
          <w:p>
            <w:pPr>
              <w:ind w:right="118"/>
              <w:tabs>
                <w:tab w:val="left" w:pos="708" w:leader="none"/>
              </w:tabs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90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416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jc w:val="center"/>
              <w:tabs>
                <w:tab w:val="left" w:pos="708" w:leader="none"/>
              </w:tabs>
            </w:pPr>
            <w:r>
              <w:t xml:space="preserve">500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57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1" w:type="dxa"/>
            <w:vAlign w:val="center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blPrEx/>
        <w:trPr>
          <w:trHeight w:val="554"/>
        </w:trPr>
        <w:tc>
          <w:tcPr>
            <w:gridSpan w:val="6"/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347" w:type="dxa"/>
            <w:textDirection w:val="lrTb"/>
            <w:noWrap w:val="false"/>
          </w:tcPr>
          <w:p>
            <w:pPr>
              <w:pStyle w:val="904"/>
              <w:ind w:firstLine="0"/>
              <w:jc w:val="right"/>
              <w:tabs>
                <w:tab w:val="left" w:pos="708" w:leader="none"/>
              </w:tabs>
              <w:rPr>
                <w:bCs/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  <w:shd w:val="clear" w:color="auto" w:fill="ffffff"/>
              </w:rPr>
              <w:t xml:space="preserve">                   НДС</w:t>
            </w:r>
            <w:r>
              <w:rPr>
                <w:bCs/>
                <w:i/>
                <w:iCs/>
                <w:szCs w:val="24"/>
              </w:rPr>
            </w:r>
            <w:r>
              <w:rPr>
                <w:bCs/>
                <w:i/>
                <w:i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0" w:type="dxa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Cs/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</w:r>
            <w:r>
              <w:rPr>
                <w:bCs/>
                <w:i/>
                <w:iCs/>
                <w:szCs w:val="24"/>
              </w:rPr>
            </w:r>
            <w:r>
              <w:rPr>
                <w:bCs/>
                <w:i/>
                <w:iCs/>
                <w:szCs w:val="24"/>
              </w:rPr>
            </w:r>
          </w:p>
        </w:tc>
      </w:tr>
      <w:tr>
        <w:tblPrEx/>
        <w:trPr>
          <w:trHeight w:val="508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852" w:type="dxa"/>
            <w:textDirection w:val="lrTb"/>
            <w:noWrap w:val="false"/>
          </w:tcPr>
          <w:p>
            <w:pPr>
              <w:pStyle w:val="904"/>
              <w:ind w:firstLine="709"/>
              <w:jc w:val="center"/>
              <w:tabs>
                <w:tab w:val="left" w:pos="708" w:leader="none"/>
              </w:tabs>
              <w:rPr>
                <w:szCs w:val="24"/>
              </w:rPr>
            </w:pP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735" w:type="dxa"/>
            <w:textDirection w:val="lrTb"/>
            <w:noWrap w:val="false"/>
          </w:tcPr>
          <w:p>
            <w:pPr>
              <w:pStyle w:val="904"/>
              <w:ind w:firstLine="709"/>
              <w:tabs>
                <w:tab w:val="left" w:pos="708" w:leader="none"/>
              </w:tabs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810" w:type="dxa"/>
            <w:textDirection w:val="lrTb"/>
            <w:noWrap w:val="false"/>
          </w:tcPr>
          <w:p>
            <w:pPr>
              <w:pStyle w:val="904"/>
              <w:ind w:firstLine="709"/>
              <w:tabs>
                <w:tab w:val="left" w:pos="708" w:leader="none"/>
              </w:tabs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90" w:type="dxa"/>
            <w:textDirection w:val="lrTb"/>
            <w:noWrap w:val="false"/>
          </w:tcPr>
          <w:p>
            <w:pPr>
              <w:pStyle w:val="904"/>
              <w:ind w:firstLine="709"/>
              <w:jc w:val="center"/>
              <w:tabs>
                <w:tab w:val="left" w:pos="708" w:leader="none"/>
              </w:tabs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416" w:type="dxa"/>
            <w:textDirection w:val="lrTb"/>
            <w:noWrap w:val="false"/>
          </w:tcPr>
          <w:p>
            <w:pPr>
              <w:pStyle w:val="904"/>
              <w:ind w:firstLine="709"/>
              <w:jc w:val="center"/>
              <w:tabs>
                <w:tab w:val="left" w:pos="708" w:leader="none"/>
              </w:tabs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43" w:type="dxa"/>
            </w:tcMar>
            <w:tcW w:w="1257" w:type="dxa"/>
            <w:textDirection w:val="lrTb"/>
            <w:noWrap w:val="false"/>
          </w:tcPr>
          <w:p>
            <w:pPr>
              <w:pStyle w:val="904"/>
              <w:ind w:firstLine="0"/>
              <w:tabs>
                <w:tab w:val="left" w:pos="708" w:leader="none"/>
              </w:tabs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Итого: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43" w:type="dxa"/>
            </w:tcMar>
            <w:tcW w:w="1321" w:type="dxa"/>
            <w:textDirection w:val="lrTb"/>
            <w:noWrap w:val="false"/>
          </w:tcPr>
          <w:p>
            <w:pPr>
              <w:pStyle w:val="904"/>
              <w:ind w:firstLine="0"/>
              <w:jc w:val="left"/>
              <w:tabs>
                <w:tab w:val="left" w:pos="708" w:leader="none"/>
                <w:tab w:val="left" w:pos="8988" w:leader="none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</w:tr>
    </w:tbl>
    <w:p>
      <w:pPr>
        <w:pStyle w:val="904"/>
        <w:ind w:firstLine="709"/>
        <w:tabs>
          <w:tab w:val="left" w:pos="708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04"/>
        <w:ind w:left="0" w:right="-28" w:firstLine="0"/>
        <w:jc w:val="both"/>
        <w:tabs>
          <w:tab w:val="left" w:pos="708" w:leader="none"/>
        </w:tabs>
      </w:pPr>
      <w:r>
        <w:rPr>
          <w:sz w:val="26"/>
          <w:szCs w:val="26"/>
        </w:rPr>
        <w:t xml:space="preserve">Срок поставки товара: в течение 5 (пяти) рабочих дней со дня заключения контракта.</w:t>
      </w:r>
      <w:r/>
    </w:p>
    <w:p>
      <w:pPr>
        <w:ind w:left="0" w:right="-28" w:firstLine="0"/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 поставки: Краснодарский край, г. Славянск-на-Кубани, ул. Кубанская, 139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709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iCs/>
          <w:sz w:val="26"/>
          <w:szCs w:val="26"/>
          <w:highlight w:val="none"/>
        </w:rPr>
      </w:r>
    </w:p>
    <w:p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ПОДПИСИ СТОРОН:</w:t>
      </w:r>
      <w:r>
        <w:rPr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tbl>
      <w:tblPr>
        <w:tblW w:w="10774" w:type="dxa"/>
        <w:tblLook w:val="04A0" w:firstRow="1" w:lastRow="0" w:firstColumn="1" w:lastColumn="0" w:noHBand="0" w:noVBand="1"/>
      </w:tblPr>
      <w:tblGrid>
        <w:gridCol w:w="5391"/>
        <w:gridCol w:w="5383"/>
      </w:tblGrid>
      <w:tr>
        <w:tblPrEx/>
        <w:trPr/>
        <w:tc>
          <w:tcPr>
            <w:shd w:val="clear" w:color="auto" w:fill="auto"/>
            <w:tcW w:w="5390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5383" w:type="dxa"/>
            <w:textDirection w:val="lrTb"/>
            <w:noWrap w:val="false"/>
          </w:tcPr>
          <w:p>
            <w:pPr>
              <w:ind w:firstLine="709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а: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390" w:type="dxa"/>
            <w:textDirection w:val="lrTb"/>
            <w:noWrap w:val="false"/>
          </w:tcPr>
          <w:p>
            <w:pPr>
              <w:ind w:firstLine="709"/>
              <w:spacing w:line="276" w:lineRule="auto"/>
              <w:tabs>
                <w:tab w:val="left" w:pos="810" w:leader="none"/>
                <w:tab w:val="left" w:pos="61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5383" w:type="dxa"/>
            <w:textDirection w:val="lrTb"/>
            <w:noWrap w:val="false"/>
          </w:tcPr>
          <w:p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49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  /Д.Г. Журба/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  /</w:t>
      </w:r>
      <w:r>
        <w:rPr>
          <w:rFonts w:ascii="Times New Roman" w:hAnsi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cs="Times New Roman"/>
          <w:sz w:val="24"/>
          <w:szCs w:val="24"/>
        </w:rPr>
        <w:t xml:space="preserve">/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pP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  <w:r>
        <w:rPr>
          <w:rFonts w:ascii="Times New Roman" w:hAnsi="Times New Roman" w:eastAsia="Andale Sans UI" w:cs="Times New Roman"/>
          <w:b/>
          <w:color w:val="auto"/>
          <w:sz w:val="24"/>
          <w:szCs w:val="24"/>
          <w:lang w:eastAsia="ja-JP" w:bidi="fa-IR"/>
        </w:rPr>
      </w:r>
    </w:p>
    <w:sectPr>
      <w:footnotePr/>
      <w:endnotePr/>
      <w:type w:val="nextPage"/>
      <w:pgSz w:w="11906" w:h="16838" w:orient="portrait"/>
      <w:pgMar w:top="426" w:right="1077" w:bottom="426" w:left="1077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Andale Sans UI">
    <w:panose1 w:val="02000603000000000000"/>
  </w:font>
  <w:font w:name="SimSun">
    <w:panose1 w:val="02000506000000020000"/>
  </w:font>
  <w:font w:name="Tinos">
    <w:panose1 w:val="02020603050405020304"/>
  </w:font>
  <w:font w:name="Droid Sans">
    <w:panose1 w:val="020B0606030804020204"/>
  </w:font>
  <w:font w:name="Liberation Serif">
    <w:panose1 w:val="02020603050405020304"/>
  </w:font>
  <w:font w:name="Mangal">
    <w:panose1 w:val="02040503050406030204"/>
  </w:font>
  <w:font w:name="Liberation Sans">
    <w:panose1 w:val="020B060402020202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94"/>
        <w:ind w:firstLine="567"/>
        <w:jc w:val="both"/>
        <w:rPr>
          <w:rFonts w:ascii="Times New Roman" w:hAnsi="Times New Roman" w:cs="Times New Roman"/>
          <w:sz w:val="10"/>
          <w:szCs w:val="10"/>
          <w:highlight w:val="white"/>
        </w:rPr>
      </w:pPr>
      <w:r>
        <w:rPr>
          <w:rStyle w:val="893"/>
          <w:highlight w:val="white"/>
        </w:rPr>
        <w:footnoteRef/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16"/>
          <w:szCs w:val="16"/>
          <w:highlight w:val="white"/>
          <w:lang w:eastAsia="ar-SA"/>
        </w:rPr>
        <w:t xml:space="preserve">В случае если Контракт заключается с лицом, не являющимся в соответствии с законодательством Россий</w:t>
      </w:r>
      <w:r>
        <w:rPr>
          <w:rFonts w:ascii="Times New Roman" w:hAnsi="Times New Roman" w:eastAsia="Times New Roman" w:cs="Times New Roman"/>
          <w:i/>
          <w:iCs/>
          <w:color w:val="000000"/>
          <w:sz w:val="16"/>
          <w:szCs w:val="16"/>
          <w:highlight w:val="white"/>
          <w:lang w:eastAsia="ar-SA"/>
        </w:rPr>
        <w:t xml:space="preserve">ской Федерации о налогах и сборах плательщиком налога на добавленную стоимость (НДС), цена Контракта налогом на добавленную стоимость не облагается, при указании Цены контракта вместо указания суммы налога на добавленную стоимость ставится «Без учета НДС».</w:t>
      </w:r>
      <w:r>
        <w:rPr>
          <w:rFonts w:ascii="Times New Roman" w:hAnsi="Times New Roman" w:cs="Times New Roman"/>
          <w:sz w:val="10"/>
          <w:szCs w:val="10"/>
          <w:highlight w:val="white"/>
        </w:rPr>
      </w:r>
      <w:r>
        <w:rPr>
          <w:rFonts w:ascii="Times New Roman" w:hAnsi="Times New Roman" w:cs="Times New Roman"/>
          <w:sz w:val="10"/>
          <w:szCs w:val="10"/>
          <w:highlight w:val="white"/>
        </w:rPr>
      </w:r>
    </w:p>
    <w:p>
      <w:pPr>
        <w:pStyle w:val="894"/>
        <w:ind w:firstLine="567"/>
        <w:jc w:val="both"/>
        <w:rPr>
          <w:rFonts w:ascii="Times New Roman" w:hAnsi="Times New Roman" w:cs="Times New Roman"/>
          <w:i/>
          <w:iCs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16"/>
          <w:szCs w:val="16"/>
          <w:highlight w:val="white"/>
        </w:rPr>
        <w:t xml:space="preserve">В случае утраты лицом, с которым заключен Контракт, права на освобождение от уплаты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ascii="Times New Roman" w:hAnsi="Times New Roman" w:cs="Times New Roman"/>
          <w:i/>
          <w:iCs/>
          <w:sz w:val="14"/>
          <w:szCs w:val="14"/>
          <w:highlight w:val="white"/>
        </w:rPr>
      </w:r>
      <w:r>
        <w:rPr>
          <w:rFonts w:ascii="Times New Roman" w:hAnsi="Times New Roman" w:cs="Times New Roman"/>
          <w:i/>
          <w:iCs/>
          <w:sz w:val="14"/>
          <w:szCs w:val="14"/>
          <w:highlight w:val="white"/>
        </w:rPr>
      </w:r>
    </w:p>
    <w:p>
      <w:pPr>
        <w:pStyle w:val="894"/>
        <w:ind w:firstLine="567"/>
        <w:jc w:val="both"/>
        <w:rPr>
          <w:rFonts w:ascii="Tinos" w:hAnsi="Tinos"/>
          <w:i/>
          <w:iCs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i/>
          <w:iCs/>
          <w:sz w:val="16"/>
          <w:szCs w:val="16"/>
          <w:highlight w:val="white"/>
        </w:rPr>
        <w:t xml:space="preserve">В случае изменения применяемой ставки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ascii="Tinos" w:hAnsi="Tinos"/>
          <w:i/>
          <w:iCs/>
          <w:sz w:val="14"/>
          <w:szCs w:val="14"/>
          <w:highlight w:val="white"/>
        </w:rPr>
      </w:r>
      <w:r>
        <w:rPr>
          <w:rFonts w:ascii="Tinos" w:hAnsi="Tinos"/>
          <w:i/>
          <w:iCs/>
          <w:sz w:val="14"/>
          <w:szCs w:val="14"/>
          <w:highlight w:val="white"/>
        </w:rPr>
      </w:r>
    </w:p>
    <w:p>
      <w:pPr>
        <w:pStyle w:val="891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80" w:hanging="360"/>
        <w:tabs>
          <w:tab w:val="num" w:pos="2880" w:leader="none"/>
        </w:tabs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80" w:hanging="180"/>
        <w:tabs>
          <w:tab w:val="num" w:pos="180" w:leader="none"/>
        </w:tabs>
      </w:pPr>
      <w:rPr>
        <w:rFonts w:cs="Times New Roman"/>
        <w:sz w:val="24"/>
        <w:szCs w:val="24"/>
      </w:rPr>
    </w:lvl>
    <w:lvl w:ilvl="1">
      <w:start w:val="1"/>
      <w:numFmt w:val="decimal"/>
      <w:isLgl w:val="false"/>
      <w:suff w:val="tab"/>
      <w:lvlText w:val="Форма %2."/>
      <w:lvlJc w:val="left"/>
      <w:pPr>
        <w:ind w:left="1211" w:hanging="360"/>
        <w:tabs>
          <w:tab w:val="num" w:pos="1931" w:leader="none"/>
        </w:tabs>
      </w:pPr>
      <w:rPr>
        <w:rFonts w:ascii="Times New Roman" w:hAnsi="Times New Roman" w:cs="Times New Roman"/>
        <w:b/>
        <w:i w:val="0"/>
        <w:sz w:val="26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  <w:b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80" w:hanging="360"/>
        <w:tabs>
          <w:tab w:val="num" w:pos="2880" w:leader="none"/>
        </w:tabs>
      </w:pPr>
      <w:rPr>
        <w:rFonts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857"/>
    <w:link w:val="853"/>
    <w:uiPriority w:val="9"/>
    <w:rPr>
      <w:rFonts w:ascii="Arial" w:hAnsi="Arial" w:eastAsia="Arial" w:cs="Arial"/>
      <w:sz w:val="40"/>
      <w:szCs w:val="40"/>
    </w:rPr>
  </w:style>
  <w:style w:type="character" w:styleId="689">
    <w:name w:val="Heading 2 Char"/>
    <w:basedOn w:val="857"/>
    <w:link w:val="854"/>
    <w:uiPriority w:val="9"/>
    <w:rPr>
      <w:rFonts w:ascii="Arial" w:hAnsi="Arial" w:eastAsia="Arial" w:cs="Arial"/>
      <w:sz w:val="34"/>
    </w:rPr>
  </w:style>
  <w:style w:type="character" w:styleId="690">
    <w:name w:val="Heading 3 Char"/>
    <w:basedOn w:val="857"/>
    <w:link w:val="903"/>
    <w:uiPriority w:val="9"/>
    <w:rPr>
      <w:rFonts w:ascii="Arial" w:hAnsi="Arial" w:eastAsia="Arial" w:cs="Arial"/>
      <w:sz w:val="30"/>
      <w:szCs w:val="30"/>
    </w:rPr>
  </w:style>
  <w:style w:type="paragraph" w:styleId="691">
    <w:name w:val="Heading 4"/>
    <w:basedOn w:val="852"/>
    <w:next w:val="852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basedOn w:val="857"/>
    <w:link w:val="691"/>
    <w:uiPriority w:val="9"/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52"/>
    <w:next w:val="852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basedOn w:val="857"/>
    <w:link w:val="693"/>
    <w:uiPriority w:val="9"/>
    <w:rPr>
      <w:rFonts w:ascii="Arial" w:hAnsi="Arial" w:eastAsia="Arial" w:cs="Arial"/>
      <w:b/>
      <w:bCs/>
      <w:sz w:val="24"/>
      <w:szCs w:val="24"/>
    </w:rPr>
  </w:style>
  <w:style w:type="character" w:styleId="695">
    <w:name w:val="Heading 6 Char"/>
    <w:basedOn w:val="857"/>
    <w:link w:val="856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52"/>
    <w:next w:val="85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basedOn w:val="857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52"/>
    <w:next w:val="85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basedOn w:val="857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52"/>
    <w:next w:val="85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basedOn w:val="857"/>
    <w:link w:val="700"/>
    <w:uiPriority w:val="9"/>
    <w:rPr>
      <w:rFonts w:ascii="Arial" w:hAnsi="Arial" w:eastAsia="Arial" w:cs="Arial"/>
      <w:i/>
      <w:iCs/>
      <w:sz w:val="21"/>
      <w:szCs w:val="21"/>
    </w:rPr>
  </w:style>
  <w:style w:type="character" w:styleId="702">
    <w:name w:val="Title Char"/>
    <w:basedOn w:val="857"/>
    <w:link w:val="873"/>
    <w:uiPriority w:val="10"/>
    <w:rPr>
      <w:sz w:val="48"/>
      <w:szCs w:val="48"/>
    </w:rPr>
  </w:style>
  <w:style w:type="character" w:styleId="703">
    <w:name w:val="Subtitle Char"/>
    <w:basedOn w:val="857"/>
    <w:link w:val="883"/>
    <w:uiPriority w:val="11"/>
    <w:rPr>
      <w:sz w:val="24"/>
      <w:szCs w:val="24"/>
    </w:rPr>
  </w:style>
  <w:style w:type="paragraph" w:styleId="704">
    <w:name w:val="Quote"/>
    <w:basedOn w:val="852"/>
    <w:next w:val="852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2"/>
    <w:next w:val="852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character" w:styleId="708">
    <w:name w:val="Header Char"/>
    <w:basedOn w:val="857"/>
    <w:link w:val="887"/>
    <w:uiPriority w:val="99"/>
  </w:style>
  <w:style w:type="character" w:styleId="709">
    <w:name w:val="Footer Char"/>
    <w:basedOn w:val="857"/>
    <w:link w:val="888"/>
    <w:uiPriority w:val="99"/>
  </w:style>
  <w:style w:type="paragraph" w:styleId="710">
    <w:name w:val="Caption"/>
    <w:basedOn w:val="852"/>
    <w:next w:val="852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857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Footnote Text Char"/>
    <w:link w:val="891"/>
    <w:uiPriority w:val="99"/>
    <w:rPr>
      <w:sz w:val="18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7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853">
    <w:name w:val="Heading 1"/>
    <w:basedOn w:val="875"/>
    <w:pPr>
      <w:widowControl w:val="off"/>
      <w:outlineLvl w:val="0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854">
    <w:name w:val="Heading 2"/>
    <w:basedOn w:val="875"/>
    <w:pPr>
      <w:widowControl w:val="off"/>
      <w:outlineLvl w:val="1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855">
    <w:name w:val="Heading 3"/>
    <w:basedOn w:val="875"/>
    <w:pPr>
      <w:widowControl w:val="off"/>
      <w:outlineLvl w:val="2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856">
    <w:name w:val="Heading 6"/>
    <w:basedOn w:val="852"/>
    <w:link w:val="865"/>
    <w:qFormat/>
    <w:pPr>
      <w:jc w:val="center"/>
      <w:keepNext/>
      <w:spacing w:after="0" w:line="288" w:lineRule="auto"/>
      <w:outlineLvl w:val="5"/>
    </w:pPr>
    <w:rPr>
      <w:rFonts w:ascii="Arial" w:hAnsi="Arial" w:eastAsia="Times New Roman" w:cs="Times New Roman"/>
      <w:b/>
      <w:spacing w:val="4"/>
      <w:szCs w:val="20"/>
      <w:lang w:eastAsia="ar-SA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Интернет-ссылка"/>
    <w:basedOn w:val="857"/>
    <w:uiPriority w:val="99"/>
    <w:unhideWhenUsed/>
    <w:rPr>
      <w:color w:val="0000ff" w:themeColor="hyperlink"/>
      <w:u w:val="single"/>
    </w:rPr>
  </w:style>
  <w:style w:type="character" w:styleId="861">
    <w:name w:val="FollowedHyperlink"/>
    <w:uiPriority w:val="99"/>
    <w:qFormat/>
    <w:rPr>
      <w:color w:val="800080"/>
      <w:u w:val="single"/>
    </w:rPr>
  </w:style>
  <w:style w:type="character" w:styleId="862" w:customStyle="1">
    <w:name w:val="Текст выноски Знак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styleId="863" w:customStyle="1">
    <w:name w:val="apple-converted-space"/>
    <w:basedOn w:val="857"/>
    <w:uiPriority w:val="99"/>
    <w:qFormat/>
  </w:style>
  <w:style w:type="character" w:styleId="864" w:customStyle="1">
    <w:name w:val="js-phone-number"/>
    <w:basedOn w:val="857"/>
    <w:uiPriority w:val="99"/>
    <w:qFormat/>
  </w:style>
  <w:style w:type="character" w:styleId="865" w:customStyle="1">
    <w:name w:val="Заголовок 6 Знак"/>
    <w:basedOn w:val="857"/>
    <w:link w:val="856"/>
    <w:qFormat/>
    <w:rPr>
      <w:rFonts w:ascii="Arial" w:hAnsi="Arial" w:eastAsia="Times New Roman"/>
      <w:b/>
      <w:spacing w:val="4"/>
      <w:sz w:val="22"/>
      <w:lang w:eastAsia="ar-SA"/>
    </w:rPr>
  </w:style>
  <w:style w:type="character" w:styleId="866" w:customStyle="1">
    <w:name w:val="ListLabel 1"/>
    <w:qFormat/>
    <w:rPr>
      <w:rFonts w:cs="Times New Roman"/>
      <w:b w:val="0"/>
      <w:i w:val="0"/>
      <w:color w:val="00000a"/>
    </w:rPr>
  </w:style>
  <w:style w:type="character" w:styleId="867" w:customStyle="1">
    <w:name w:val="Символ нумерации"/>
    <w:qFormat/>
  </w:style>
  <w:style w:type="character" w:styleId="868" w:customStyle="1">
    <w:name w:val="Верхний колонтитул Знак"/>
    <w:basedOn w:val="857"/>
    <w:uiPriority w:val="99"/>
    <w:qFormat/>
    <w:rPr>
      <w:rFonts w:cs="Calibri"/>
      <w:color w:val="00000a"/>
      <w:sz w:val="22"/>
      <w:szCs w:val="22"/>
      <w:lang w:eastAsia="en-US"/>
    </w:rPr>
  </w:style>
  <w:style w:type="character" w:styleId="869" w:customStyle="1">
    <w:name w:val="Нижний колонтитул Знак"/>
    <w:basedOn w:val="857"/>
    <w:uiPriority w:val="99"/>
    <w:qFormat/>
    <w:rPr>
      <w:rFonts w:cs="Calibri"/>
      <w:color w:val="00000a"/>
      <w:sz w:val="22"/>
      <w:szCs w:val="22"/>
      <w:lang w:eastAsia="en-US"/>
    </w:rPr>
  </w:style>
  <w:style w:type="paragraph" w:styleId="870" w:customStyle="1">
    <w:name w:val="Заголовок"/>
    <w:basedOn w:val="852"/>
    <w:next w:val="871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871">
    <w:name w:val="Body Text"/>
    <w:basedOn w:val="852"/>
    <w:pPr>
      <w:spacing w:after="140" w:line="288" w:lineRule="auto"/>
    </w:pPr>
  </w:style>
  <w:style w:type="paragraph" w:styleId="872">
    <w:name w:val="List"/>
    <w:basedOn w:val="871"/>
    <w:rPr>
      <w:rFonts w:cs="Mangal"/>
    </w:rPr>
  </w:style>
  <w:style w:type="paragraph" w:styleId="873">
    <w:name w:val="Title"/>
    <w:basedOn w:val="852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74">
    <w:name w:val="index heading"/>
    <w:basedOn w:val="852"/>
    <w:qFormat/>
    <w:pPr>
      <w:suppressLineNumbers/>
    </w:pPr>
    <w:rPr>
      <w:rFonts w:cs="Mangal"/>
    </w:rPr>
  </w:style>
  <w:style w:type="paragraph" w:styleId="875" w:customStyle="1">
    <w:name w:val="Заглавие"/>
    <w:basedOn w:val="877"/>
  </w:style>
  <w:style w:type="paragraph" w:styleId="876" w:customStyle="1">
    <w:name w:val="Название1"/>
    <w:basedOn w:val="852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77" w:customStyle="1">
    <w:name w:val="Заголовок1"/>
    <w:basedOn w:val="852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878" w:customStyle="1">
    <w:name w:val="Основной текст 21"/>
    <w:basedOn w:val="852"/>
    <w:uiPriority w:val="99"/>
    <w:qFormat/>
    <w:pPr>
      <w:jc w:val="both"/>
      <w:spacing w:after="0" w:line="240" w:lineRule="auto"/>
      <w:widowControl w:val="off"/>
    </w:pPr>
    <w:rPr>
      <w:rFonts w:ascii="Arial" w:hAnsi="Arial" w:eastAsia="Times New Roman" w:cs="Arial"/>
      <w:sz w:val="18"/>
      <w:szCs w:val="18"/>
      <w:lang w:eastAsia="ru-RU"/>
    </w:rPr>
  </w:style>
  <w:style w:type="paragraph" w:styleId="879">
    <w:name w:val="Balloon Text"/>
    <w:basedOn w:val="852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80">
    <w:name w:val="Normal (Web)"/>
    <w:basedOn w:val="852"/>
    <w:uiPriority w:val="99"/>
    <w:qFormat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styleId="881">
    <w:name w:val="List Paragraph"/>
    <w:basedOn w:val="852"/>
    <w:uiPriority w:val="34"/>
    <w:qFormat/>
    <w:pPr>
      <w:contextualSpacing/>
      <w:ind w:left="720"/>
    </w:pPr>
    <w:rPr>
      <w:rFonts w:cs="Times New Roman"/>
    </w:rPr>
  </w:style>
  <w:style w:type="paragraph" w:styleId="882" w:customStyle="1">
    <w:name w:val="Блочная цитата"/>
    <w:basedOn w:val="852"/>
    <w:qFormat/>
  </w:style>
  <w:style w:type="paragraph" w:styleId="883">
    <w:name w:val="Subtitle"/>
    <w:basedOn w:val="877"/>
  </w:style>
  <w:style w:type="paragraph" w:styleId="884" w:customStyle="1">
    <w:name w:val="Содержимое таблицы"/>
    <w:basedOn w:val="852"/>
    <w:qFormat/>
  </w:style>
  <w:style w:type="paragraph" w:styleId="885" w:customStyle="1">
    <w:name w:val="Заголовок таблицы"/>
    <w:basedOn w:val="884"/>
    <w:qFormat/>
  </w:style>
  <w:style w:type="paragraph" w:styleId="886">
    <w:name w:val="No Spacing"/>
    <w:uiPriority w:val="1"/>
    <w:qFormat/>
    <w:rPr>
      <w:rFonts w:asciiTheme="minorHAnsi" w:hAnsiTheme="minorHAnsi" w:eastAsiaTheme="minorHAnsi" w:cstheme="minorBidi"/>
      <w:color w:val="00000a"/>
      <w:sz w:val="22"/>
      <w:szCs w:val="22"/>
      <w:lang w:eastAsia="en-US"/>
    </w:rPr>
  </w:style>
  <w:style w:type="paragraph" w:styleId="887">
    <w:name w:val="Header"/>
    <w:basedOn w:val="85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888">
    <w:name w:val="Footer"/>
    <w:basedOn w:val="85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table" w:styleId="889">
    <w:name w:val="Table Grid"/>
    <w:basedOn w:val="85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90">
    <w:name w:val="Hyperlink"/>
    <w:basedOn w:val="857"/>
    <w:uiPriority w:val="99"/>
    <w:unhideWhenUsed/>
    <w:rPr>
      <w:color w:val="0000ff" w:themeColor="hyperlink"/>
      <w:u w:val="single"/>
    </w:rPr>
  </w:style>
  <w:style w:type="paragraph" w:styleId="891">
    <w:name w:val="footnote text"/>
    <w:basedOn w:val="852"/>
    <w:link w:val="89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92" w:customStyle="1">
    <w:name w:val="Текст сноски Знак"/>
    <w:basedOn w:val="857"/>
    <w:link w:val="891"/>
    <w:uiPriority w:val="99"/>
    <w:semiHidden/>
    <w:rPr>
      <w:rFonts w:cs="Calibri"/>
      <w:color w:val="00000a"/>
      <w:lang w:eastAsia="en-US"/>
    </w:rPr>
  </w:style>
  <w:style w:type="character" w:styleId="893">
    <w:name w:val="footnote reference"/>
    <w:uiPriority w:val="99"/>
    <w:unhideWhenUsed/>
    <w:rPr>
      <w:vertAlign w:val="superscript"/>
    </w:rPr>
  </w:style>
  <w:style w:type="paragraph" w:styleId="894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Liberation Serif" w:hAnsi="Liberation Serif" w:eastAsia="Droid Sans" w:cs="Droid Sans"/>
      <w:sz w:val="24"/>
      <w:szCs w:val="24"/>
      <w:lang w:eastAsia="zh-CN" w:bidi="hi-IN"/>
    </w:rPr>
  </w:style>
  <w:style w:type="table" w:styleId="895" w:customStyle="1">
    <w:name w:val="Сетка таблицы1"/>
    <w:basedOn w:val="858"/>
    <w:next w:val="889"/>
    <w:uiPriority w:val="3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6" w:customStyle="1">
    <w:name w:val="Сетка таблицы21"/>
    <w:basedOn w:val="858"/>
    <w:next w:val="889"/>
    <w:uiPriority w:val="5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97" w:customStyle="1">
    <w:name w:val="Основной текст Знак1"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98" w:customStyle="1">
    <w:name w:val="ConsPlusNormal Знак"/>
    <w:basedOn w:val="857"/>
    <w:link w:val="899"/>
    <w:rPr>
      <w:rFonts w:ascii="Arial" w:hAnsi="Arial" w:eastAsia="Times New Roman" w:cs="Arial"/>
    </w:rPr>
  </w:style>
  <w:style w:type="paragraph" w:styleId="899" w:customStyle="1">
    <w:name w:val="ConsPlusNormal"/>
    <w:link w:val="898"/>
    <w:pPr>
      <w:ind w:firstLine="720"/>
      <w:widowControl w:val="off"/>
    </w:pPr>
    <w:rPr>
      <w:rFonts w:ascii="Arial" w:hAnsi="Arial" w:eastAsia="Times New Roman" w:cs="Arial"/>
    </w:rPr>
  </w:style>
  <w:style w:type="character" w:styleId="900" w:customStyle="1">
    <w:name w:val="Основной текст (5)_"/>
    <w:link w:val="901"/>
    <w:rPr>
      <w:b/>
      <w:spacing w:val="3"/>
      <w:sz w:val="23"/>
      <w:shd w:val="clear" w:color="auto" w:fill="ffffff"/>
    </w:rPr>
  </w:style>
  <w:style w:type="paragraph" w:styleId="901" w:customStyle="1">
    <w:name w:val="Основной текст (5)"/>
    <w:basedOn w:val="852"/>
    <w:link w:val="900"/>
    <w:pPr>
      <w:ind w:hanging="340"/>
      <w:jc w:val="both"/>
      <w:spacing w:after="0" w:line="274" w:lineRule="exact"/>
      <w:shd w:val="clear" w:color="auto" w:fill="ffffff"/>
      <w:widowControl w:val="off"/>
    </w:pPr>
    <w:rPr>
      <w:rFonts w:cs="Times New Roman"/>
      <w:b/>
      <w:color w:val="auto"/>
      <w:spacing w:val="3"/>
      <w:sz w:val="23"/>
      <w:szCs w:val="20"/>
      <w:lang w:eastAsia="ru-RU"/>
    </w:rPr>
  </w:style>
  <w:style w:type="character" w:styleId="902" w:customStyle="1">
    <w:name w:val="Font Style71"/>
    <w:uiPriority w:val="99"/>
    <w:rPr>
      <w:rFonts w:hint="default" w:ascii="Times New Roman" w:hAnsi="Times New Roman" w:cs="Times New Roman"/>
      <w:sz w:val="20"/>
      <w:szCs w:val="20"/>
    </w:rPr>
  </w:style>
  <w:style w:type="paragraph" w:styleId="903" w:customStyle="1">
    <w:name w:val="Heading 3"/>
    <w:basedOn w:val="852"/>
    <w:pPr>
      <w:jc w:val="both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sz w:val="24"/>
      <w:szCs w:val="24"/>
      <w:lang w:val="en-US" w:eastAsia="zh-CN"/>
    </w:rPr>
  </w:style>
  <w:style w:type="paragraph" w:styleId="904" w:customStyle="1">
    <w:name w:val="Обычный1"/>
    <w:qFormat/>
    <w:pPr>
      <w:ind w:firstLine="720"/>
      <w:jc w:val="both"/>
      <w:spacing w:line="300" w:lineRule="auto"/>
      <w:widowControl w:val="off"/>
    </w:pPr>
    <w:rPr>
      <w:rFonts w:ascii="Times New Roman" w:hAnsi="Times New Roman" w:eastAsia="Times New Roman"/>
      <w:color w:val="00000a"/>
      <w:sz w:val="24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6B854-6164-42A8-833F-9B97819C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GAS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Артем</dc:creator>
  <dc:language>ru-RU</dc:language>
  <cp:lastModifiedBy>u431</cp:lastModifiedBy>
  <cp:revision>6</cp:revision>
  <dcterms:created xsi:type="dcterms:W3CDTF">2026-08-26T14:12:00Z</dcterms:created>
  <dcterms:modified xsi:type="dcterms:W3CDTF">2026-09-01T11:31:41Z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