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9668E6" w14:paraId="19E8644E" w14:textId="77777777" w:rsidTr="001A5D52">
        <w:trPr>
          <w:trHeight w:val="228"/>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1C498EDC" w:rsidR="004419E9" w:rsidRPr="00B3072C" w:rsidRDefault="00C06978" w:rsidP="00D4349F">
            <w:pPr>
              <w:pStyle w:val="2"/>
              <w:spacing w:after="0" w:line="240" w:lineRule="auto"/>
              <w:ind w:left="57"/>
              <w:contextualSpacing/>
              <w:rPr>
                <w:b/>
                <w:bCs/>
                <w:sz w:val="20"/>
                <w:szCs w:val="20"/>
              </w:rPr>
            </w:pPr>
            <w:r w:rsidRPr="006331EA">
              <w:rPr>
                <w:b/>
                <w:bCs/>
                <w:spacing w:val="3"/>
                <w:sz w:val="20"/>
                <w:szCs w:val="20"/>
              </w:rPr>
              <w:t xml:space="preserve">Поставка </w:t>
            </w:r>
            <w:r w:rsidR="00D4349F">
              <w:rPr>
                <w:b/>
                <w:sz w:val="20"/>
                <w:szCs w:val="20"/>
              </w:rPr>
              <w:t>инструмента ручного</w:t>
            </w:r>
            <w:r w:rsidR="00E00001">
              <w:rPr>
                <w:b/>
                <w:sz w:val="20"/>
                <w:szCs w:val="20"/>
              </w:rPr>
              <w:t xml:space="preserve"> в ассортименте</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23630701" w14:textId="77777777" w:rsidR="00375EC9" w:rsidRPr="00980763" w:rsidRDefault="009B018F" w:rsidP="00980763">
            <w:pPr>
              <w:spacing w:after="0" w:line="240" w:lineRule="auto"/>
              <w:jc w:val="both"/>
              <w:rPr>
                <w:rFonts w:ascii="Times New Roman" w:eastAsia="Times New Roman" w:hAnsi="Times New Roman" w:cs="Times New Roman"/>
                <w:sz w:val="20"/>
                <w:szCs w:val="20"/>
              </w:rPr>
            </w:pPr>
            <w:r w:rsidRPr="00980763">
              <w:rPr>
                <w:rFonts w:ascii="Times New Roman" w:hAnsi="Times New Roman" w:cs="Times New Roman"/>
                <w:i/>
                <w:sz w:val="20"/>
                <w:szCs w:val="20"/>
              </w:rPr>
              <w:t xml:space="preserve"> </w:t>
            </w:r>
            <w:r w:rsidR="00BB591A" w:rsidRPr="00980763">
              <w:rPr>
                <w:rFonts w:ascii="Times New Roman" w:hAnsi="Times New Roman" w:cs="Times New Roman"/>
                <w:i/>
                <w:sz w:val="20"/>
                <w:szCs w:val="20"/>
              </w:rPr>
              <w:t xml:space="preserve"> </w:t>
            </w:r>
            <w:r w:rsidR="00375EC9" w:rsidRPr="00980763">
              <w:rPr>
                <w:rFonts w:ascii="Times New Roman" w:eastAsia="Times New Roman" w:hAnsi="Times New Roman" w:cs="Times New Roman"/>
                <w:sz w:val="20"/>
                <w:szCs w:val="20"/>
              </w:rPr>
              <w:t>Метод сопоставимых рыночных цен (анализа рынка) в соответствии с пп.1. п.1. ст. 22 Федерального закона от 05.04.2013 № 44-ФЗ, при этом, поскольку:</w:t>
            </w:r>
          </w:p>
          <w:p w14:paraId="2C8E43B1" w14:textId="47E42672" w:rsidR="00980763" w:rsidRPr="00980763" w:rsidRDefault="00980763" w:rsidP="00980763">
            <w:pPr>
              <w:spacing w:after="0" w:line="240" w:lineRule="auto"/>
              <w:jc w:val="both"/>
              <w:rPr>
                <w:rFonts w:ascii="Times New Roman" w:hAnsi="Times New Roman" w:cs="Times New Roman"/>
                <w:sz w:val="20"/>
                <w:szCs w:val="20"/>
              </w:rPr>
            </w:pPr>
            <w:proofErr w:type="gramStart"/>
            <w:r w:rsidRPr="00980763">
              <w:rPr>
                <w:rFonts w:ascii="Times New Roman" w:eastAsia="Times New Roman" w:hAnsi="Times New Roman" w:cs="Times New Roman"/>
                <w:sz w:val="20"/>
                <w:szCs w:val="20"/>
              </w:rPr>
              <w:t xml:space="preserve">- </w:t>
            </w:r>
            <w:r w:rsidRPr="00980763">
              <w:rPr>
                <w:rFonts w:ascii="Times New Roman" w:hAnsi="Times New Roman" w:cs="Times New Roman"/>
                <w:sz w:val="20"/>
                <w:szCs w:val="20"/>
              </w:rPr>
              <w:t>на закупаем</w:t>
            </w:r>
            <w:r w:rsidR="00D4349F">
              <w:rPr>
                <w:rFonts w:ascii="Times New Roman" w:hAnsi="Times New Roman" w:cs="Times New Roman"/>
                <w:sz w:val="20"/>
                <w:szCs w:val="20"/>
              </w:rPr>
              <w:t>ый</w:t>
            </w:r>
            <w:r w:rsidRPr="00980763">
              <w:rPr>
                <w:rFonts w:ascii="Times New Roman" w:hAnsi="Times New Roman" w:cs="Times New Roman"/>
                <w:sz w:val="20"/>
                <w:szCs w:val="20"/>
              </w:rPr>
              <w:t xml:space="preserve"> Товар  распространяется запрет закупок товаров (в том числе поставляемых при выполнении закупаемых работ, оказании закупаемых услуг)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1 к Постановлению правительства Российской Федерации от 23 декабря 2024 г. N 1875 (далее</w:t>
            </w:r>
            <w:proofErr w:type="gramEnd"/>
            <w:r w:rsidRPr="00980763">
              <w:rPr>
                <w:rFonts w:ascii="Times New Roman" w:hAnsi="Times New Roman" w:cs="Times New Roman"/>
                <w:sz w:val="20"/>
                <w:szCs w:val="20"/>
              </w:rPr>
              <w:t xml:space="preserve"> – </w:t>
            </w:r>
            <w:proofErr w:type="gramStart"/>
            <w:r w:rsidRPr="00980763">
              <w:rPr>
                <w:rFonts w:ascii="Times New Roman" w:hAnsi="Times New Roman" w:cs="Times New Roman"/>
                <w:sz w:val="20"/>
                <w:szCs w:val="20"/>
              </w:rPr>
              <w:t xml:space="preserve">Постановление), при этом производится закупка Товара на условиях неприменения запрета закупки на основании </w:t>
            </w:r>
            <w:proofErr w:type="spellStart"/>
            <w:r w:rsidRPr="00980763">
              <w:rPr>
                <w:rFonts w:ascii="Times New Roman" w:hAnsi="Times New Roman" w:cs="Times New Roman"/>
                <w:sz w:val="20"/>
                <w:szCs w:val="20"/>
              </w:rPr>
              <w:t>пп</w:t>
            </w:r>
            <w:proofErr w:type="spellEnd"/>
            <w:r w:rsidRPr="00980763">
              <w:rPr>
                <w:rFonts w:ascii="Times New Roman" w:hAnsi="Times New Roman" w:cs="Times New Roman"/>
                <w:sz w:val="20"/>
                <w:szCs w:val="20"/>
              </w:rPr>
              <w:t>. з) п.5 Постановления.</w:t>
            </w:r>
            <w:proofErr w:type="gramEnd"/>
          </w:p>
          <w:p w14:paraId="79408C80" w14:textId="6BA65A5A" w:rsidR="00375EC9" w:rsidRPr="00980763" w:rsidRDefault="00375EC9" w:rsidP="00980763">
            <w:pPr>
              <w:pStyle w:val="ConsPlusTitle"/>
              <w:jc w:val="both"/>
              <w:rPr>
                <w:rFonts w:ascii="Times New Roman" w:hAnsi="Times New Roman" w:cs="Times New Roman"/>
                <w:b w:val="0"/>
                <w:sz w:val="20"/>
                <w:szCs w:val="20"/>
              </w:rPr>
            </w:pPr>
            <w:proofErr w:type="gramStart"/>
            <w:r w:rsidRPr="00980763">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980763">
                <w:rPr>
                  <w:rFonts w:ascii="Times New Roman" w:hAnsi="Times New Roman" w:cs="Times New Roman"/>
                  <w:b w:val="0"/>
                  <w:color w:val="0000FF"/>
                  <w:sz w:val="20"/>
                  <w:szCs w:val="20"/>
                </w:rPr>
                <w:t>приложении N 1</w:t>
              </w:r>
            </w:hyperlink>
            <w:r w:rsidRPr="00980763">
              <w:rPr>
                <w:rFonts w:ascii="Times New Roman" w:hAnsi="Times New Roman" w:cs="Times New Roman"/>
                <w:b w:val="0"/>
                <w:sz w:val="20"/>
                <w:szCs w:val="20"/>
              </w:rPr>
              <w:t xml:space="preserve"> к постановлению определены в </w:t>
            </w:r>
            <w:proofErr w:type="spellStart"/>
            <w:r w:rsidRPr="00980763">
              <w:rPr>
                <w:rFonts w:ascii="Times New Roman" w:hAnsi="Times New Roman" w:cs="Times New Roman"/>
                <w:b w:val="0"/>
                <w:sz w:val="20"/>
                <w:szCs w:val="20"/>
              </w:rPr>
              <w:t>пп</w:t>
            </w:r>
            <w:proofErr w:type="spellEnd"/>
            <w:r w:rsidRPr="00980763">
              <w:rPr>
                <w:rFonts w:ascii="Times New Roman" w:hAnsi="Times New Roman" w:cs="Times New Roman"/>
                <w:b w:val="0"/>
                <w:sz w:val="20"/>
                <w:szCs w:val="20"/>
              </w:rPr>
              <w:t>. в) п.7 Постановления;</w:t>
            </w:r>
            <w:proofErr w:type="gramEnd"/>
          </w:p>
          <w:p w14:paraId="3C5B0D07" w14:textId="69BAFA51" w:rsidR="00375EC9" w:rsidRDefault="00B3072C" w:rsidP="00980763">
            <w:pPr>
              <w:pStyle w:val="ConsPlusTitle"/>
              <w:jc w:val="both"/>
              <w:rPr>
                <w:rFonts w:ascii="Times New Roman" w:hAnsi="Times New Roman" w:cs="Times New Roman"/>
                <w:b w:val="0"/>
                <w:sz w:val="20"/>
                <w:szCs w:val="20"/>
              </w:rPr>
            </w:pPr>
            <w:proofErr w:type="gramStart"/>
            <w:r w:rsidRPr="00980763">
              <w:rPr>
                <w:rFonts w:ascii="Times New Roman" w:hAnsi="Times New Roman" w:cs="Times New Roman"/>
                <w:b w:val="0"/>
                <w:sz w:val="20"/>
                <w:szCs w:val="20"/>
              </w:rPr>
              <w:t xml:space="preserve">- осуществляется закупка </w:t>
            </w:r>
            <w:r w:rsidR="00980763">
              <w:rPr>
                <w:rFonts w:ascii="Times New Roman" w:hAnsi="Times New Roman" w:cs="Times New Roman"/>
                <w:b w:val="0"/>
                <w:sz w:val="20"/>
                <w:szCs w:val="20"/>
              </w:rPr>
              <w:t xml:space="preserve">части </w:t>
            </w:r>
            <w:r w:rsidRPr="00980763">
              <w:rPr>
                <w:rFonts w:ascii="Times New Roman" w:hAnsi="Times New Roman" w:cs="Times New Roman"/>
                <w:b w:val="0"/>
                <w:sz w:val="20"/>
                <w:szCs w:val="20"/>
              </w:rPr>
              <w:t xml:space="preserve">товара, где </w:t>
            </w:r>
            <w:r w:rsidR="009B0705" w:rsidRPr="00980763">
              <w:rPr>
                <w:rFonts w:ascii="Times New Roman" w:hAnsi="Times New Roman" w:cs="Times New Roman"/>
                <w:b w:val="0"/>
                <w:sz w:val="20"/>
                <w:szCs w:val="20"/>
              </w:rPr>
              <w:t xml:space="preserve">цена </w:t>
            </w:r>
            <w:r w:rsidRPr="00980763">
              <w:rPr>
                <w:rFonts w:ascii="Times New Roman" w:hAnsi="Times New Roman" w:cs="Times New Roman"/>
                <w:b w:val="0"/>
                <w:sz w:val="20"/>
                <w:szCs w:val="20"/>
              </w:rPr>
              <w:t xml:space="preserve">одной штуки не превышает 5 </w:t>
            </w:r>
            <w:proofErr w:type="spellStart"/>
            <w:r w:rsidRPr="00980763">
              <w:rPr>
                <w:rFonts w:ascii="Times New Roman" w:hAnsi="Times New Roman" w:cs="Times New Roman"/>
                <w:b w:val="0"/>
                <w:sz w:val="20"/>
                <w:szCs w:val="20"/>
              </w:rPr>
              <w:t>т.р</w:t>
            </w:r>
            <w:proofErr w:type="spellEnd"/>
            <w:r w:rsidRPr="00980763">
              <w:rPr>
                <w:rFonts w:ascii="Times New Roman" w:hAnsi="Times New Roman" w:cs="Times New Roman"/>
                <w:b w:val="0"/>
                <w:sz w:val="20"/>
                <w:szCs w:val="20"/>
              </w:rPr>
              <w:t>.</w:t>
            </w:r>
            <w:r w:rsidR="00375EC9" w:rsidRPr="00980763">
              <w:rPr>
                <w:rFonts w:ascii="Times New Roman" w:hAnsi="Times New Roman" w:cs="Times New Roman"/>
                <w:b w:val="0"/>
                <w:sz w:val="20"/>
                <w:szCs w:val="20"/>
              </w:rPr>
              <w:t xml:space="preserve">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w:t>
            </w:r>
            <w:r w:rsidR="009B0705" w:rsidRPr="00980763">
              <w:rPr>
                <w:rFonts w:ascii="Times New Roman" w:hAnsi="Times New Roman" w:cs="Times New Roman"/>
                <w:b w:val="0"/>
                <w:sz w:val="20"/>
                <w:szCs w:val="20"/>
              </w:rPr>
              <w:t xml:space="preserve">не </w:t>
            </w:r>
            <w:r w:rsidR="00375EC9" w:rsidRPr="00980763">
              <w:rPr>
                <w:rFonts w:ascii="Times New Roman" w:hAnsi="Times New Roman" w:cs="Times New Roman"/>
                <w:b w:val="0"/>
                <w:sz w:val="20"/>
                <w:szCs w:val="20"/>
              </w:rPr>
              <w:t xml:space="preserve">превышает </w:t>
            </w:r>
            <w:r w:rsidR="006331EA" w:rsidRPr="00980763">
              <w:rPr>
                <w:rFonts w:ascii="Times New Roman" w:hAnsi="Times New Roman" w:cs="Times New Roman"/>
                <w:b w:val="0"/>
                <w:sz w:val="20"/>
                <w:szCs w:val="20"/>
              </w:rPr>
              <w:t>300</w:t>
            </w:r>
            <w:r w:rsidR="00375EC9" w:rsidRPr="00980763">
              <w:rPr>
                <w:rFonts w:ascii="Times New Roman" w:hAnsi="Times New Roman" w:cs="Times New Roman"/>
                <w:b w:val="0"/>
                <w:sz w:val="20"/>
                <w:szCs w:val="20"/>
              </w:rPr>
              <w:t xml:space="preserve"> тыс. рублей (</w:t>
            </w:r>
            <w:proofErr w:type="spellStart"/>
            <w:r w:rsidR="00375EC9" w:rsidRPr="00980763">
              <w:rPr>
                <w:rFonts w:ascii="Times New Roman" w:hAnsi="Times New Roman" w:cs="Times New Roman"/>
                <w:b w:val="0"/>
                <w:sz w:val="20"/>
                <w:szCs w:val="20"/>
              </w:rPr>
              <w:t>пп</w:t>
            </w:r>
            <w:proofErr w:type="spellEnd"/>
            <w:r w:rsidR="00375EC9" w:rsidRPr="00980763">
              <w:rPr>
                <w:rFonts w:ascii="Times New Roman" w:hAnsi="Times New Roman" w:cs="Times New Roman"/>
                <w:b w:val="0"/>
                <w:sz w:val="20"/>
                <w:szCs w:val="20"/>
              </w:rPr>
              <w:t>. г) п.7 Постановления).</w:t>
            </w:r>
            <w:proofErr w:type="gramEnd"/>
          </w:p>
          <w:p w14:paraId="49DD6F91" w14:textId="77777777" w:rsidR="00375EC9" w:rsidRPr="00980763" w:rsidRDefault="00375EC9" w:rsidP="00980763">
            <w:pPr>
              <w:pStyle w:val="ConsPlusNormal"/>
              <w:jc w:val="both"/>
              <w:rPr>
                <w:rFonts w:ascii="Times New Roman" w:hAnsi="Times New Roman" w:cs="Times New Roman"/>
                <w:b/>
                <w:sz w:val="20"/>
              </w:rPr>
            </w:pPr>
          </w:p>
          <w:p w14:paraId="1A65B14F" w14:textId="29779B2F" w:rsidR="00954E07" w:rsidRPr="00954E07" w:rsidRDefault="00375EC9" w:rsidP="00980763">
            <w:pPr>
              <w:spacing w:after="0" w:line="240" w:lineRule="auto"/>
              <w:jc w:val="both"/>
              <w:rPr>
                <w:rFonts w:ascii="Times New Roman" w:hAnsi="Times New Roman" w:cs="Times New Roman"/>
                <w:b/>
                <w:sz w:val="20"/>
              </w:rPr>
            </w:pPr>
            <w:proofErr w:type="gramStart"/>
            <w:r w:rsidRPr="00375EC9">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60159B">
        <w:trPr>
          <w:trHeight w:val="3822"/>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31A4C5FE" w:rsidR="006F3746" w:rsidRPr="009415CC" w:rsidRDefault="005E310A" w:rsidP="00B971BA">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7812,00</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4C16A1CF" w:rsidR="004419E9" w:rsidRPr="009415CC" w:rsidRDefault="005E310A" w:rsidP="00EA6F99">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10629</w:t>
                  </w:r>
                  <w:r w:rsidR="001F2E80">
                    <w:rPr>
                      <w:rFonts w:ascii="Times New Roman" w:eastAsia="Calibri" w:hAnsi="Times New Roman" w:cs="Times New Roman"/>
                      <w:b/>
                      <w:sz w:val="20"/>
                      <w:szCs w:val="20"/>
                    </w:rPr>
                    <w:t>,00</w:t>
                  </w:r>
                  <w:r w:rsidR="00416D8A"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218CCDB7" w:rsidR="004419E9" w:rsidRPr="009415CC" w:rsidRDefault="005E310A" w:rsidP="001A797B">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11448</w:t>
                  </w:r>
                  <w:r w:rsidR="001F2E80">
                    <w:rPr>
                      <w:rFonts w:ascii="Times New Roman" w:eastAsia="Calibri" w:hAnsi="Times New Roman" w:cs="Times New Roman"/>
                      <w:b/>
                      <w:sz w:val="20"/>
                      <w:szCs w:val="20"/>
                    </w:rPr>
                    <w:t>,00</w:t>
                  </w:r>
                  <w:r w:rsidR="009668E6">
                    <w:rPr>
                      <w:rFonts w:ascii="Times New Roman" w:eastAsia="Calibri" w:hAnsi="Times New Roman" w:cs="Times New Roman"/>
                      <w:b/>
                      <w:sz w:val="20"/>
                      <w:szCs w:val="20"/>
                    </w:rPr>
                    <w:t xml:space="preserve"> </w:t>
                  </w:r>
                  <w:r w:rsidR="00E51CB9">
                    <w:rPr>
                      <w:rFonts w:ascii="Times New Roman" w:eastAsia="Calibri" w:hAnsi="Times New Roman" w:cs="Times New Roman"/>
                      <w:b/>
                      <w:sz w:val="20"/>
                      <w:szCs w:val="20"/>
                    </w:rPr>
                    <w:t>руб</w:t>
                  </w:r>
                  <w:r w:rsidR="00E51CB9"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где V — количество товара, которое заказчик будет закупать;</w:t>
            </w:r>
          </w:p>
          <w:p w14:paraId="711324DB"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n — количество цен, которые заказчик использует в расчете;</w:t>
            </w:r>
          </w:p>
          <w:p w14:paraId="3B127590" w14:textId="1C904621"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9415CC">
              <w:rPr>
                <w:rFonts w:ascii="Times New Roman" w:hAnsi="Times New Roman" w:cs="Times New Roman"/>
                <w:color w:val="222222"/>
                <w:sz w:val="20"/>
                <w:szCs w:val="20"/>
                <w:shd w:val="clear" w:color="auto" w:fill="FFFFFF"/>
              </w:rPr>
              <w:t>Ц</w:t>
            </w:r>
            <w:proofErr w:type="gramStart"/>
            <w:r w:rsidRPr="009415CC">
              <w:rPr>
                <w:rFonts w:ascii="Times New Roman" w:hAnsi="Times New Roman" w:cs="Times New Roman"/>
                <w:color w:val="222222"/>
                <w:sz w:val="20"/>
                <w:szCs w:val="20"/>
                <w:shd w:val="clear" w:color="auto" w:fill="FFFFFF"/>
              </w:rPr>
              <w:t>i</w:t>
            </w:r>
            <w:proofErr w:type="spellEnd"/>
            <w:proofErr w:type="gramEnd"/>
            <w:r w:rsidRPr="009415CC">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861BB6"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9415CC">
              <w:rPr>
                <w:rFonts w:ascii="Times New Roman" w:hAnsi="Times New Roman" w:cs="Times New Roman"/>
                <w:color w:val="222222"/>
                <w:sz w:val="20"/>
                <w:szCs w:val="20"/>
                <w:shd w:val="clear" w:color="auto" w:fill="FFFFFF"/>
                <w:lang w:val="en-US"/>
              </w:rPr>
              <w:t>k</w:t>
            </w:r>
            <w:r w:rsidRPr="009415CC">
              <w:rPr>
                <w:rFonts w:ascii="Times New Roman" w:hAnsi="Times New Roman" w:cs="Times New Roman"/>
                <w:color w:val="222222"/>
                <w:sz w:val="20"/>
                <w:szCs w:val="20"/>
                <w:shd w:val="clear" w:color="auto" w:fill="FFFFFF"/>
              </w:rPr>
              <w:t xml:space="preserve">- </w:t>
            </w:r>
            <w:proofErr w:type="gramStart"/>
            <w:r w:rsidRPr="009415CC">
              <w:rPr>
                <w:rFonts w:ascii="Times New Roman" w:hAnsi="Times New Roman" w:cs="Times New Roman"/>
                <w:color w:val="222222"/>
                <w:sz w:val="20"/>
                <w:szCs w:val="20"/>
                <w:shd w:val="clear" w:color="auto" w:fill="FFFFFF"/>
              </w:rPr>
              <w:t>корректирующий</w:t>
            </w:r>
            <w:proofErr w:type="gramEnd"/>
            <w:r w:rsidRPr="009415CC">
              <w:rPr>
                <w:rFonts w:ascii="Times New Roman" w:hAnsi="Times New Roman" w:cs="Times New Roman"/>
                <w:color w:val="222222"/>
                <w:sz w:val="20"/>
                <w:szCs w:val="20"/>
                <w:shd w:val="clear" w:color="auto" w:fill="FFFFFF"/>
              </w:rPr>
              <w:t xml:space="preserve"> </w:t>
            </w:r>
            <w:r w:rsidRPr="00861BB6">
              <w:rPr>
                <w:rFonts w:ascii="Times New Roman" w:hAnsi="Times New Roman" w:cs="Times New Roman"/>
                <w:color w:val="222222"/>
                <w:sz w:val="20"/>
                <w:szCs w:val="20"/>
                <w:shd w:val="clear" w:color="auto" w:fill="FFFFFF"/>
              </w:rPr>
              <w:t>коэффициент.</w:t>
            </w:r>
          </w:p>
          <w:p w14:paraId="1226391A" w14:textId="6DFF2914" w:rsidR="00E51CB9" w:rsidRPr="00861BB6" w:rsidRDefault="00B941F4" w:rsidP="00E51CB9">
            <w:pPr>
              <w:autoSpaceDE w:val="0"/>
              <w:autoSpaceDN w:val="0"/>
              <w:spacing w:after="0"/>
              <w:ind w:firstLine="113"/>
              <w:jc w:val="both"/>
              <w:rPr>
                <w:rFonts w:ascii="Times New Roman" w:hAnsi="Times New Roman" w:cs="Times New Roman"/>
                <w:color w:val="000000"/>
                <w:sz w:val="20"/>
                <w:szCs w:val="20"/>
              </w:rPr>
            </w:pPr>
            <w:proofErr w:type="spellStart"/>
            <w:r w:rsidRPr="00861BB6">
              <w:rPr>
                <w:rFonts w:ascii="Times New Roman" w:hAnsi="Times New Roman" w:cs="Times New Roman"/>
                <w:b/>
                <w:bCs/>
                <w:i/>
                <w:sz w:val="20"/>
                <w:szCs w:val="20"/>
              </w:rPr>
              <w:t>НМЦК</w:t>
            </w:r>
            <w:r w:rsidRPr="00861BB6">
              <w:rPr>
                <w:rFonts w:ascii="Times New Roman" w:hAnsi="Times New Roman" w:cs="Times New Roman"/>
                <w:b/>
                <w:bCs/>
                <w:i/>
                <w:sz w:val="20"/>
                <w:szCs w:val="20"/>
                <w:vertAlign w:val="superscript"/>
              </w:rPr>
              <w:t>рын</w:t>
            </w:r>
            <w:proofErr w:type="spellEnd"/>
            <w:r w:rsidR="004B26BB" w:rsidRPr="00861BB6">
              <w:rPr>
                <w:rFonts w:ascii="Times New Roman" w:hAnsi="Times New Roman" w:cs="Times New Roman"/>
                <w:b/>
                <w:bCs/>
                <w:i/>
                <w:sz w:val="20"/>
                <w:szCs w:val="20"/>
                <w:vertAlign w:val="superscript"/>
              </w:rPr>
              <w:t xml:space="preserve">  </w:t>
            </w:r>
            <w:r w:rsidR="004419E9" w:rsidRPr="00861BB6">
              <w:rPr>
                <w:rFonts w:ascii="Times New Roman" w:hAnsi="Times New Roman" w:cs="Times New Roman"/>
                <w:b/>
                <w:i/>
                <w:sz w:val="20"/>
                <w:szCs w:val="20"/>
              </w:rPr>
              <w:t xml:space="preserve">= </w:t>
            </w:r>
            <w:r w:rsidR="004419E9" w:rsidRPr="00861BB6">
              <w:rPr>
                <w:rFonts w:ascii="Times New Roman" w:hAnsi="Times New Roman" w:cs="Times New Roman"/>
                <w:b/>
                <w:sz w:val="20"/>
                <w:szCs w:val="20"/>
              </w:rPr>
              <w:t>1/3*</w:t>
            </w:r>
            <w:r w:rsidR="006F3746" w:rsidRPr="00861BB6">
              <w:rPr>
                <w:rFonts w:ascii="Times New Roman" w:hAnsi="Times New Roman" w:cs="Times New Roman"/>
                <w:b/>
                <w:sz w:val="20"/>
                <w:szCs w:val="20"/>
              </w:rPr>
              <w:t xml:space="preserve"> </w:t>
            </w:r>
            <w:r w:rsidR="00D31DBA" w:rsidRPr="00861BB6">
              <w:rPr>
                <w:rFonts w:ascii="Times New Roman" w:hAnsi="Times New Roman" w:cs="Times New Roman"/>
                <w:b/>
                <w:sz w:val="20"/>
                <w:szCs w:val="20"/>
              </w:rPr>
              <w:t>(</w:t>
            </w:r>
            <w:r w:rsidR="00F12C58" w:rsidRPr="00861BB6">
              <w:rPr>
                <w:rFonts w:ascii="Times New Roman" w:eastAsia="Calibri" w:hAnsi="Times New Roman" w:cs="Times New Roman"/>
                <w:b/>
                <w:sz w:val="20"/>
                <w:szCs w:val="20"/>
              </w:rPr>
              <w:t>КП</w:t>
            </w:r>
            <w:proofErr w:type="gramStart"/>
            <w:r w:rsidR="00F12C58" w:rsidRPr="00861BB6">
              <w:rPr>
                <w:rFonts w:ascii="Times New Roman" w:eastAsia="Calibri" w:hAnsi="Times New Roman" w:cs="Times New Roman"/>
                <w:b/>
                <w:sz w:val="20"/>
                <w:szCs w:val="20"/>
              </w:rPr>
              <w:t>1</w:t>
            </w:r>
            <w:proofErr w:type="gramEnd"/>
            <w:r w:rsidR="00E51CB9" w:rsidRPr="00861BB6">
              <w:rPr>
                <w:rFonts w:ascii="Times New Roman" w:eastAsia="Calibri" w:hAnsi="Times New Roman" w:cs="Times New Roman"/>
                <w:b/>
                <w:sz w:val="20"/>
                <w:szCs w:val="20"/>
              </w:rPr>
              <w:t xml:space="preserve"> </w:t>
            </w:r>
            <w:r w:rsidR="004B4474" w:rsidRPr="00861BB6">
              <w:rPr>
                <w:rFonts w:ascii="Times New Roman" w:eastAsia="Calibri" w:hAnsi="Times New Roman" w:cs="Times New Roman"/>
                <w:b/>
                <w:sz w:val="20"/>
                <w:szCs w:val="20"/>
              </w:rPr>
              <w:t>+</w:t>
            </w:r>
            <w:r w:rsidR="006F21B3" w:rsidRPr="00861BB6">
              <w:rPr>
                <w:rFonts w:ascii="Times New Roman" w:eastAsia="Calibri" w:hAnsi="Times New Roman" w:cs="Times New Roman"/>
                <w:b/>
                <w:sz w:val="20"/>
                <w:szCs w:val="20"/>
              </w:rPr>
              <w:t xml:space="preserve"> </w:t>
            </w:r>
            <w:r w:rsidR="00F12C58" w:rsidRPr="00861BB6">
              <w:rPr>
                <w:rFonts w:ascii="Times New Roman" w:eastAsia="Calibri" w:hAnsi="Times New Roman" w:cs="Times New Roman"/>
                <w:b/>
                <w:sz w:val="20"/>
                <w:szCs w:val="20"/>
              </w:rPr>
              <w:t>КП2</w:t>
            </w:r>
            <w:r w:rsidR="00E51CB9" w:rsidRPr="00861BB6">
              <w:rPr>
                <w:rFonts w:ascii="Times New Roman" w:eastAsia="Calibri" w:hAnsi="Times New Roman" w:cs="Times New Roman"/>
                <w:b/>
                <w:sz w:val="20"/>
                <w:szCs w:val="20"/>
              </w:rPr>
              <w:t xml:space="preserve"> </w:t>
            </w:r>
            <w:r w:rsidR="006F3746" w:rsidRPr="00861BB6">
              <w:rPr>
                <w:rFonts w:ascii="Times New Roman" w:hAnsi="Times New Roman" w:cs="Times New Roman"/>
                <w:b/>
                <w:sz w:val="20"/>
                <w:szCs w:val="20"/>
              </w:rPr>
              <w:t>+</w:t>
            </w:r>
            <w:r w:rsidR="00950D85" w:rsidRPr="00861BB6">
              <w:rPr>
                <w:rFonts w:ascii="Times New Roman" w:eastAsia="Calibri" w:hAnsi="Times New Roman" w:cs="Times New Roman"/>
                <w:b/>
                <w:sz w:val="20"/>
                <w:szCs w:val="20"/>
              </w:rPr>
              <w:t xml:space="preserve"> </w:t>
            </w:r>
            <w:r w:rsidR="00BF6E89" w:rsidRPr="00861BB6">
              <w:rPr>
                <w:rFonts w:ascii="Times New Roman" w:eastAsia="Calibri" w:hAnsi="Times New Roman" w:cs="Times New Roman"/>
                <w:b/>
                <w:sz w:val="20"/>
                <w:szCs w:val="20"/>
              </w:rPr>
              <w:t xml:space="preserve"> </w:t>
            </w:r>
            <w:r w:rsidR="00F12C58" w:rsidRPr="00861BB6">
              <w:rPr>
                <w:rFonts w:ascii="Times New Roman" w:eastAsia="Calibri" w:hAnsi="Times New Roman" w:cs="Times New Roman"/>
                <w:b/>
                <w:sz w:val="20"/>
                <w:szCs w:val="20"/>
              </w:rPr>
              <w:t>КП3</w:t>
            </w:r>
            <w:r w:rsidR="00E51CB9" w:rsidRPr="00861BB6">
              <w:rPr>
                <w:rFonts w:ascii="Times New Roman" w:eastAsia="Calibri" w:hAnsi="Times New Roman" w:cs="Times New Roman"/>
                <w:b/>
                <w:sz w:val="20"/>
                <w:szCs w:val="20"/>
              </w:rPr>
              <w:t xml:space="preserve">)  </w:t>
            </w:r>
            <w:r w:rsidR="004419E9" w:rsidRPr="00861BB6">
              <w:rPr>
                <w:rFonts w:ascii="Times New Roman" w:hAnsi="Times New Roman" w:cs="Times New Roman"/>
                <w:b/>
                <w:sz w:val="20"/>
                <w:szCs w:val="20"/>
              </w:rPr>
              <w:t>=</w:t>
            </w:r>
            <w:r w:rsidR="0061008D" w:rsidRPr="00861BB6">
              <w:rPr>
                <w:rFonts w:ascii="Times New Roman" w:hAnsi="Times New Roman" w:cs="Times New Roman"/>
                <w:b/>
                <w:sz w:val="20"/>
                <w:szCs w:val="20"/>
              </w:rPr>
              <w:t xml:space="preserve"> </w:t>
            </w:r>
            <w:r w:rsidR="007A2FD7">
              <w:rPr>
                <w:rFonts w:ascii="Times New Roman" w:hAnsi="Times New Roman" w:cs="Times New Roman"/>
                <w:b/>
                <w:color w:val="000000"/>
                <w:sz w:val="20"/>
                <w:szCs w:val="20"/>
                <w:shd w:val="clear" w:color="auto" w:fill="FFFFFF"/>
              </w:rPr>
              <w:t xml:space="preserve">9963 </w:t>
            </w:r>
            <w:r w:rsidR="00E51CB9" w:rsidRPr="00861BB6">
              <w:rPr>
                <w:rFonts w:ascii="Times New Roman" w:hAnsi="Times New Roman" w:cs="Times New Roman"/>
                <w:b/>
                <w:color w:val="000000"/>
                <w:sz w:val="20"/>
                <w:szCs w:val="20"/>
              </w:rPr>
              <w:t xml:space="preserve">руб. </w:t>
            </w:r>
            <w:r w:rsidR="007A2FD7">
              <w:rPr>
                <w:rFonts w:ascii="Times New Roman" w:hAnsi="Times New Roman" w:cs="Times New Roman"/>
                <w:b/>
                <w:color w:val="000000"/>
                <w:sz w:val="20"/>
                <w:szCs w:val="20"/>
              </w:rPr>
              <w:t>0</w:t>
            </w:r>
            <w:bookmarkStart w:id="0" w:name="_GoBack"/>
            <w:bookmarkEnd w:id="0"/>
            <w:r w:rsidR="005E310A">
              <w:rPr>
                <w:rFonts w:ascii="Times New Roman" w:hAnsi="Times New Roman" w:cs="Times New Roman"/>
                <w:b/>
                <w:color w:val="000000"/>
                <w:sz w:val="20"/>
                <w:szCs w:val="20"/>
              </w:rPr>
              <w:t>0</w:t>
            </w:r>
            <w:r w:rsidR="00E51CB9" w:rsidRPr="00861BB6">
              <w:rPr>
                <w:rFonts w:ascii="Times New Roman" w:hAnsi="Times New Roman" w:cs="Times New Roman"/>
                <w:b/>
                <w:color w:val="000000"/>
                <w:sz w:val="20"/>
                <w:szCs w:val="20"/>
              </w:rPr>
              <w:t xml:space="preserve"> коп.</w:t>
            </w:r>
            <w:r w:rsidR="00785D73" w:rsidRPr="00861BB6">
              <w:rPr>
                <w:rFonts w:ascii="Times New Roman" w:hAnsi="Times New Roman" w:cs="Times New Roman"/>
                <w:b/>
                <w:color w:val="000000"/>
                <w:sz w:val="20"/>
                <w:szCs w:val="20"/>
              </w:rPr>
              <w:t xml:space="preserve"> </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9415CC">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&lt;ц&gt; - средняя арифметическая величина цены единицы товара, работы, услуги;</w:t>
            </w:r>
          </w:p>
          <w:p w14:paraId="6F28D6CA" w14:textId="3E80ED29" w:rsidR="00C874A3" w:rsidRPr="007A2FD7"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Сов</w:t>
            </w:r>
            <w:r w:rsidRPr="008C4B97">
              <w:rPr>
                <w:rFonts w:ascii="Times New Roman" w:hAnsi="Times New Roman" w:cs="Times New Roman"/>
                <w:sz w:val="20"/>
              </w:rPr>
              <w:t xml:space="preserve">окупность значений, используемых в расчете, при определении </w:t>
            </w:r>
            <w:proofErr w:type="spellStart"/>
            <w:r w:rsidR="00266AA4" w:rsidRPr="008C4B97">
              <w:rPr>
                <w:rFonts w:ascii="Times New Roman" w:hAnsi="Times New Roman" w:cs="Times New Roman"/>
                <w:bCs/>
                <w:i/>
                <w:sz w:val="20"/>
              </w:rPr>
              <w:t>НМЦК</w:t>
            </w:r>
            <w:r w:rsidR="00266AA4" w:rsidRPr="008C4B97">
              <w:rPr>
                <w:rFonts w:ascii="Times New Roman" w:hAnsi="Times New Roman" w:cs="Times New Roman"/>
                <w:bCs/>
                <w:i/>
                <w:sz w:val="20"/>
                <w:vertAlign w:val="superscript"/>
              </w:rPr>
              <w:t>рын</w:t>
            </w:r>
            <w:proofErr w:type="spellEnd"/>
            <w:r w:rsidR="00266AA4" w:rsidRPr="008C4B97">
              <w:rPr>
                <w:rFonts w:ascii="Times New Roman" w:hAnsi="Times New Roman" w:cs="Times New Roman"/>
                <w:bCs/>
                <w:i/>
                <w:sz w:val="20"/>
                <w:vertAlign w:val="superscript"/>
              </w:rPr>
              <w:t xml:space="preserve">  </w:t>
            </w:r>
            <w:r w:rsidRPr="007A2FD7">
              <w:rPr>
                <w:rFonts w:ascii="Times New Roman" w:hAnsi="Times New Roman" w:cs="Times New Roman"/>
                <w:sz w:val="20"/>
              </w:rPr>
              <w:t xml:space="preserve">считается неоднородной, если коэффициент вариации цены превышает 33%. </w:t>
            </w:r>
          </w:p>
          <w:p w14:paraId="5AF577DB" w14:textId="0BD671F9" w:rsidR="008C4B97" w:rsidRPr="007A2FD7" w:rsidRDefault="00C874A3" w:rsidP="008C4B97">
            <w:pPr>
              <w:autoSpaceDE w:val="0"/>
              <w:autoSpaceDN w:val="0"/>
              <w:spacing w:after="0"/>
              <w:ind w:firstLine="113"/>
              <w:rPr>
                <w:rFonts w:ascii="Times New Roman" w:hAnsi="Times New Roman" w:cs="Times New Roman"/>
                <w:color w:val="000000"/>
                <w:sz w:val="20"/>
                <w:szCs w:val="20"/>
              </w:rPr>
            </w:pPr>
            <w:r w:rsidRPr="007A2FD7">
              <w:rPr>
                <w:rFonts w:ascii="Times New Roman" w:hAnsi="Times New Roman" w:cs="Times New Roman"/>
                <w:sz w:val="20"/>
                <w:szCs w:val="20"/>
                <w:shd w:val="clear" w:color="auto" w:fill="FFFFFF"/>
              </w:rPr>
              <w:t xml:space="preserve">σ  = </w:t>
            </w:r>
            <w:r w:rsidR="004F5979" w:rsidRPr="007A2FD7">
              <w:rPr>
                <w:rFonts w:ascii="Times New Roman" w:hAnsi="Times New Roman" w:cs="Times New Roman"/>
                <w:sz w:val="20"/>
                <w:szCs w:val="20"/>
                <w:shd w:val="clear" w:color="auto" w:fill="FFFFFF"/>
              </w:rPr>
              <w:t xml:space="preserve"> </w:t>
            </w:r>
            <w:r w:rsidR="007A2FD7" w:rsidRPr="007A2FD7">
              <w:rPr>
                <w:rFonts w:ascii="Times New Roman" w:hAnsi="Times New Roman" w:cs="Times New Roman"/>
                <w:color w:val="000000"/>
                <w:sz w:val="20"/>
                <w:szCs w:val="20"/>
                <w:shd w:val="clear" w:color="auto" w:fill="FFFFFF"/>
              </w:rPr>
              <w:t>1 907,2994</w:t>
            </w:r>
          </w:p>
          <w:p w14:paraId="0D5CEF65" w14:textId="429F6915" w:rsidR="005D6015" w:rsidRPr="008C4B97" w:rsidRDefault="005D6015" w:rsidP="00827884">
            <w:pPr>
              <w:autoSpaceDE w:val="0"/>
              <w:autoSpaceDN w:val="0"/>
              <w:spacing w:after="0"/>
              <w:ind w:firstLine="113"/>
              <w:rPr>
                <w:rFonts w:ascii="Times New Roman" w:hAnsi="Times New Roman" w:cs="Times New Roman"/>
                <w:sz w:val="20"/>
                <w:szCs w:val="20"/>
              </w:rPr>
            </w:pPr>
            <w:r w:rsidRPr="005E310A">
              <w:rPr>
                <w:rFonts w:ascii="Times New Roman" w:hAnsi="Times New Roman" w:cs="Times New Roman"/>
                <w:sz w:val="20"/>
                <w:szCs w:val="20"/>
                <w:lang w:val="en-US"/>
              </w:rPr>
              <w:t>V</w:t>
            </w:r>
            <w:r w:rsidRPr="005E310A">
              <w:rPr>
                <w:rFonts w:ascii="Times New Roman" w:hAnsi="Times New Roman" w:cs="Times New Roman"/>
                <w:sz w:val="20"/>
                <w:szCs w:val="20"/>
              </w:rPr>
              <w:t>=</w:t>
            </w:r>
            <w:r w:rsidR="001F2E80" w:rsidRPr="005E310A">
              <w:rPr>
                <w:rFonts w:ascii="Times New Roman" w:hAnsi="Times New Roman" w:cs="Times New Roman"/>
                <w:sz w:val="20"/>
                <w:szCs w:val="20"/>
              </w:rPr>
              <w:t xml:space="preserve"> </w:t>
            </w:r>
            <w:r w:rsidR="007A2FD7">
              <w:rPr>
                <w:rFonts w:ascii="Times New Roman" w:hAnsi="Times New Roman" w:cs="Times New Roman"/>
                <w:sz w:val="20"/>
                <w:szCs w:val="20"/>
              </w:rPr>
              <w:t>19,14</w:t>
            </w:r>
            <w:r w:rsidR="00BF6E89" w:rsidRPr="008C4B97">
              <w:rPr>
                <w:rFonts w:ascii="Times New Roman" w:hAnsi="Times New Roman" w:cs="Times New Roman"/>
                <w:sz w:val="20"/>
                <w:szCs w:val="20"/>
              </w:rPr>
              <w:t xml:space="preserve"> </w:t>
            </w:r>
            <w:r w:rsidRPr="008C4B97">
              <w:rPr>
                <w:rFonts w:ascii="Times New Roman" w:hAnsi="Times New Roman" w:cs="Times New Roman"/>
                <w:sz w:val="20"/>
                <w:szCs w:val="20"/>
              </w:rPr>
              <w:t xml:space="preserve">%, </w:t>
            </w:r>
          </w:p>
          <w:p w14:paraId="0C80C208" w14:textId="53ACA232" w:rsidR="00C874A3" w:rsidRPr="008C4B97" w:rsidRDefault="005D6015" w:rsidP="005D6015">
            <w:pPr>
              <w:autoSpaceDE w:val="0"/>
              <w:autoSpaceDN w:val="0"/>
              <w:spacing w:after="0"/>
              <w:ind w:firstLine="113"/>
              <w:jc w:val="both"/>
              <w:rPr>
                <w:rFonts w:ascii="Times New Roman" w:hAnsi="Times New Roman" w:cs="Times New Roman"/>
                <w:sz w:val="20"/>
                <w:szCs w:val="20"/>
              </w:rPr>
            </w:pPr>
            <w:r w:rsidRPr="008C4B97">
              <w:rPr>
                <w:rFonts w:ascii="Times New Roman" w:hAnsi="Times New Roman" w:cs="Times New Roman"/>
                <w:sz w:val="20"/>
                <w:szCs w:val="20"/>
              </w:rPr>
              <w:lastRenderedPageBreak/>
              <w:t xml:space="preserve">Совокупность значений, используемых в расчете, при определении </w:t>
            </w:r>
            <w:proofErr w:type="spellStart"/>
            <w:r w:rsidR="00B941F4" w:rsidRPr="008C4B97">
              <w:rPr>
                <w:rFonts w:ascii="Times New Roman" w:hAnsi="Times New Roman" w:cs="Times New Roman"/>
                <w:bCs/>
                <w:i/>
                <w:sz w:val="20"/>
                <w:szCs w:val="20"/>
              </w:rPr>
              <w:t>НМЦК</w:t>
            </w:r>
            <w:r w:rsidR="00B941F4" w:rsidRPr="008C4B97">
              <w:rPr>
                <w:rFonts w:ascii="Times New Roman" w:hAnsi="Times New Roman" w:cs="Times New Roman"/>
                <w:bCs/>
                <w:i/>
                <w:sz w:val="20"/>
                <w:szCs w:val="20"/>
                <w:vertAlign w:val="superscript"/>
              </w:rPr>
              <w:t>рын</w:t>
            </w:r>
            <w:proofErr w:type="spellEnd"/>
            <w:r w:rsidR="00B941F4" w:rsidRPr="008C4B97">
              <w:rPr>
                <w:rFonts w:ascii="Times New Roman" w:hAnsi="Times New Roman" w:cs="Times New Roman"/>
                <w:sz w:val="20"/>
                <w:szCs w:val="20"/>
              </w:rPr>
              <w:t xml:space="preserve"> </w:t>
            </w:r>
            <w:r w:rsidRPr="008C4B97">
              <w:rPr>
                <w:rFonts w:ascii="Times New Roman" w:hAnsi="Times New Roman" w:cs="Times New Roman"/>
                <w:sz w:val="20"/>
                <w:szCs w:val="20"/>
              </w:rPr>
              <w:t>считается однородной</w:t>
            </w:r>
            <w:r w:rsidR="00AA2C3F" w:rsidRPr="008C4B97">
              <w:rPr>
                <w:rFonts w:ascii="Times New Roman" w:hAnsi="Times New Roman" w:cs="Times New Roman"/>
                <w:sz w:val="20"/>
                <w:szCs w:val="20"/>
              </w:rPr>
              <w:t>.</w:t>
            </w:r>
          </w:p>
          <w:p w14:paraId="17825798" w14:textId="77777777" w:rsidR="00F12C58" w:rsidRPr="009415CC" w:rsidRDefault="00F12C58" w:rsidP="005D6015">
            <w:pPr>
              <w:autoSpaceDE w:val="0"/>
              <w:autoSpaceDN w:val="0"/>
              <w:spacing w:after="0"/>
              <w:ind w:firstLine="113"/>
              <w:jc w:val="both"/>
              <w:rPr>
                <w:rFonts w:ascii="Times New Roman" w:hAnsi="Times New Roman" w:cs="Times New Roman"/>
                <w:b/>
                <w:sz w:val="20"/>
                <w:szCs w:val="20"/>
                <w:u w:val="single"/>
              </w:rPr>
            </w:pPr>
          </w:p>
          <w:p w14:paraId="2425EABC" w14:textId="77777777" w:rsidR="004419E9" w:rsidRDefault="006E6BB9" w:rsidP="00E51CB9">
            <w:pPr>
              <w:autoSpaceDE w:val="0"/>
              <w:autoSpaceDN w:val="0"/>
              <w:spacing w:after="0"/>
              <w:ind w:firstLine="113"/>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r w:rsidR="00827884" w:rsidRPr="009415CC">
              <w:rPr>
                <w:rFonts w:ascii="Times New Roman" w:eastAsia="Times New Roman" w:hAnsi="Times New Roman" w:cs="Times New Roman"/>
                <w:sz w:val="20"/>
                <w:szCs w:val="20"/>
              </w:rPr>
              <w:t>.</w:t>
            </w:r>
          </w:p>
          <w:p w14:paraId="179AFF4B" w14:textId="77777777" w:rsidR="008C4B97" w:rsidRDefault="008C4B97" w:rsidP="008C4B97">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406C58E4" w14:textId="77777777" w:rsidR="008C4B97" w:rsidRDefault="008C4B97" w:rsidP="00E51CB9">
            <w:pPr>
              <w:autoSpaceDE w:val="0"/>
              <w:autoSpaceDN w:val="0"/>
              <w:spacing w:after="0"/>
              <w:ind w:firstLine="113"/>
              <w:rPr>
                <w:rFonts w:ascii="Times New Roman" w:eastAsia="Times New Roman" w:hAnsi="Times New Roman" w:cs="Times New Roman"/>
                <w:sz w:val="20"/>
                <w:szCs w:val="20"/>
              </w:rPr>
            </w:pPr>
          </w:p>
          <w:p w14:paraId="129B29AF" w14:textId="4F6EAD85" w:rsidR="00FB766D" w:rsidRDefault="00785D73"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образом, </w:t>
            </w:r>
            <w:r w:rsidR="00FB766D">
              <w:rPr>
                <w:rFonts w:ascii="Times New Roman" w:eastAsia="Times New Roman" w:hAnsi="Times New Roman" w:cs="Times New Roman"/>
                <w:sz w:val="20"/>
                <w:szCs w:val="20"/>
              </w:rPr>
              <w:t>НМЦК:</w:t>
            </w:r>
          </w:p>
          <w:tbl>
            <w:tblPr>
              <w:tblStyle w:val="a6"/>
              <w:tblW w:w="0" w:type="auto"/>
              <w:tblInd w:w="0" w:type="dxa"/>
              <w:tblLayout w:type="fixed"/>
              <w:tblLook w:val="04A0" w:firstRow="1" w:lastRow="0" w:firstColumn="1" w:lastColumn="0" w:noHBand="0" w:noVBand="1"/>
            </w:tblPr>
            <w:tblGrid>
              <w:gridCol w:w="460"/>
              <w:gridCol w:w="2376"/>
              <w:gridCol w:w="1043"/>
              <w:gridCol w:w="850"/>
              <w:gridCol w:w="1418"/>
              <w:gridCol w:w="1559"/>
            </w:tblGrid>
            <w:tr w:rsidR="005E310A" w:rsidRPr="005E310A" w14:paraId="3CD7BFCE" w14:textId="1D30EB51" w:rsidTr="005E310A">
              <w:tc>
                <w:tcPr>
                  <w:tcW w:w="460" w:type="dxa"/>
                </w:tcPr>
                <w:p w14:paraId="2EEC0937" w14:textId="77777777" w:rsidR="005E310A" w:rsidRPr="005E310A" w:rsidRDefault="005E310A" w:rsidP="003967A3">
                  <w:pPr>
                    <w:rPr>
                      <w:rFonts w:ascii="Times New Roman" w:hAnsi="Times New Roman" w:cs="Times New Roman"/>
                      <w:sz w:val="20"/>
                      <w:szCs w:val="20"/>
                    </w:rPr>
                  </w:pPr>
                </w:p>
              </w:tc>
              <w:tc>
                <w:tcPr>
                  <w:tcW w:w="2376" w:type="dxa"/>
                </w:tcPr>
                <w:p w14:paraId="302A6147" w14:textId="77777777" w:rsidR="005E310A" w:rsidRPr="005E310A" w:rsidRDefault="005E310A" w:rsidP="003967A3">
                  <w:pPr>
                    <w:rPr>
                      <w:rFonts w:ascii="Times New Roman" w:hAnsi="Times New Roman" w:cs="Times New Roman"/>
                      <w:sz w:val="20"/>
                      <w:szCs w:val="20"/>
                    </w:rPr>
                  </w:pPr>
                  <w:r w:rsidRPr="005E310A">
                    <w:rPr>
                      <w:rFonts w:ascii="Times New Roman" w:hAnsi="Times New Roman" w:cs="Times New Roman"/>
                      <w:sz w:val="20"/>
                      <w:szCs w:val="20"/>
                    </w:rPr>
                    <w:t xml:space="preserve">          Наименование</w:t>
                  </w:r>
                </w:p>
              </w:tc>
              <w:tc>
                <w:tcPr>
                  <w:tcW w:w="1043" w:type="dxa"/>
                </w:tcPr>
                <w:p w14:paraId="13E8CF2E" w14:textId="0E76718C" w:rsidR="005E310A" w:rsidRPr="005E310A" w:rsidRDefault="005E310A" w:rsidP="003967A3">
                  <w:pPr>
                    <w:rPr>
                      <w:rFonts w:ascii="Times New Roman" w:hAnsi="Times New Roman" w:cs="Times New Roman"/>
                      <w:sz w:val="20"/>
                      <w:szCs w:val="20"/>
                    </w:rPr>
                  </w:pPr>
                  <w:r>
                    <w:rPr>
                      <w:rFonts w:ascii="Times New Roman" w:hAnsi="Times New Roman" w:cs="Times New Roman"/>
                      <w:sz w:val="20"/>
                      <w:szCs w:val="20"/>
                    </w:rPr>
                    <w:t>Ед. изм.</w:t>
                  </w:r>
                </w:p>
              </w:tc>
              <w:tc>
                <w:tcPr>
                  <w:tcW w:w="850" w:type="dxa"/>
                </w:tcPr>
                <w:p w14:paraId="69AA1440" w14:textId="33412460" w:rsidR="005E310A" w:rsidRPr="005E310A" w:rsidRDefault="005E310A" w:rsidP="005E310A">
                  <w:pPr>
                    <w:rPr>
                      <w:rFonts w:ascii="Times New Roman" w:hAnsi="Times New Roman" w:cs="Times New Roman"/>
                      <w:sz w:val="20"/>
                      <w:szCs w:val="20"/>
                    </w:rPr>
                  </w:pPr>
                  <w:r w:rsidRPr="005E310A">
                    <w:rPr>
                      <w:rFonts w:ascii="Times New Roman" w:hAnsi="Times New Roman" w:cs="Times New Roman"/>
                      <w:sz w:val="20"/>
                      <w:szCs w:val="20"/>
                    </w:rPr>
                    <w:t xml:space="preserve">                   Кол</w:t>
                  </w:r>
                  <w:r>
                    <w:rPr>
                      <w:rFonts w:ascii="Times New Roman" w:hAnsi="Times New Roman" w:cs="Times New Roman"/>
                      <w:sz w:val="20"/>
                      <w:szCs w:val="20"/>
                    </w:rPr>
                    <w:t>-во</w:t>
                  </w:r>
                </w:p>
              </w:tc>
              <w:tc>
                <w:tcPr>
                  <w:tcW w:w="1418" w:type="dxa"/>
                </w:tcPr>
                <w:p w14:paraId="27DEED2A" w14:textId="175B4493" w:rsidR="005E310A" w:rsidRPr="005E310A" w:rsidRDefault="005E310A" w:rsidP="005E310A">
                  <w:pPr>
                    <w:rPr>
                      <w:rFonts w:ascii="Times New Roman" w:hAnsi="Times New Roman" w:cs="Times New Roman"/>
                      <w:sz w:val="20"/>
                      <w:szCs w:val="20"/>
                    </w:rPr>
                  </w:pPr>
                  <w:r>
                    <w:rPr>
                      <w:rFonts w:ascii="Times New Roman" w:hAnsi="Times New Roman" w:cs="Times New Roman"/>
                      <w:sz w:val="20"/>
                      <w:szCs w:val="20"/>
                    </w:rPr>
                    <w:t>Цена, руб.</w:t>
                  </w:r>
                </w:p>
              </w:tc>
              <w:tc>
                <w:tcPr>
                  <w:tcW w:w="1559" w:type="dxa"/>
                </w:tcPr>
                <w:p w14:paraId="78C04FE6" w14:textId="397A1395" w:rsidR="005E310A" w:rsidRPr="005E310A" w:rsidRDefault="005E310A" w:rsidP="005E310A">
                  <w:pPr>
                    <w:rPr>
                      <w:rFonts w:ascii="Times New Roman" w:hAnsi="Times New Roman" w:cs="Times New Roman"/>
                      <w:sz w:val="20"/>
                      <w:szCs w:val="20"/>
                    </w:rPr>
                  </w:pPr>
                  <w:r>
                    <w:rPr>
                      <w:rFonts w:ascii="Times New Roman" w:hAnsi="Times New Roman" w:cs="Times New Roman"/>
                      <w:sz w:val="20"/>
                      <w:szCs w:val="20"/>
                    </w:rPr>
                    <w:t>Стоимость, руб.</w:t>
                  </w:r>
                </w:p>
              </w:tc>
            </w:tr>
            <w:tr w:rsidR="005E310A" w:rsidRPr="005E310A" w14:paraId="56345C50" w14:textId="04C623B8" w:rsidTr="005E310A">
              <w:tc>
                <w:tcPr>
                  <w:tcW w:w="460" w:type="dxa"/>
                  <w:vAlign w:val="center"/>
                </w:tcPr>
                <w:p w14:paraId="3BE61289"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1</w:t>
                  </w:r>
                </w:p>
              </w:tc>
              <w:tc>
                <w:tcPr>
                  <w:tcW w:w="2376" w:type="dxa"/>
                  <w:vAlign w:val="center"/>
                </w:tcPr>
                <w:p w14:paraId="0461DD4D" w14:textId="46372D0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Указатель напряжения</w:t>
                  </w:r>
                </w:p>
              </w:tc>
              <w:tc>
                <w:tcPr>
                  <w:tcW w:w="1043" w:type="dxa"/>
                  <w:vAlign w:val="center"/>
                </w:tcPr>
                <w:p w14:paraId="4F0EEEB6" w14:textId="6C145D75"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67FF9836" w14:textId="4DC74800" w:rsidR="005E310A" w:rsidRPr="005E310A" w:rsidRDefault="005E310A" w:rsidP="005E310A">
                  <w:pPr>
                    <w:jc w:val="center"/>
                    <w:rPr>
                      <w:rFonts w:ascii="Times New Roman" w:hAnsi="Times New Roman" w:cs="Times New Roman"/>
                      <w:sz w:val="20"/>
                      <w:szCs w:val="20"/>
                    </w:rPr>
                  </w:pPr>
                </w:p>
                <w:p w14:paraId="537F5031" w14:textId="7121F566"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7DD4BEA4" w14:textId="2D6755C1"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913,50</w:t>
                  </w:r>
                </w:p>
              </w:tc>
              <w:tc>
                <w:tcPr>
                  <w:tcW w:w="1559" w:type="dxa"/>
                </w:tcPr>
                <w:p w14:paraId="4054F261" w14:textId="78042A93" w:rsidR="005E310A" w:rsidRPr="005E310A" w:rsidRDefault="005E310A" w:rsidP="003967A3">
                  <w:pPr>
                    <w:jc w:val="center"/>
                    <w:rPr>
                      <w:rFonts w:ascii="Times New Roman" w:hAnsi="Times New Roman" w:cs="Times New Roman"/>
                      <w:sz w:val="20"/>
                      <w:szCs w:val="20"/>
                    </w:rPr>
                  </w:pPr>
                  <w:r>
                    <w:rPr>
                      <w:rFonts w:ascii="Times New Roman" w:hAnsi="Times New Roman" w:cs="Times New Roman"/>
                      <w:sz w:val="20"/>
                      <w:szCs w:val="20"/>
                    </w:rPr>
                    <w:t>2740,50</w:t>
                  </w:r>
                </w:p>
              </w:tc>
            </w:tr>
            <w:tr w:rsidR="005E310A" w:rsidRPr="005E310A" w14:paraId="7B9E3486" w14:textId="15E35758" w:rsidTr="005E310A">
              <w:tc>
                <w:tcPr>
                  <w:tcW w:w="460" w:type="dxa"/>
                  <w:vAlign w:val="center"/>
                </w:tcPr>
                <w:p w14:paraId="31C65436"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2</w:t>
                  </w:r>
                </w:p>
              </w:tc>
              <w:tc>
                <w:tcPr>
                  <w:tcW w:w="2376" w:type="dxa"/>
                  <w:vAlign w:val="center"/>
                </w:tcPr>
                <w:p w14:paraId="20996BB8" w14:textId="5136A9A2"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Набор отверток +</w:t>
                  </w:r>
                  <w:r>
                    <w:rPr>
                      <w:rFonts w:ascii="Times New Roman" w:hAnsi="Times New Roman" w:cs="Times New Roman"/>
                      <w:sz w:val="20"/>
                      <w:szCs w:val="20"/>
                    </w:rPr>
                    <w:t xml:space="preserve"> </w:t>
                  </w:r>
                  <w:r w:rsidRPr="005E310A">
                    <w:rPr>
                      <w:rFonts w:ascii="Times New Roman" w:hAnsi="Times New Roman" w:cs="Times New Roman"/>
                      <w:sz w:val="20"/>
                      <w:szCs w:val="20"/>
                    </w:rPr>
                    <w:t>отвертка-индикатор</w:t>
                  </w:r>
                </w:p>
              </w:tc>
              <w:tc>
                <w:tcPr>
                  <w:tcW w:w="1043" w:type="dxa"/>
                  <w:vAlign w:val="center"/>
                </w:tcPr>
                <w:p w14:paraId="1715B1F5" w14:textId="56FEF706"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наб.</w:t>
                  </w:r>
                </w:p>
              </w:tc>
              <w:tc>
                <w:tcPr>
                  <w:tcW w:w="850" w:type="dxa"/>
                  <w:vAlign w:val="center"/>
                </w:tcPr>
                <w:p w14:paraId="259260F4" w14:textId="3ED03C3F"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274EDDB9" w14:textId="288F0441"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1111,50</w:t>
                  </w:r>
                </w:p>
              </w:tc>
              <w:tc>
                <w:tcPr>
                  <w:tcW w:w="1559" w:type="dxa"/>
                </w:tcPr>
                <w:p w14:paraId="4D9A9838" w14:textId="26803212"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3334,50</w:t>
                  </w:r>
                </w:p>
              </w:tc>
            </w:tr>
            <w:tr w:rsidR="005E310A" w:rsidRPr="005E310A" w14:paraId="192C0046" w14:textId="3ECE8099" w:rsidTr="005E310A">
              <w:tc>
                <w:tcPr>
                  <w:tcW w:w="460" w:type="dxa"/>
                  <w:vAlign w:val="center"/>
                </w:tcPr>
                <w:p w14:paraId="7F51E83F"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2376" w:type="dxa"/>
                  <w:vAlign w:val="center"/>
                </w:tcPr>
                <w:p w14:paraId="0447A490" w14:textId="77777777" w:rsidR="005E310A" w:rsidRPr="005E310A" w:rsidRDefault="005E310A" w:rsidP="005E310A">
                  <w:pPr>
                    <w:jc w:val="center"/>
                    <w:rPr>
                      <w:rFonts w:ascii="Times New Roman" w:hAnsi="Times New Roman" w:cs="Times New Roman"/>
                      <w:sz w:val="20"/>
                      <w:szCs w:val="20"/>
                      <w:shd w:val="clear" w:color="auto" w:fill="FFFFFF"/>
                    </w:rPr>
                  </w:pPr>
                  <w:proofErr w:type="spellStart"/>
                  <w:r w:rsidRPr="005E310A">
                    <w:rPr>
                      <w:rFonts w:ascii="Times New Roman" w:hAnsi="Times New Roman" w:cs="Times New Roman"/>
                      <w:sz w:val="20"/>
                      <w:szCs w:val="20"/>
                      <w:shd w:val="clear" w:color="auto" w:fill="FFFFFF"/>
                    </w:rPr>
                    <w:t>Бокорезы</w:t>
                  </w:r>
                  <w:proofErr w:type="spellEnd"/>
                </w:p>
              </w:tc>
              <w:tc>
                <w:tcPr>
                  <w:tcW w:w="1043" w:type="dxa"/>
                  <w:vAlign w:val="center"/>
                </w:tcPr>
                <w:p w14:paraId="03BA846A" w14:textId="45297DAC"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5DFEF5E3" w14:textId="390A0A3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7348DCDA" w14:textId="62044E66"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334,00</w:t>
                  </w:r>
                </w:p>
              </w:tc>
              <w:tc>
                <w:tcPr>
                  <w:tcW w:w="1559" w:type="dxa"/>
                </w:tcPr>
                <w:p w14:paraId="132848C6" w14:textId="7FDD3920"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1002,00</w:t>
                  </w:r>
                </w:p>
              </w:tc>
            </w:tr>
            <w:tr w:rsidR="005E310A" w:rsidRPr="005E310A" w14:paraId="727A687F" w14:textId="0B7C8995" w:rsidTr="005E310A">
              <w:tc>
                <w:tcPr>
                  <w:tcW w:w="460" w:type="dxa"/>
                  <w:vAlign w:val="center"/>
                </w:tcPr>
                <w:p w14:paraId="48134C1B"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4</w:t>
                  </w:r>
                </w:p>
              </w:tc>
              <w:tc>
                <w:tcPr>
                  <w:tcW w:w="2376" w:type="dxa"/>
                  <w:vAlign w:val="center"/>
                </w:tcPr>
                <w:p w14:paraId="275B7702" w14:textId="77777777" w:rsidR="005E310A" w:rsidRPr="005E310A" w:rsidRDefault="005E310A" w:rsidP="005E310A">
                  <w:pPr>
                    <w:jc w:val="center"/>
                    <w:rPr>
                      <w:rFonts w:ascii="Times New Roman" w:hAnsi="Times New Roman" w:cs="Times New Roman"/>
                      <w:sz w:val="20"/>
                      <w:szCs w:val="20"/>
                      <w:shd w:val="clear" w:color="auto" w:fill="FFFFFF"/>
                    </w:rPr>
                  </w:pPr>
                  <w:r w:rsidRPr="005E310A">
                    <w:rPr>
                      <w:rFonts w:ascii="Times New Roman" w:hAnsi="Times New Roman" w:cs="Times New Roman"/>
                      <w:sz w:val="20"/>
                      <w:szCs w:val="20"/>
                      <w:shd w:val="clear" w:color="auto" w:fill="FFFFFF"/>
                    </w:rPr>
                    <w:t>Плоскогубцы</w:t>
                  </w:r>
                </w:p>
              </w:tc>
              <w:tc>
                <w:tcPr>
                  <w:tcW w:w="1043" w:type="dxa"/>
                  <w:vAlign w:val="center"/>
                </w:tcPr>
                <w:p w14:paraId="4CC3FACF" w14:textId="63C6F9F6"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2CA2894F" w14:textId="37EA77FE"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14:paraId="35E3C826" w14:textId="616C99E7" w:rsid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245,00</w:t>
                  </w:r>
                </w:p>
              </w:tc>
              <w:tc>
                <w:tcPr>
                  <w:tcW w:w="1559" w:type="dxa"/>
                </w:tcPr>
                <w:p w14:paraId="43B6CEB4" w14:textId="6035B580" w:rsidR="005E310A" w:rsidRDefault="005E310A" w:rsidP="003967A3">
                  <w:pPr>
                    <w:jc w:val="center"/>
                    <w:rPr>
                      <w:rFonts w:ascii="Times New Roman" w:hAnsi="Times New Roman" w:cs="Times New Roman"/>
                      <w:sz w:val="20"/>
                      <w:szCs w:val="20"/>
                    </w:rPr>
                  </w:pPr>
                  <w:r>
                    <w:rPr>
                      <w:rFonts w:ascii="Times New Roman" w:hAnsi="Times New Roman" w:cs="Times New Roman"/>
                      <w:sz w:val="20"/>
                      <w:szCs w:val="20"/>
                    </w:rPr>
                    <w:t>735,00</w:t>
                  </w:r>
                </w:p>
              </w:tc>
            </w:tr>
          </w:tbl>
          <w:p w14:paraId="7AD8DA2C" w14:textId="77777777" w:rsidR="001A797B" w:rsidRDefault="001A797B" w:rsidP="00E51CB9">
            <w:pPr>
              <w:autoSpaceDE w:val="0"/>
              <w:autoSpaceDN w:val="0"/>
              <w:spacing w:after="0"/>
              <w:ind w:firstLine="113"/>
              <w:rPr>
                <w:rFonts w:ascii="Times New Roman" w:eastAsia="Times New Roman" w:hAnsi="Times New Roman" w:cs="Times New Roman"/>
                <w:sz w:val="20"/>
                <w:szCs w:val="20"/>
              </w:rPr>
            </w:pPr>
          </w:p>
          <w:p w14:paraId="3F32AD23" w14:textId="10EA006D" w:rsidR="00FB766D" w:rsidRPr="009415CC" w:rsidRDefault="0060159B" w:rsidP="005E310A">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Итого: </w:t>
            </w:r>
            <w:r w:rsidR="005E310A">
              <w:rPr>
                <w:rFonts w:ascii="Times New Roman" w:eastAsia="Times New Roman" w:hAnsi="Times New Roman" w:cs="Times New Roman"/>
                <w:sz w:val="20"/>
                <w:szCs w:val="20"/>
              </w:rPr>
              <w:t>7812,00</w:t>
            </w: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035AF7F1"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3E690E5"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1CA1"/>
    <w:rsid w:val="000636E3"/>
    <w:rsid w:val="00081EF7"/>
    <w:rsid w:val="000923D2"/>
    <w:rsid w:val="000A58E4"/>
    <w:rsid w:val="000C1D8B"/>
    <w:rsid w:val="000E28EA"/>
    <w:rsid w:val="00102361"/>
    <w:rsid w:val="00105B1B"/>
    <w:rsid w:val="00113A07"/>
    <w:rsid w:val="00116E49"/>
    <w:rsid w:val="00117428"/>
    <w:rsid w:val="001234ED"/>
    <w:rsid w:val="00127C06"/>
    <w:rsid w:val="00162B47"/>
    <w:rsid w:val="001808E6"/>
    <w:rsid w:val="00183C7A"/>
    <w:rsid w:val="00194EA8"/>
    <w:rsid w:val="00197510"/>
    <w:rsid w:val="001A5D52"/>
    <w:rsid w:val="001A797B"/>
    <w:rsid w:val="001B16DA"/>
    <w:rsid w:val="001C4400"/>
    <w:rsid w:val="001E17D2"/>
    <w:rsid w:val="001F2E80"/>
    <w:rsid w:val="00261B36"/>
    <w:rsid w:val="00266AA4"/>
    <w:rsid w:val="002A0EF0"/>
    <w:rsid w:val="002A6573"/>
    <w:rsid w:val="002B3FDF"/>
    <w:rsid w:val="002B7AD5"/>
    <w:rsid w:val="002C02E3"/>
    <w:rsid w:val="002C6D5C"/>
    <w:rsid w:val="002D6FEA"/>
    <w:rsid w:val="002E4BA7"/>
    <w:rsid w:val="0030293E"/>
    <w:rsid w:val="00307ADE"/>
    <w:rsid w:val="003158B8"/>
    <w:rsid w:val="00360016"/>
    <w:rsid w:val="00370D20"/>
    <w:rsid w:val="00375BDD"/>
    <w:rsid w:val="00375EC9"/>
    <w:rsid w:val="00387301"/>
    <w:rsid w:val="00396F15"/>
    <w:rsid w:val="00397A87"/>
    <w:rsid w:val="003A2659"/>
    <w:rsid w:val="003C53D0"/>
    <w:rsid w:val="003E184D"/>
    <w:rsid w:val="00412127"/>
    <w:rsid w:val="004161C3"/>
    <w:rsid w:val="00416D8A"/>
    <w:rsid w:val="004341E8"/>
    <w:rsid w:val="004419E9"/>
    <w:rsid w:val="0046078A"/>
    <w:rsid w:val="00466237"/>
    <w:rsid w:val="004A2626"/>
    <w:rsid w:val="004A61D6"/>
    <w:rsid w:val="004A75E1"/>
    <w:rsid w:val="004B0161"/>
    <w:rsid w:val="004B26BB"/>
    <w:rsid w:val="004B4474"/>
    <w:rsid w:val="004C31C2"/>
    <w:rsid w:val="004C5C45"/>
    <w:rsid w:val="004D2179"/>
    <w:rsid w:val="004E1C39"/>
    <w:rsid w:val="004F5979"/>
    <w:rsid w:val="00507431"/>
    <w:rsid w:val="005216D1"/>
    <w:rsid w:val="00521BD6"/>
    <w:rsid w:val="00532F3C"/>
    <w:rsid w:val="00555901"/>
    <w:rsid w:val="00557F8B"/>
    <w:rsid w:val="0056099B"/>
    <w:rsid w:val="00576DAA"/>
    <w:rsid w:val="00587FEC"/>
    <w:rsid w:val="005963BC"/>
    <w:rsid w:val="005A15C0"/>
    <w:rsid w:val="005B2035"/>
    <w:rsid w:val="005B4FE1"/>
    <w:rsid w:val="005D6015"/>
    <w:rsid w:val="005E310A"/>
    <w:rsid w:val="005E64E2"/>
    <w:rsid w:val="0060159B"/>
    <w:rsid w:val="00604A75"/>
    <w:rsid w:val="0061008D"/>
    <w:rsid w:val="0061133F"/>
    <w:rsid w:val="006128E2"/>
    <w:rsid w:val="006331EA"/>
    <w:rsid w:val="00653A17"/>
    <w:rsid w:val="006819C9"/>
    <w:rsid w:val="006A1BC8"/>
    <w:rsid w:val="006B0A3A"/>
    <w:rsid w:val="006E6BB9"/>
    <w:rsid w:val="006F0869"/>
    <w:rsid w:val="006F21B3"/>
    <w:rsid w:val="006F3746"/>
    <w:rsid w:val="006F48FC"/>
    <w:rsid w:val="00710D72"/>
    <w:rsid w:val="00710E28"/>
    <w:rsid w:val="00717FA4"/>
    <w:rsid w:val="00721B69"/>
    <w:rsid w:val="00730587"/>
    <w:rsid w:val="00742011"/>
    <w:rsid w:val="00756986"/>
    <w:rsid w:val="00766BDA"/>
    <w:rsid w:val="00785D73"/>
    <w:rsid w:val="00794B7E"/>
    <w:rsid w:val="007A2FD7"/>
    <w:rsid w:val="007A53A1"/>
    <w:rsid w:val="007C08EA"/>
    <w:rsid w:val="007D3004"/>
    <w:rsid w:val="007D328C"/>
    <w:rsid w:val="007E4E8F"/>
    <w:rsid w:val="007F50A8"/>
    <w:rsid w:val="007F7D36"/>
    <w:rsid w:val="00827884"/>
    <w:rsid w:val="0083353E"/>
    <w:rsid w:val="008406CD"/>
    <w:rsid w:val="00850558"/>
    <w:rsid w:val="00852883"/>
    <w:rsid w:val="00861BB6"/>
    <w:rsid w:val="00862952"/>
    <w:rsid w:val="0086397C"/>
    <w:rsid w:val="00881B7A"/>
    <w:rsid w:val="008A3E0A"/>
    <w:rsid w:val="008A50C3"/>
    <w:rsid w:val="008B24AA"/>
    <w:rsid w:val="008B3404"/>
    <w:rsid w:val="008C4B97"/>
    <w:rsid w:val="008E7D7B"/>
    <w:rsid w:val="008F7C13"/>
    <w:rsid w:val="00906A0C"/>
    <w:rsid w:val="0091129B"/>
    <w:rsid w:val="00922624"/>
    <w:rsid w:val="009415CC"/>
    <w:rsid w:val="00950D85"/>
    <w:rsid w:val="00954E07"/>
    <w:rsid w:val="00963F86"/>
    <w:rsid w:val="009668E6"/>
    <w:rsid w:val="009719FB"/>
    <w:rsid w:val="00971D77"/>
    <w:rsid w:val="00977151"/>
    <w:rsid w:val="00980331"/>
    <w:rsid w:val="00980763"/>
    <w:rsid w:val="00983EFE"/>
    <w:rsid w:val="00990033"/>
    <w:rsid w:val="009A41B6"/>
    <w:rsid w:val="009B018F"/>
    <w:rsid w:val="009B03D4"/>
    <w:rsid w:val="009B0705"/>
    <w:rsid w:val="009C0704"/>
    <w:rsid w:val="009F0E99"/>
    <w:rsid w:val="00A05B36"/>
    <w:rsid w:val="00A11505"/>
    <w:rsid w:val="00A12B96"/>
    <w:rsid w:val="00A825B6"/>
    <w:rsid w:val="00AA2C3F"/>
    <w:rsid w:val="00AB6F60"/>
    <w:rsid w:val="00AC75FE"/>
    <w:rsid w:val="00AD3B3A"/>
    <w:rsid w:val="00B132DD"/>
    <w:rsid w:val="00B17BF7"/>
    <w:rsid w:val="00B3072C"/>
    <w:rsid w:val="00B342B8"/>
    <w:rsid w:val="00B71312"/>
    <w:rsid w:val="00B71DF6"/>
    <w:rsid w:val="00B805BF"/>
    <w:rsid w:val="00B82ABC"/>
    <w:rsid w:val="00B941F4"/>
    <w:rsid w:val="00B971BA"/>
    <w:rsid w:val="00BA4043"/>
    <w:rsid w:val="00BB591A"/>
    <w:rsid w:val="00BB6402"/>
    <w:rsid w:val="00BC7389"/>
    <w:rsid w:val="00BF1899"/>
    <w:rsid w:val="00BF389F"/>
    <w:rsid w:val="00BF5F15"/>
    <w:rsid w:val="00BF6E89"/>
    <w:rsid w:val="00C03ABD"/>
    <w:rsid w:val="00C06978"/>
    <w:rsid w:val="00C23FCE"/>
    <w:rsid w:val="00C26439"/>
    <w:rsid w:val="00C26972"/>
    <w:rsid w:val="00C27C9B"/>
    <w:rsid w:val="00C56617"/>
    <w:rsid w:val="00C75FA5"/>
    <w:rsid w:val="00C874A3"/>
    <w:rsid w:val="00C951EE"/>
    <w:rsid w:val="00C95708"/>
    <w:rsid w:val="00C968CD"/>
    <w:rsid w:val="00CB48E8"/>
    <w:rsid w:val="00CD1B6F"/>
    <w:rsid w:val="00CE74A9"/>
    <w:rsid w:val="00D22BFA"/>
    <w:rsid w:val="00D24ABA"/>
    <w:rsid w:val="00D31DBA"/>
    <w:rsid w:val="00D4349F"/>
    <w:rsid w:val="00D44438"/>
    <w:rsid w:val="00D51FD6"/>
    <w:rsid w:val="00D65C9F"/>
    <w:rsid w:val="00D74E5F"/>
    <w:rsid w:val="00D9498E"/>
    <w:rsid w:val="00D95BCC"/>
    <w:rsid w:val="00DC03F4"/>
    <w:rsid w:val="00DD2152"/>
    <w:rsid w:val="00DD25F4"/>
    <w:rsid w:val="00DE289F"/>
    <w:rsid w:val="00E00001"/>
    <w:rsid w:val="00E2390F"/>
    <w:rsid w:val="00E27920"/>
    <w:rsid w:val="00E51CB9"/>
    <w:rsid w:val="00E542F4"/>
    <w:rsid w:val="00E663C1"/>
    <w:rsid w:val="00E76EC5"/>
    <w:rsid w:val="00EA5257"/>
    <w:rsid w:val="00EA6F99"/>
    <w:rsid w:val="00EE1145"/>
    <w:rsid w:val="00F04813"/>
    <w:rsid w:val="00F12711"/>
    <w:rsid w:val="00F12C58"/>
    <w:rsid w:val="00F17B11"/>
    <w:rsid w:val="00F255FF"/>
    <w:rsid w:val="00F31336"/>
    <w:rsid w:val="00F3318E"/>
    <w:rsid w:val="00F53913"/>
    <w:rsid w:val="00F6199A"/>
    <w:rsid w:val="00F71533"/>
    <w:rsid w:val="00FA6765"/>
    <w:rsid w:val="00FB766D"/>
    <w:rsid w:val="00FE03AC"/>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table" w:styleId="a6">
    <w:name w:val="Table Grid"/>
    <w:basedOn w:val="a1"/>
    <w:uiPriority w:val="59"/>
    <w:rsid w:val="00B3072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odym">
    <w:name w:val="tsbodym"/>
    <w:basedOn w:val="a0"/>
    <w:rsid w:val="00B3072C"/>
  </w:style>
  <w:style w:type="character" w:styleId="a7">
    <w:name w:val="Strong"/>
    <w:basedOn w:val="a0"/>
    <w:uiPriority w:val="22"/>
    <w:qFormat/>
    <w:rsid w:val="001A7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table" w:styleId="a6">
    <w:name w:val="Table Grid"/>
    <w:basedOn w:val="a1"/>
    <w:uiPriority w:val="59"/>
    <w:rsid w:val="00B3072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odym">
    <w:name w:val="tsbodym"/>
    <w:basedOn w:val="a0"/>
    <w:rsid w:val="00B3072C"/>
  </w:style>
  <w:style w:type="character" w:styleId="a7">
    <w:name w:val="Strong"/>
    <w:basedOn w:val="a0"/>
    <w:uiPriority w:val="22"/>
    <w:qFormat/>
    <w:rsid w:val="001A7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393">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284771018">
      <w:bodyDiv w:val="1"/>
      <w:marLeft w:val="0"/>
      <w:marRight w:val="0"/>
      <w:marTop w:val="0"/>
      <w:marBottom w:val="0"/>
      <w:divBdr>
        <w:top w:val="none" w:sz="0" w:space="0" w:color="auto"/>
        <w:left w:val="none" w:sz="0" w:space="0" w:color="auto"/>
        <w:bottom w:val="none" w:sz="0" w:space="0" w:color="auto"/>
        <w:right w:val="none" w:sz="0" w:space="0" w:color="auto"/>
      </w:divBdr>
    </w:div>
    <w:div w:id="46099664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826164856">
      <w:bodyDiv w:val="1"/>
      <w:marLeft w:val="0"/>
      <w:marRight w:val="0"/>
      <w:marTop w:val="0"/>
      <w:marBottom w:val="0"/>
      <w:divBdr>
        <w:top w:val="none" w:sz="0" w:space="0" w:color="auto"/>
        <w:left w:val="none" w:sz="0" w:space="0" w:color="auto"/>
        <w:bottom w:val="none" w:sz="0" w:space="0" w:color="auto"/>
        <w:right w:val="none" w:sz="0" w:space="0" w:color="auto"/>
      </w:divBdr>
    </w:div>
    <w:div w:id="19523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347D-7F00-468A-8D0F-C33609A1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6</cp:revision>
  <cp:lastPrinted>2026-06-17T08:13:00Z</cp:lastPrinted>
  <dcterms:created xsi:type="dcterms:W3CDTF">2026-05-06T10:53:00Z</dcterms:created>
  <dcterms:modified xsi:type="dcterms:W3CDTF">2026-06-17T08:13:00Z</dcterms:modified>
</cp:coreProperties>
</file>