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PT Astra Serif" w:hAnsi="PT Astra Serif" w:eastAsia="Calibri"/>
          <w:lang w:eastAsia="en-US"/>
        </w:rPr>
      </w:pPr>
      <w:r>
        <w:rPr>
          <w:rFonts w:eastAsia="Calibri" w:ascii="PT Astra Serif" w:hAnsi="PT Astra Serif"/>
          <w:lang w:eastAsia="en-US"/>
        </w:rPr>
        <w:t>Обоснование начальной (максимальной) цены контракта, начальных цен единиц товара, работы, услуги</w:t>
      </w:r>
    </w:p>
    <w:p>
      <w:pPr>
        <w:pStyle w:val="Normal"/>
        <w:suppressAutoHyphens w:val="true"/>
        <w:jc w:val="center"/>
        <w:rPr>
          <w:rFonts w:ascii="PT Astra Serif" w:hAnsi="PT Astra Serif" w:eastAsia="Calibri"/>
          <w:b/>
          <w:lang w:eastAsia="en-US"/>
        </w:rPr>
      </w:pPr>
      <w:r>
        <w:rPr>
          <w:rFonts w:eastAsia="Calibri" w:ascii="PT Astra Serif" w:hAnsi="PT Astra Serif"/>
          <w:b/>
          <w:lang w:eastAsia="en-US"/>
        </w:rPr>
      </w:r>
    </w:p>
    <w:p>
      <w:pPr>
        <w:pStyle w:val="Normal"/>
        <w:suppressAutoHyphens w:val="true"/>
        <w:jc w:val="center"/>
        <w:rPr>
          <w:rFonts w:ascii="PT Astra Serif" w:hAnsi="PT Astra Serif" w:eastAsia="Calibri"/>
          <w:b/>
          <w:lang w:eastAsia="en-US"/>
        </w:rPr>
      </w:pPr>
      <w:r>
        <w:rPr>
          <w:rFonts w:eastAsia="Calibri" w:ascii="PT Astra Serif" w:hAnsi="PT Astra Serif"/>
          <w:b/>
          <w:lang w:eastAsia="en-US"/>
        </w:rPr>
        <w:t>Набор для аспирации трахеобронхиального секрета</w:t>
      </w:r>
    </w:p>
    <w:tbl>
      <w:tblPr>
        <w:tblW w:w="14909" w:type="dxa"/>
        <w:jc w:val="left"/>
        <w:tblInd w:w="-86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440"/>
        <w:gridCol w:w="13468"/>
      </w:tblGrid>
      <w:tr>
        <w:trPr>
          <w:trHeight w:val="570" w:hRule="atLeast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rFonts w:ascii="PT Astra Serif" w:hAnsi="PT Astra Serif"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b/>
                <w:bCs/>
                <w:sz w:val="20"/>
                <w:szCs w:val="20"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1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both"/>
              <w:rPr>
                <w:rFonts w:ascii="PT Astra Serif" w:hAnsi="PT Astra Serif" w:eastAsia="Calibri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соответствии с описанием объекта закупки</w:t>
            </w:r>
          </w:p>
        </w:tc>
      </w:tr>
      <w:tr>
        <w:trPr>
          <w:trHeight w:val="1155" w:hRule="atLeast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rFonts w:ascii="PT Astra Serif" w:hAnsi="PT Astra Serif"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b/>
                <w:bCs/>
                <w:sz w:val="20"/>
                <w:szCs w:val="20"/>
                <w:lang w:eastAsia="en-US"/>
              </w:rPr>
              <w:t>Используемый метод определения с обоснованием:</w:t>
            </w:r>
          </w:p>
        </w:tc>
        <w:tc>
          <w:tcPr>
            <w:tcW w:w="1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ascii="PT Astra Serif" w:hAnsi="PT Astra Serif"/>
                <w:bCs/>
                <w:sz w:val="20"/>
                <w:szCs w:val="20"/>
                <w:lang w:eastAsia="en-US"/>
              </w:rPr>
              <w:t>Иной метод: На основании ч. 12, 22 ст. 22 Федерального закона от 05.04.2013 №44-ФЗ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ascii="PT Astra Serif" w:hAnsi="PT Astra Serif"/>
                <w:bCs/>
                <w:sz w:val="20"/>
                <w:szCs w:val="20"/>
                <w:lang w:eastAsia="en-US"/>
              </w:rPr>
              <w:t>В  соответствии с Приказом Министерства здравоохранения РФ от 15 мая 2020 г. N 450н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(далее - Приказ № 450н)); с положениями Распоряжения Правительства Ульяновской области от 17.09.2018 № 411-пр «Об утверждении Методических 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для обеспечения государственных нужд Ульяновской области»</w:t>
            </w:r>
          </w:p>
        </w:tc>
      </w:tr>
      <w:tr>
        <w:trPr>
          <w:trHeight w:val="8895" w:hRule="atLeast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rFonts w:ascii="PT Astra Serif" w:hAnsi="PT Astra Serif"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b/>
                <w:bCs/>
                <w:sz w:val="20"/>
                <w:szCs w:val="20"/>
                <w:lang w:eastAsia="en-US"/>
              </w:rPr>
              <w:t>Расчет</w:t>
            </w:r>
          </w:p>
        </w:tc>
        <w:tc>
          <w:tcPr>
            <w:tcW w:w="1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 Расчет цены единицы планируемого к закупке медицинского изделия, рассчитан посредством применения метода, указанного в подпункте а) пункта 9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 (далее - Порядок), утвержденного Приказом № 450н</w:t>
            </w:r>
          </w:p>
          <w:p>
            <w:pPr>
              <w:pStyle w:val="Normal"/>
              <w:widowControl w:val="false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(Метод сопоставимых рыночных цен)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формирования НМЦК Заказчиком были получены цены товара, от различных поставщиков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u w:val="none"/>
              </w:rPr>
            </w:pPr>
            <w:r>
              <w:rPr>
                <w:rFonts w:ascii="PT Astra Serif" w:hAnsi="PT Astra Serif"/>
                <w:color w:themeColor="text1" w:val="000000"/>
                <w:sz w:val="20"/>
                <w:szCs w:val="20"/>
                <w:u w:val="none"/>
                <w:shd w:fill="FFFFFF" w:val="clear"/>
              </w:rPr>
              <w:t>1)Поставщик №1 к</w:t>
            </w:r>
            <w:r>
              <w:rPr>
                <w:rFonts w:ascii="PT Astra Serif" w:hAnsi="PT Astra Serif"/>
                <w:color w:val="000000"/>
                <w:sz w:val="20"/>
                <w:szCs w:val="20"/>
                <w:u w:val="none"/>
                <w:shd w:fill="FFFFFF" w:val="clear"/>
                <w:lang w:val="ru-RU"/>
              </w:rPr>
              <w:t>оммерческое предложение вх. №.844/1 от 31.07.2026;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  <w:u w:val="none"/>
                <w:shd w:fill="FFFFFF" w:val="clear"/>
                <w:lang w:val="ru-RU"/>
              </w:rPr>
              <w:t>2)Поставщик №2 коммерческое предложение вх. №.845 от 03.08.2026;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  <w:u w:val="none"/>
                <w:shd w:fill="FFFFFF" w:val="clear"/>
                <w:lang w:val="ru-RU"/>
              </w:rPr>
              <w:t>3)Поставщик №3 коммерческое предложение вх. №.852/1 от 03.08.2026.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u w:val="none"/>
              </w:rPr>
            </w:pPr>
            <w:r>
              <w:rPr>
                <w:u w:val="none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Применение корректирующих коэффициентов не требуется. Коэффициент вариации &lt; 33% - совокупность цен принимается однородной.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tbl>
            <w:tblPr>
              <w:tblW w:w="13108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385"/>
              <w:gridCol w:w="2338"/>
              <w:gridCol w:w="546"/>
              <w:gridCol w:w="721"/>
              <w:gridCol w:w="1448"/>
              <w:gridCol w:w="1476"/>
              <w:gridCol w:w="1469"/>
              <w:gridCol w:w="1257"/>
              <w:gridCol w:w="1162"/>
              <w:gridCol w:w="1159"/>
              <w:gridCol w:w="1145"/>
            </w:tblGrid>
            <w:tr>
              <w:trPr>
                <w:trHeight w:val="283" w:hRule="atLeast"/>
              </w:trPr>
              <w:tc>
                <w:tcPr>
                  <w:tcW w:w="38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 xml:space="preserve">№ </w:t>
                  </w: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233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Наименование товара</w:t>
                  </w:r>
                </w:p>
              </w:tc>
              <w:tc>
                <w:tcPr>
                  <w:tcW w:w="54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72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448" w:type="dxa"/>
                  <w:tcBorders>
                    <w:top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Поставщик 1</w:t>
                  </w:r>
                </w:p>
              </w:tc>
              <w:tc>
                <w:tcPr>
                  <w:tcW w:w="1476" w:type="dxa"/>
                  <w:tcBorders>
                    <w:top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Поставщик 2</w:t>
                  </w:r>
                </w:p>
              </w:tc>
              <w:tc>
                <w:tcPr>
                  <w:tcW w:w="1469" w:type="dxa"/>
                  <w:tcBorders>
                    <w:top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Поставщик 3</w:t>
                  </w:r>
                </w:p>
              </w:tc>
              <w:tc>
                <w:tcPr>
                  <w:tcW w:w="1257" w:type="dxa"/>
                  <w:vMerge w:val="restar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Средняя цена ед., руб. (без учета НДС)</w:t>
                  </w:r>
                </w:p>
              </w:tc>
              <w:tc>
                <w:tcPr>
                  <w:tcW w:w="116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Коэф-т вариации, %</w:t>
                  </w:r>
                </w:p>
              </w:tc>
              <w:tc>
                <w:tcPr>
                  <w:tcW w:w="115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НМЦК по средней цене, руб. (без учета НДС)</w:t>
                  </w:r>
                </w:p>
              </w:tc>
              <w:tc>
                <w:tcPr>
                  <w:tcW w:w="114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НМЦК по минимальной цене, руб. (без учета НДС)</w:t>
                  </w:r>
                </w:p>
              </w:tc>
            </w:tr>
            <w:tr>
              <w:trPr>
                <w:trHeight w:val="279" w:hRule="atLeast"/>
              </w:trPr>
              <w:tc>
                <w:tcPr>
                  <w:tcW w:w="385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2338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546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721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144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Цена за ед, руб. (без учета НДС)</w:t>
                  </w:r>
                </w:p>
              </w:tc>
              <w:tc>
                <w:tcPr>
                  <w:tcW w:w="1476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Цена за ед, руб. (без учета НДС)</w:t>
                  </w:r>
                </w:p>
              </w:tc>
              <w:tc>
                <w:tcPr>
                  <w:tcW w:w="1469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Цена за ед, руб. (без учета НДС)</w:t>
                  </w:r>
                </w:p>
              </w:tc>
              <w:tc>
                <w:tcPr>
                  <w:tcW w:w="1257" w:type="dxa"/>
                  <w:vMerge w:val="continue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1162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1159" w:type="dxa"/>
                  <w:vMerge w:val="continue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1145" w:type="dxa"/>
                  <w:vMerge w:val="continue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207" w:hRule="atLeast"/>
              </w:trPr>
              <w:tc>
                <w:tcPr>
                  <w:tcW w:w="3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3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46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21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4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76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469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25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62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12</w:t>
                  </w:r>
                </w:p>
              </w:tc>
            </w:tr>
            <w:tr>
              <w:trPr>
                <w:trHeight w:val="383" w:hRule="atLeast"/>
              </w:trPr>
              <w:tc>
                <w:tcPr>
                  <w:tcW w:w="3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snapToGrid w:val="false"/>
                    <w:jc w:val="left"/>
                    <w:rPr>
                      <w:rFonts w:eastAsia="Calibri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 w:cs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Набор для аспирации трахеобронхиального секрета</w:t>
                  </w:r>
                </w:p>
              </w:tc>
              <w:tc>
                <w:tcPr>
                  <w:tcW w:w="546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shd w:fill="FFFFFF" w:val="clear"/>
                    </w:rPr>
                    <w:t>шт</w:t>
                  </w:r>
                </w:p>
              </w:tc>
              <w:tc>
                <w:tcPr>
                  <w:tcW w:w="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 w:cs="PT Astra Serif"/>
                      <w:sz w:val="20"/>
                      <w:szCs w:val="20"/>
                      <w:lang w:val="en-US"/>
                    </w:rPr>
                  </w:pPr>
                  <w:r>
                    <w:rPr>
                      <w:rFonts w:cs="PT Astra Serif" w:ascii="PT Astra Serif" w:hAnsi="PT Astra Serif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14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2 345,00</w:t>
                  </w:r>
                </w:p>
              </w:tc>
              <w:tc>
                <w:tcPr>
                  <w:tcW w:w="147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2 520,00</w:t>
                  </w:r>
                </w:p>
              </w:tc>
              <w:tc>
                <w:tcPr>
                  <w:tcW w:w="1469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2 505,00</w:t>
                  </w:r>
                </w:p>
              </w:tc>
              <w:tc>
                <w:tcPr>
                  <w:tcW w:w="12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2 456,67</w:t>
                  </w:r>
                </w:p>
              </w:tc>
              <w:tc>
                <w:tcPr>
                  <w:tcW w:w="1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3,95</w:t>
                  </w:r>
                </w:p>
              </w:tc>
              <w:tc>
                <w:tcPr>
                  <w:tcW w:w="11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49 133,40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46 900,00</w:t>
                  </w:r>
                </w:p>
              </w:tc>
            </w:tr>
            <w:tr>
              <w:trPr>
                <w:trHeight w:val="321" w:hRule="atLeast"/>
              </w:trPr>
              <w:tc>
                <w:tcPr>
                  <w:tcW w:w="10802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11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49 133,40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46 900,00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left="57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  <w:p>
            <w:pPr>
              <w:pStyle w:val="Normal"/>
              <w:spacing w:lineRule="auto" w:line="240" w:before="0" w:after="0"/>
              <w:ind w:left="57"/>
              <w:rPr>
                <w:shd w:fill="FFFFFF" w:val="clear"/>
              </w:rPr>
            </w:pP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  <w:t>2. В соответствии с п. 17 Приказа Минздрава России от 15.05.2020 №450н расчет начальной (максимальной) цены контракта (НМЦК), в том числе при осуществлении закупки у единственного поставщика (подрядчика, исполнителя), осуществляется по формуле:</w:t>
            </w:r>
          </w:p>
          <w:p>
            <w:pPr>
              <w:pStyle w:val="Normal"/>
              <w:widowControl w:val="false"/>
              <w:rPr>
                <w:rFonts w:ascii="PT Astra Serif" w:hAnsi="PT Astra Serif"/>
                <w:sz w:val="20"/>
                <w:szCs w:val="20"/>
              </w:rPr>
            </w:pPr>
            <w:bookmarkStart w:id="0" w:name="_GoBack"/>
            <w:bookmarkEnd w:id="0"/>
            <w:r>
              <w:rPr/>
              <w:drawing>
                <wp:inline distT="0" distB="0" distL="0" distR="0">
                  <wp:extent cx="2219325" cy="581025"/>
                  <wp:effectExtent l="0" t="0" r="0" b="0"/>
                  <wp:docPr id="1" name="Рисунок 2" descr="http://base.garant.ru/files/base/74530562/2694018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http://base.garant.ru/files/base/74530562/2694018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z w:val="20"/>
                <w:szCs w:val="20"/>
              </w:rPr>
              <w:t>,</w:t>
            </w:r>
          </w:p>
          <w:p>
            <w:pPr>
              <w:pStyle w:val="Normal"/>
              <w:widowControl w:val="false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где:</w:t>
            </w:r>
          </w:p>
          <w:p>
            <w:pPr>
              <w:pStyle w:val="Normal"/>
              <w:widowControl w:val="false"/>
              <w:ind w:firstLine="54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n - количество позиций закупаемых медицинских изделий;</w:t>
            </w:r>
          </w:p>
          <w:p>
            <w:pPr>
              <w:pStyle w:val="Normal"/>
              <w:widowControl w:val="false"/>
              <w:ind w:left="57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        </w:t>
            </w:r>
            <w:r>
              <w:rPr>
                <w:rFonts w:ascii="PT Astra Serif" w:hAnsi="PT Astra Serif"/>
                <w:sz w:val="20"/>
                <w:szCs w:val="20"/>
              </w:rPr>
              <w:t>НЦЕi - начальная цена единицы i-й позиции медицинского изделия;</w:t>
            </w:r>
          </w:p>
          <w:p>
            <w:pPr>
              <w:pStyle w:val="Normal"/>
              <w:widowControl w:val="false"/>
              <w:ind w:hanging="0" w:left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         </w:t>
            </w:r>
            <w:r>
              <w:rPr>
                <w:rFonts w:ascii="PT Astra Serif" w:hAnsi="PT Astra Serif"/>
                <w:sz w:val="20"/>
                <w:szCs w:val="20"/>
              </w:rPr>
              <w:t>НДС - налог на добавленную стоимость (на основании п. п. 1 п. 2 ст. 149 Налогового кодекса, в соответствии с постановлением Правительства Российской Федерации от 30 сентября 2015 г. №1042 данные медицинские изделия не облагаются НДС);</w:t>
            </w:r>
          </w:p>
          <w:p>
            <w:pPr>
              <w:pStyle w:val="Normal"/>
              <w:widowControl w:val="false"/>
              <w:ind w:hanging="0" w:left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         </w:t>
            </w:r>
            <w:r>
              <w:rPr>
                <w:rFonts w:ascii="PT Astra Serif" w:hAnsi="PT Astra Serif"/>
                <w:sz w:val="20"/>
                <w:szCs w:val="20"/>
              </w:rPr>
              <w:t>Vi- количество (объем) i-й позиции закупаемого медицинского изделия</w:t>
            </w:r>
          </w:p>
          <w:tbl>
            <w:tblPr>
              <w:tblW w:w="13007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702"/>
              <w:gridCol w:w="3318"/>
              <w:gridCol w:w="735"/>
              <w:gridCol w:w="856"/>
              <w:gridCol w:w="1861"/>
              <w:gridCol w:w="1485"/>
              <w:gridCol w:w="2153"/>
              <w:gridCol w:w="1895"/>
            </w:tblGrid>
            <w:tr>
              <w:trPr>
                <w:trHeight w:val="543" w:hRule="atLeast"/>
              </w:trPr>
              <w:tc>
                <w:tcPr>
                  <w:tcW w:w="7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 xml:space="preserve">№ </w:t>
                  </w: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п/п</w:t>
                  </w:r>
                </w:p>
              </w:tc>
              <w:tc>
                <w:tcPr>
                  <w:tcW w:w="33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Наименование товара</w:t>
                  </w:r>
                </w:p>
              </w:tc>
              <w:tc>
                <w:tcPr>
                  <w:tcW w:w="735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both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Ед. изм.</w:t>
                  </w:r>
                </w:p>
              </w:tc>
              <w:tc>
                <w:tcPr>
                  <w:tcW w:w="85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both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Кол-во</w:t>
                  </w:r>
                </w:p>
              </w:tc>
              <w:tc>
                <w:tcPr>
                  <w:tcW w:w="1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НЦЕ без учета НДС, руб.</w:t>
                  </w:r>
                </w:p>
              </w:tc>
              <w:tc>
                <w:tcPr>
                  <w:tcW w:w="14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НДС</w:t>
                  </w:r>
                </w:p>
              </w:tc>
              <w:tc>
                <w:tcPr>
                  <w:tcW w:w="2153" w:type="dxa"/>
                  <w:tcBorders>
                    <w:top w:val="single" w:sz="8" w:space="0" w:color="000000"/>
                    <w:bottom w:val="single" w:sz="8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 w:eastAsia="BatangChe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НЦЕ сниж. </w:t>
                  </w:r>
                  <w:r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по </w:t>
                  </w:r>
                  <w:r>
                    <w:rPr>
                      <w:rFonts w:eastAsia="BatangChe" w:ascii="Times New Roman" w:hAnsi="Times New Roman"/>
                      <w:sz w:val="18"/>
                      <w:szCs w:val="18"/>
                    </w:rPr>
                    <w:t>п. 18</w:t>
                  </w:r>
                </w:p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Приказа МЗ РФ</w:t>
                  </w:r>
                </w:p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от 15.05.2020г.</w:t>
                  </w:r>
                </w:p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sz w:val="18"/>
                      <w:szCs w:val="18"/>
                    </w:rPr>
                    <w:t>№</w:t>
                  </w:r>
                  <w:r>
                    <w:rPr>
                      <w:sz w:val="18"/>
                      <w:szCs w:val="18"/>
                    </w:rPr>
                    <w:t>450н</w:t>
                  </w:r>
                  <w:r>
                    <w:rPr>
                      <w:bCs/>
                      <w:sz w:val="18"/>
                      <w:szCs w:val="18"/>
                    </w:rPr>
                    <w:t>, руб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 w:eastAsia="BatangChe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НМЦК по </w:t>
                  </w:r>
                  <w:r>
                    <w:rPr>
                      <w:rFonts w:eastAsia="BatangChe" w:ascii="Times New Roman" w:hAnsi="Times New Roman"/>
                      <w:sz w:val="18"/>
                      <w:szCs w:val="18"/>
                    </w:rPr>
                    <w:t>п. 18</w:t>
                  </w:r>
                </w:p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Приказа МЗ РФ</w:t>
                  </w:r>
                </w:p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от 15.05.2020г.</w:t>
                  </w:r>
                </w:p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sz w:val="18"/>
                      <w:szCs w:val="18"/>
                    </w:rPr>
                    <w:t>№</w:t>
                  </w:r>
                  <w:r>
                    <w:rPr>
                      <w:sz w:val="18"/>
                      <w:szCs w:val="18"/>
                    </w:rPr>
                    <w:t>450н</w:t>
                  </w:r>
                  <w:r>
                    <w:rPr>
                      <w:bCs/>
                      <w:sz w:val="18"/>
                      <w:szCs w:val="18"/>
                    </w:rPr>
                    <w:t>, руб</w:t>
                  </w: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.</w:t>
                  </w:r>
                </w:p>
              </w:tc>
            </w:tr>
            <w:tr>
              <w:trPr>
                <w:trHeight w:val="211" w:hRule="atLeast"/>
              </w:trPr>
              <w:tc>
                <w:tcPr>
                  <w:tcW w:w="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Calibri" w:ascii="PT Astra Serif" w:hAnsi="PT Astra Serif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4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1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</w:tr>
            <w:tr>
              <w:trPr>
                <w:trHeight w:val="211" w:hRule="atLeast"/>
              </w:trPr>
              <w:tc>
                <w:tcPr>
                  <w:tcW w:w="702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18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uppressAutoHyphens w:val="false"/>
                    <w:snapToGrid w:val="false"/>
                    <w:jc w:val="left"/>
                    <w:rPr>
                      <w:rFonts w:eastAsia="Calibri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 w:cs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Набор для аспирации трахеобронхиального секрета</w:t>
                  </w:r>
                </w:p>
              </w:tc>
              <w:tc>
                <w:tcPr>
                  <w:tcW w:w="735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shd w:fill="FFFFFF" w:val="clear"/>
                    </w:rPr>
                    <w:t>шт</w:t>
                  </w:r>
                </w:p>
              </w:tc>
              <w:tc>
                <w:tcPr>
                  <w:tcW w:w="856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 w:cs="PT Astra Serif"/>
                      <w:sz w:val="20"/>
                      <w:szCs w:val="20"/>
                      <w:lang w:val="en-US"/>
                    </w:rPr>
                  </w:pPr>
                  <w:r>
                    <w:rPr>
                      <w:rFonts w:cs="PT Astra Serif" w:ascii="PT Astra Serif" w:hAnsi="PT Astra Serif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1861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2 345,00</w:t>
                  </w:r>
                </w:p>
              </w:tc>
              <w:tc>
                <w:tcPr>
                  <w:tcW w:w="1485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153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2 345,00</w:t>
                  </w:r>
                </w:p>
              </w:tc>
              <w:tc>
                <w:tcPr>
                  <w:tcW w:w="189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 w:val="false"/>
                      <w:bCs w:val="false"/>
                      <w:color w:val="000000"/>
                      <w:sz w:val="20"/>
                      <w:szCs w:val="20"/>
                    </w:rPr>
                    <w:t>46 900,00</w:t>
                  </w:r>
                </w:p>
              </w:tc>
            </w:tr>
            <w:tr>
              <w:trPr>
                <w:trHeight w:val="367" w:hRule="atLeast"/>
              </w:trPr>
              <w:tc>
                <w:tcPr>
                  <w:tcW w:w="11110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1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46 900,00</w:t>
                  </w:r>
                </w:p>
              </w:tc>
            </w:tr>
          </w:tbl>
          <w:p>
            <w:pPr>
              <w:pStyle w:val="Normal"/>
              <w:suppressAutoHyphens w:val="true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соответствии с п. 18 Приказа Минздрава России от 15.05.2020 №450н НМЦК снижена заказчиком по сравнению с НМЦК, определенной в соответствии с настоящим порядком, исходя из имеющегося у заказчика объема финансового обеспечения для осуществления соответствующей закупки, с пропорциональным снижением начальных цен единиц закупаемых медицинских изделий.</w:t>
            </w:r>
          </w:p>
          <w:p>
            <w:pPr>
              <w:pStyle w:val="Normal"/>
              <w:widowControl w:val="false"/>
              <w:jc w:val="both"/>
              <w:rPr>
                <w:bCs/>
                <w:color w:themeColor="text1" w:val="000000"/>
                <w:sz w:val="20"/>
                <w:szCs w:val="20"/>
              </w:rPr>
            </w:pPr>
            <w:r>
              <w:rPr>
                <w:bCs/>
                <w:color w:themeColor="text1" w:val="000000"/>
                <w:sz w:val="20"/>
                <w:szCs w:val="20"/>
              </w:rPr>
              <w:t xml:space="preserve">НМЦК составляет </w:t>
            </w:r>
            <w:r>
              <w:rPr>
                <w:b/>
                <w:bCs/>
                <w:color w:themeColor="text1" w:val="000000"/>
                <w:sz w:val="20"/>
                <w:szCs w:val="20"/>
              </w:rPr>
              <w:t>46 900,00</w:t>
            </w:r>
            <w:r>
              <w:rPr>
                <w:bCs/>
                <w:color w:themeColor="text1" w:val="000000"/>
                <w:sz w:val="20"/>
                <w:szCs w:val="20"/>
              </w:rPr>
              <w:t xml:space="preserve"> </w:t>
            </w:r>
            <w:r>
              <w:rPr>
                <w:rFonts w:eastAsia="PT Astra Serif" w:ascii="PT Astra Serif" w:hAnsi="PT Astra Serif"/>
                <w:b/>
                <w:bCs/>
                <w:color w:themeColor="text1" w:val="000000"/>
                <w:sz w:val="20"/>
                <w:szCs w:val="20"/>
              </w:rPr>
              <w:t>руб.</w:t>
            </w:r>
          </w:p>
        </w:tc>
      </w:tr>
      <w:tr>
        <w:trPr>
          <w:trHeight w:val="361" w:hRule="atLeast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rFonts w:ascii="PT Astra Serif" w:hAnsi="PT Astra Serif"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b/>
                <w:bCs/>
                <w:sz w:val="20"/>
                <w:szCs w:val="20"/>
                <w:lang w:eastAsia="en-US"/>
              </w:rPr>
              <w:t>Дата подготовки обоснования:</w:t>
            </w:r>
          </w:p>
        </w:tc>
        <w:tc>
          <w:tcPr>
            <w:tcW w:w="1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both"/>
              <w:rPr>
                <w:rFonts w:ascii="PT Astra Serif" w:hAnsi="PT Astra Serif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sz w:val="20"/>
                <w:szCs w:val="20"/>
                <w:lang w:val="ru-RU" w:eastAsia="en-US"/>
              </w:rPr>
              <w:t>1</w:t>
            </w:r>
            <w:r>
              <w:rPr>
                <w:rFonts w:eastAsia="Calibri" w:ascii="PT Astra Serif" w:hAnsi="PT Astra Serif"/>
                <w:sz w:val="20"/>
                <w:szCs w:val="20"/>
                <w:lang w:val="ru-RU" w:eastAsia="en-US"/>
              </w:rPr>
              <w:t>7</w:t>
            </w:r>
            <w:r>
              <w:rPr>
                <w:rFonts w:eastAsia="Calibri" w:ascii="PT Astra Serif" w:hAnsi="PT Astra Serif"/>
                <w:sz w:val="20"/>
                <w:szCs w:val="20"/>
                <w:lang w:val="ru-RU" w:eastAsia="en-US"/>
              </w:rPr>
              <w:t>.08</w:t>
            </w:r>
            <w:r>
              <w:rPr>
                <w:rFonts w:eastAsia="Calibri" w:ascii="PT Astra Serif" w:hAnsi="PT Astra Serif"/>
                <w:sz w:val="20"/>
                <w:szCs w:val="20"/>
                <w:lang w:eastAsia="en-US"/>
              </w:rPr>
              <w:t>.202</w:t>
            </w:r>
            <w:r>
              <w:rPr>
                <w:rFonts w:eastAsia="Calibri" w:ascii="PT Astra Serif" w:hAnsi="PT Astra Serif"/>
                <w:sz w:val="20"/>
                <w:szCs w:val="20"/>
                <w:lang w:val="ru-RU" w:eastAsia="en-US"/>
              </w:rPr>
              <w:t>6</w:t>
            </w:r>
            <w:r>
              <w:rPr>
                <w:rFonts w:eastAsia="Calibri" w:ascii="PT Astra Serif" w:hAnsi="PT Astra Serif"/>
                <w:sz w:val="20"/>
                <w:szCs w:val="20"/>
                <w:lang w:eastAsia="en-US"/>
              </w:rPr>
              <w:t>г.</w:t>
            </w:r>
          </w:p>
        </w:tc>
      </w:tr>
    </w:tbl>
    <w:p>
      <w:pPr>
        <w:pStyle w:val="Normal"/>
        <w:widowControl w:val="false"/>
        <w:rPr>
          <w:rFonts w:ascii="PT Astra Serif" w:hAnsi="PT Astra Serif"/>
          <w:bCs/>
          <w:color w:val="000000"/>
          <w:sz w:val="20"/>
          <w:szCs w:val="22"/>
        </w:rPr>
      </w:pPr>
      <w:r>
        <w:rPr>
          <w:rFonts w:ascii="PT Astra Serif" w:hAnsi="PT Astra Serif"/>
          <w:bCs/>
          <w:color w:val="000000"/>
          <w:sz w:val="20"/>
          <w:szCs w:val="22"/>
        </w:rPr>
      </w:r>
    </w:p>
    <w:tbl>
      <w:tblPr>
        <w:tblW w:w="15931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701"/>
        <w:gridCol w:w="169"/>
        <w:gridCol w:w="2608"/>
        <w:gridCol w:w="481"/>
        <w:gridCol w:w="10972"/>
      </w:tblGrid>
      <w:tr>
        <w:trPr/>
        <w:tc>
          <w:tcPr>
            <w:tcW w:w="4959" w:type="dxa"/>
            <w:gridSpan w:val="4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Руководитель контрактной службы</w:t>
            </w:r>
          </w:p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Зам. гл. врача по финансово-экономическим вопросам</w:t>
            </w:r>
          </w:p>
        </w:tc>
        <w:tc>
          <w:tcPr>
            <w:tcW w:w="10972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4959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(должность)</w:t>
            </w:r>
          </w:p>
        </w:tc>
        <w:tc>
          <w:tcPr>
            <w:tcW w:w="10972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170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</w:tc>
        <w:tc>
          <w:tcPr>
            <w:tcW w:w="16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26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Зюнова М.В.</w:t>
            </w:r>
          </w:p>
        </w:tc>
        <w:tc>
          <w:tcPr>
            <w:tcW w:w="48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0972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4959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(подпись/ расшифровка подписи)</w:t>
            </w:r>
          </w:p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10972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rPr>
          <w:rFonts w:ascii="PT Astra Serif" w:hAnsi="PT Astra Serif"/>
          <w:bCs/>
          <w:color w:val="000000"/>
          <w:sz w:val="20"/>
          <w:szCs w:val="22"/>
        </w:rPr>
      </w:pPr>
      <w:r>
        <w:rPr>
          <w:rFonts w:ascii="PT Astra Serif" w:hAnsi="PT Astra Serif"/>
          <w:bCs/>
          <w:color w:val="000000"/>
          <w:sz w:val="16"/>
          <w:szCs w:val="22"/>
          <w:u w:val="single"/>
        </w:rPr>
        <w:t>Кушнаренко С.С. (8422) 48 61 23___________</w:t>
      </w:r>
    </w:p>
    <w:p>
      <w:pPr>
        <w:pStyle w:val="Normal"/>
        <w:widowControl w:val="false"/>
        <w:rPr>
          <w:rFonts w:ascii="PT Astra Serif" w:hAnsi="PT Astra Serif"/>
          <w:sz w:val="16"/>
          <w:szCs w:val="16"/>
          <w:u w:val="single"/>
        </w:rPr>
      </w:pPr>
      <w:r>
        <w:rPr>
          <w:rFonts w:ascii="PT Astra Serif" w:hAnsi="PT Astra Serif"/>
          <w:bCs/>
          <w:color w:val="000000"/>
          <w:sz w:val="16"/>
          <w:szCs w:val="22"/>
        </w:rPr>
        <w:t>(Ф.И.О. исполнителя/ контактный телефон)</w:t>
      </w:r>
    </w:p>
    <w:sectPr>
      <w:type w:val="nextPage"/>
      <w:pgSz w:orient="landscape" w:w="16838" w:h="11906"/>
      <w:pgMar w:left="1134" w:right="1134" w:gutter="0" w:header="0" w:top="1701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Arial Unicode MS">
    <w:charset w:val="cc"/>
    <w:family w:val="swiss"/>
    <w:pitch w:val="variable"/>
  </w:font>
  <w:font w:name="PT Astra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7746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5460a8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ze60" w:customStyle="1">
    <w:name w:val="size60"/>
    <w:basedOn w:val="DefaultParagraphFont"/>
    <w:qFormat/>
    <w:rsid w:val="0001788f"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7720e"/>
    <w:rPr>
      <w:rFonts w:ascii="Tahoma" w:hAnsi="Tahoma" w:eastAsia="Times New Roman" w:cs="Tahoma"/>
      <w:sz w:val="16"/>
      <w:szCs w:val="16"/>
      <w:lang w:eastAsia="ru-RU"/>
    </w:rPr>
  </w:style>
  <w:style w:type="character" w:styleId="Style14" w:customStyle="1">
    <w:name w:val="Основной текст Знак"/>
    <w:basedOn w:val="DefaultParagraphFont"/>
    <w:qFormat/>
    <w:rsid w:val="0045587f"/>
    <w:rPr>
      <w:rFonts w:ascii="Times New Roman" w:hAnsi="Times New Roman" w:eastAsia="Times New Roman" w:cs="Times New Roman"/>
      <w:sz w:val="24"/>
      <w:szCs w:val="20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320b1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320b1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7" w:customStyle="1">
    <w:name w:val="Текст сноски Знак"/>
    <w:basedOn w:val="DefaultParagraphFont"/>
    <w:uiPriority w:val="99"/>
    <w:semiHidden/>
    <w:qFormat/>
    <w:rsid w:val="0095613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user">
    <w:name w:val="Символ сноски (user)"/>
    <w:uiPriority w:val="99"/>
    <w:semiHidden/>
    <w:unhideWhenUsed/>
    <w:qFormat/>
    <w:rsid w:val="0095613b"/>
    <w:rPr>
      <w:vertAlign w:val="superscript"/>
    </w:rPr>
  </w:style>
  <w:style w:type="character" w:styleId="Style18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450a93"/>
    <w:rPr>
      <w:color w:val="0000FF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5460a8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9" w:customStyle="1">
    <w:name w:val="Без интервала Знак"/>
    <w:link w:val="NoSpacing"/>
    <w:uiPriority w:val="1"/>
    <w:qFormat/>
    <w:rsid w:val="00345e94"/>
    <w:rPr/>
  </w:style>
  <w:style w:type="character" w:styleId="ng-star-inserted">
    <w:name w:val="ng-star-inserted"/>
    <w:qFormat/>
    <w:rPr/>
  </w:style>
  <w:style w:type="character" w:styleId="Style20">
    <w:name w:val="Обычный (веб) Знак"/>
    <w:qFormat/>
    <w:rPr>
      <w:sz w:val="24"/>
      <w:szCs w:val="24"/>
    </w:rPr>
  </w:style>
  <w:style w:type="character" w:styleId="2">
    <w:name w:val="Заголовок 2 Знак"/>
    <w:qFormat/>
    <w:rPr>
      <w:rFonts w:ascii="Cambria" w:hAnsi="Cambria" w:cs="Cambria"/>
      <w:b/>
      <w:bCs/>
      <w:i/>
      <w:iCs/>
      <w:sz w:val="28"/>
      <w:szCs w:val="28"/>
    </w:rPr>
  </w:style>
  <w:style w:type="character" w:styleId="blk1">
    <w:name w:val="blk1"/>
    <w:qFormat/>
    <w:rPr>
      <w:vanish w:val="false"/>
    </w:rPr>
  </w:style>
  <w:style w:type="character" w:styleId="ConsPlusNormal">
    <w:name w:val="ConsPlusNormal Знак"/>
    <w:qFormat/>
    <w:rPr>
      <w:rFonts w:eastAsia="Calibri"/>
      <w:b/>
      <w:bCs/>
      <w:lang w:bidi="ar-SA"/>
    </w:rPr>
  </w:style>
  <w:style w:type="character" w:styleId="apple-converted-space">
    <w:name w:val="apple-converted-space"/>
    <w:qFormat/>
    <w:rPr/>
  </w:style>
  <w:style w:type="character" w:styleId="11">
    <w:name w:val="Основной шрифт абзаца1"/>
    <w:qFormat/>
    <w:rPr/>
  </w:style>
  <w:style w:type="character" w:styleId="WW8Num15z0">
    <w:name w:val="WW8Num15z0"/>
    <w:qFormat/>
    <w:rPr/>
  </w:style>
  <w:style w:type="character" w:styleId="WW8Num14z0">
    <w:name w:val="WW8Num14z0"/>
    <w:qFormat/>
    <w:rPr/>
  </w:style>
  <w:style w:type="character" w:styleId="WW8Num13z0">
    <w:name w:val="WW8Num13z0"/>
    <w:qFormat/>
    <w:rPr/>
  </w:style>
  <w:style w:type="character" w:styleId="WW8Num12z0">
    <w:name w:val="WW8Num12z0"/>
    <w:qFormat/>
    <w:rPr/>
  </w:style>
  <w:style w:type="character" w:styleId="WW8Num11z0">
    <w:name w:val="WW8Num11z0"/>
    <w:qFormat/>
    <w:rPr>
      <w:b w:val="false"/>
    </w:rPr>
  </w:style>
  <w:style w:type="character" w:styleId="WW8Num10z0">
    <w:name w:val="WW8Num10z0"/>
    <w:qFormat/>
    <w:rPr/>
  </w:style>
  <w:style w:type="character" w:styleId="WW8Num9z0">
    <w:name w:val="WW8Num9z0"/>
    <w:qFormat/>
    <w:rPr/>
  </w:style>
  <w:style w:type="character" w:styleId="WW8Num8z0">
    <w:name w:val="WW8Num8z0"/>
    <w:qFormat/>
    <w:rPr>
      <w:sz w:val="24"/>
    </w:rPr>
  </w:style>
  <w:style w:type="character" w:styleId="WW8Num7z0">
    <w:name w:val="WW8Num7z0"/>
    <w:qFormat/>
    <w:rPr/>
  </w:style>
  <w:style w:type="character" w:styleId="WW8Num6z0">
    <w:name w:val="WW8Num6z0"/>
    <w:qFormat/>
    <w:rPr/>
  </w:style>
  <w:style w:type="character" w:styleId="WW8Num5z0">
    <w:name w:val="WW8Num5z0"/>
    <w:qFormat/>
    <w:rPr/>
  </w:style>
  <w:style w:type="character" w:styleId="WW8Num4z0">
    <w:name w:val="WW8Num4z0"/>
    <w:qFormat/>
    <w:rPr/>
  </w:style>
  <w:style w:type="character" w:styleId="WW8Num3z0">
    <w:name w:val="WW8Num3z0"/>
    <w:qFormat/>
    <w:rPr/>
  </w:style>
  <w:style w:type="character" w:styleId="WW8Num2z0">
    <w:name w:val="WW8Num2z0"/>
    <w:qFormat/>
    <w:rPr/>
  </w:style>
  <w:style w:type="character" w:styleId="Style21">
    <w:name w:val="Основной шрифт абзаца"/>
    <w:qFormat/>
    <w:rPr/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Style14"/>
    <w:rsid w:val="0045587f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 Unicode M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 Unicode MS"/>
    </w:rPr>
  </w:style>
  <w:style w:type="paragraph" w:styleId="ConsPlusNormal1" w:customStyle="1">
    <w:name w:val="ConsPlusNormal"/>
    <w:qFormat/>
    <w:rsid w:val="002d7d12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7720e"/>
    <w:pPr/>
    <w:rPr>
      <w:rFonts w:ascii="Tahoma" w:hAnsi="Tahoma" w:cs="Tahoma"/>
      <w:sz w:val="16"/>
      <w:szCs w:val="16"/>
    </w:rPr>
  </w:style>
  <w:style w:type="paragraph" w:styleId="3" w:customStyle="1">
    <w:name w:val="Стиль3 Знак Знак"/>
    <w:basedOn w:val="Normal"/>
    <w:qFormat/>
    <w:rsid w:val="00031f1b"/>
    <w:pPr>
      <w:widowControl w:val="false"/>
      <w:tabs>
        <w:tab w:val="clear" w:pos="708"/>
        <w:tab w:val="left" w:pos="2160" w:leader="none"/>
      </w:tabs>
      <w:ind w:hanging="360" w:left="2160"/>
      <w:jc w:val="both"/>
    </w:pPr>
    <w:rPr>
      <w:szCs w:val="20"/>
    </w:rPr>
  </w:style>
  <w:style w:type="paragraph" w:styleId="NormalWeb">
    <w:name w:val="Normal (Web)"/>
    <w:basedOn w:val="Normal"/>
    <w:qFormat/>
    <w:rsid w:val="0045587f"/>
    <w:pPr>
      <w:suppressAutoHyphens w:val="true"/>
      <w:spacing w:before="100" w:after="100"/>
    </w:pPr>
    <w:rPr>
      <w:rFonts w:ascii="Arial Unicode MS" w:hAnsi="Arial Unicode MS" w:eastAsia="Arial Unicode MS" w:cs="Arial Unicode MS"/>
      <w:lang w:eastAsia="ar-SA"/>
    </w:rPr>
  </w:style>
  <w:style w:type="paragraph" w:styleId="ListParagraph">
    <w:name w:val="List Paragraph"/>
    <w:basedOn w:val="Normal"/>
    <w:uiPriority w:val="34"/>
    <w:qFormat/>
    <w:rsid w:val="009144c1"/>
    <w:pPr>
      <w:spacing w:before="0" w:after="0"/>
      <w:ind w:left="720"/>
      <w:contextualSpacing/>
    </w:pPr>
    <w:rPr/>
  </w:style>
  <w:style w:type="paragraph" w:styleId="user3">
    <w:name w:val="Колонтитулы (user)"/>
    <w:basedOn w:val="Normal"/>
    <w:qFormat/>
    <w:pPr/>
    <w:rPr/>
  </w:style>
  <w:style w:type="paragraph" w:styleId="Style24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320b1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320b1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semiHidden/>
    <w:unhideWhenUsed/>
    <w:rsid w:val="0095613b"/>
    <w:pPr/>
    <w:rPr>
      <w:sz w:val="20"/>
      <w:szCs w:val="20"/>
    </w:rPr>
  </w:style>
  <w:style w:type="paragraph" w:styleId="Default" w:customStyle="1">
    <w:name w:val="Default"/>
    <w:uiPriority w:val="99"/>
    <w:qFormat/>
    <w:rsid w:val="00224ff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12" w:customStyle="1">
    <w:name w:val="Обычный1"/>
    <w:qFormat/>
    <w:rsid w:val="0048082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Spacing">
    <w:name w:val="No Spacing"/>
    <w:link w:val="Style19"/>
    <w:uiPriority w:val="1"/>
    <w:qFormat/>
    <w:rsid w:val="00345e9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user6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d7d1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894326"/>
    <w:pPr>
      <w:spacing w:after="0" w:line="240" w:lineRule="auto"/>
    </w:pPr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56473-3714-4DE2-AA5C-D1B5F23F0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Application>LibreOffice/25.2.7.2$Windows_X86_64 LibreOffice_project/5cbfd1ab6520636bb5f7b99185aa69bd7456825d</Application>
  <AppVersion>15.0000</AppVersion>
  <Pages>2</Pages>
  <Words>568</Words>
  <Characters>3504</Characters>
  <CharactersWithSpaces>3997</CharactersWithSpaces>
  <Paragraphs>106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2025-07-31T07:56:00Z</dcterms:created>
  <dc:creator>USER</dc:creator>
  <dc:description/>
  <dc:language>ru-RU</dc:language>
  <cp:lastModifiedBy/>
  <cp:lastPrinted>2026-06-23T15:08:39Z</cp:lastPrinted>
  <dcterms:modified xsi:type="dcterms:W3CDTF">2026-08-17T15:20:07Z</dcterms:modified>
  <cp:revision>79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