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2B" w:rsidRPr="00D21555" w:rsidRDefault="00865E2B" w:rsidP="00865E2B">
      <w:pPr>
        <w:pStyle w:val="1"/>
        <w:spacing w:line="276" w:lineRule="auto"/>
        <w:jc w:val="right"/>
        <w:rPr>
          <w:rFonts w:ascii="PT Astra Serif" w:hAnsi="PT Astra Serif" w:cs="Times New Roman"/>
          <w:color w:val="000000"/>
          <w:sz w:val="26"/>
          <w:szCs w:val="26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</w:rPr>
        <w:t xml:space="preserve">Приложение № 1 </w:t>
      </w:r>
    </w:p>
    <w:p w:rsidR="00865E2B" w:rsidRPr="00D21555" w:rsidRDefault="00865E2B" w:rsidP="00865E2B">
      <w:pPr>
        <w:pStyle w:val="1"/>
        <w:spacing w:line="276" w:lineRule="auto"/>
        <w:jc w:val="right"/>
        <w:rPr>
          <w:rFonts w:ascii="PT Astra Serif" w:hAnsi="PT Astra Serif" w:cs="Times New Roman"/>
          <w:color w:val="000000"/>
          <w:sz w:val="26"/>
          <w:szCs w:val="26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</w:rPr>
        <w:t>от «__» _____________202</w:t>
      </w:r>
      <w:r w:rsidR="00AB464B">
        <w:rPr>
          <w:rFonts w:ascii="PT Astra Serif" w:hAnsi="PT Astra Serif" w:cs="Times New Roman"/>
          <w:color w:val="000000"/>
          <w:sz w:val="26"/>
          <w:szCs w:val="26"/>
        </w:rPr>
        <w:t>6</w:t>
      </w:r>
      <w:r w:rsidRPr="00D21555">
        <w:rPr>
          <w:rFonts w:ascii="PT Astra Serif" w:hAnsi="PT Astra Serif" w:cs="Times New Roman"/>
          <w:color w:val="000000"/>
          <w:sz w:val="26"/>
          <w:szCs w:val="26"/>
        </w:rPr>
        <w:t xml:space="preserve"> г.</w:t>
      </w:r>
    </w:p>
    <w:p w:rsidR="00865E2B" w:rsidRPr="00D21555" w:rsidRDefault="00865E2B" w:rsidP="00865E2B">
      <w:pPr>
        <w:rPr>
          <w:rFonts w:ascii="PT Astra Serif" w:hAnsi="PT Astra Serif"/>
          <w:b/>
          <w:sz w:val="26"/>
          <w:szCs w:val="26"/>
        </w:rPr>
      </w:pPr>
    </w:p>
    <w:p w:rsidR="00865E2B" w:rsidRPr="00D21555" w:rsidRDefault="00865E2B" w:rsidP="00865E2B">
      <w:pPr>
        <w:jc w:val="center"/>
        <w:rPr>
          <w:rFonts w:ascii="PT Astra Serif" w:hAnsi="PT Astra Serif"/>
          <w:b/>
          <w:sz w:val="26"/>
          <w:szCs w:val="26"/>
        </w:rPr>
      </w:pPr>
      <w:r w:rsidRPr="00D21555">
        <w:rPr>
          <w:rFonts w:ascii="PT Astra Serif" w:hAnsi="PT Astra Serif"/>
          <w:b/>
          <w:sz w:val="26"/>
          <w:szCs w:val="26"/>
        </w:rPr>
        <w:t>Техническое задание</w:t>
      </w:r>
    </w:p>
    <w:tbl>
      <w:tblPr>
        <w:tblpPr w:leftFromText="180" w:rightFromText="180" w:vertAnchor="text" w:horzAnchor="margin" w:tblpXSpec="center" w:tblpY="10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548"/>
        <w:gridCol w:w="1672"/>
        <w:gridCol w:w="884"/>
        <w:gridCol w:w="1021"/>
      </w:tblGrid>
      <w:tr w:rsidR="00865E2B" w:rsidRPr="00D21555" w:rsidTr="004A64F4">
        <w:trPr>
          <w:trHeight w:val="4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B" w:rsidRPr="00D21555" w:rsidRDefault="00865E2B" w:rsidP="004A6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D21555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B" w:rsidRPr="00D21555" w:rsidRDefault="00865E2B" w:rsidP="004A6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D21555">
              <w:rPr>
                <w:rFonts w:ascii="PT Astra Serif" w:hAnsi="PT Astra Serif"/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B" w:rsidRPr="00D21555" w:rsidRDefault="00865E2B" w:rsidP="004A6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D21555">
              <w:rPr>
                <w:rFonts w:ascii="PT Astra Serif" w:hAnsi="PT Astra Serif"/>
                <w:color w:val="000000"/>
                <w:sz w:val="26"/>
                <w:szCs w:val="26"/>
              </w:rPr>
              <w:t>ОКПД 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B" w:rsidRPr="00D21555" w:rsidRDefault="00865E2B" w:rsidP="004A6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D21555">
              <w:rPr>
                <w:rFonts w:ascii="PT Astra Serif" w:hAnsi="PT Astra Serif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B" w:rsidRPr="00D21555" w:rsidRDefault="00865E2B" w:rsidP="004A6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D21555">
              <w:rPr>
                <w:rFonts w:ascii="PT Astra Serif" w:hAnsi="PT Astra Serif"/>
                <w:color w:val="000000"/>
                <w:sz w:val="26"/>
                <w:szCs w:val="26"/>
              </w:rPr>
              <w:t>Ед. изм.</w:t>
            </w:r>
          </w:p>
        </w:tc>
      </w:tr>
      <w:tr w:rsidR="00865E2B" w:rsidRPr="00D21555" w:rsidTr="004A64F4">
        <w:trPr>
          <w:trHeight w:val="15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B" w:rsidRPr="00D21555" w:rsidRDefault="00865E2B" w:rsidP="004A6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D21555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E2B" w:rsidRPr="00D21555" w:rsidRDefault="00865E2B" w:rsidP="004A64F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21555">
              <w:rPr>
                <w:rFonts w:ascii="PT Astra Serif" w:hAnsi="PT Astra Serif"/>
                <w:bCs/>
                <w:sz w:val="26"/>
                <w:szCs w:val="26"/>
              </w:rPr>
              <w:t>Услуги по</w:t>
            </w:r>
            <w:r w:rsidRPr="00D21555">
              <w:rPr>
                <w:rFonts w:ascii="PT Astra Serif" w:hAnsi="PT Astra Serif"/>
                <w:sz w:val="26"/>
                <w:szCs w:val="26"/>
              </w:rPr>
              <w:t xml:space="preserve"> оценке рыночной стоимости лома черных металлов образовавшегося в результате списания объектов основных средств и хозяйственной </w:t>
            </w:r>
            <w:proofErr w:type="gramStart"/>
            <w:r w:rsidRPr="00D21555">
              <w:rPr>
                <w:rFonts w:ascii="PT Astra Serif" w:hAnsi="PT Astra Serif"/>
                <w:sz w:val="26"/>
                <w:szCs w:val="26"/>
              </w:rPr>
              <w:t>деятельности  ФКУ</w:t>
            </w:r>
            <w:proofErr w:type="gramEnd"/>
            <w:r w:rsidRPr="00D21555">
              <w:rPr>
                <w:rFonts w:ascii="PT Astra Serif" w:hAnsi="PT Astra Serif"/>
                <w:sz w:val="26"/>
                <w:szCs w:val="26"/>
              </w:rPr>
              <w:t xml:space="preserve"> ИК-6 УФСИН России по Псковской области.</w:t>
            </w:r>
          </w:p>
          <w:p w:rsidR="00865E2B" w:rsidRPr="00D21555" w:rsidRDefault="00865E2B" w:rsidP="00AB46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21555">
              <w:rPr>
                <w:rFonts w:ascii="PT Astra Serif" w:hAnsi="PT Astra Serif"/>
                <w:sz w:val="26"/>
                <w:szCs w:val="26"/>
              </w:rPr>
              <w:t xml:space="preserve">Лом черных металлов – </w:t>
            </w:r>
            <w:r w:rsidR="00AB464B">
              <w:rPr>
                <w:rFonts w:ascii="PT Astra Serif" w:hAnsi="PT Astra Serif"/>
                <w:sz w:val="26"/>
                <w:szCs w:val="26"/>
              </w:rPr>
              <w:t>1638</w:t>
            </w:r>
            <w:r w:rsidRPr="00D21555">
              <w:rPr>
                <w:rFonts w:ascii="PT Astra Serif" w:hAnsi="PT Astra Serif"/>
                <w:sz w:val="26"/>
                <w:szCs w:val="26"/>
              </w:rPr>
              <w:t xml:space="preserve"> кг.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B" w:rsidRPr="00D21555" w:rsidRDefault="00865E2B" w:rsidP="004A64F4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D21555">
              <w:rPr>
                <w:rFonts w:ascii="PT Astra Serif" w:hAnsi="PT Astra Serif"/>
                <w:sz w:val="26"/>
                <w:szCs w:val="26"/>
              </w:rPr>
              <w:t xml:space="preserve">74.90.12.121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B" w:rsidRPr="00D21555" w:rsidRDefault="00865E2B" w:rsidP="004A64F4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D21555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B" w:rsidRPr="00D21555" w:rsidRDefault="00865E2B" w:rsidP="004A64F4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spellStart"/>
            <w:r w:rsidRPr="00D21555">
              <w:rPr>
                <w:rFonts w:ascii="PT Astra Serif" w:hAnsi="PT Astra Serif"/>
                <w:color w:val="000000"/>
                <w:sz w:val="26"/>
                <w:szCs w:val="26"/>
              </w:rPr>
              <w:t>усл.ед</w:t>
            </w:r>
            <w:proofErr w:type="spellEnd"/>
          </w:p>
        </w:tc>
      </w:tr>
    </w:tbl>
    <w:p w:rsidR="00865E2B" w:rsidRPr="00D21555" w:rsidRDefault="00865E2B" w:rsidP="00865E2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PT Astra Serif" w:hAnsi="PT Astra Serif"/>
          <w:sz w:val="26"/>
          <w:szCs w:val="26"/>
        </w:rPr>
      </w:pPr>
      <w:r w:rsidRPr="00D21555">
        <w:rPr>
          <w:rFonts w:ascii="PT Astra Serif" w:hAnsi="PT Astra Serif"/>
          <w:b/>
          <w:sz w:val="26"/>
          <w:szCs w:val="26"/>
        </w:rPr>
        <w:t>Место оказания услуги:</w:t>
      </w:r>
      <w:r w:rsidRPr="00D21555">
        <w:rPr>
          <w:rFonts w:ascii="PT Astra Serif" w:hAnsi="PT Astra Serif"/>
          <w:sz w:val="26"/>
          <w:szCs w:val="26"/>
        </w:rPr>
        <w:t xml:space="preserve"> Российская Федерация, 182277, Псковская область, Себежский район, </w:t>
      </w:r>
      <w:proofErr w:type="spellStart"/>
      <w:r w:rsidRPr="00D21555">
        <w:rPr>
          <w:rFonts w:ascii="PT Astra Serif" w:hAnsi="PT Astra Serif"/>
          <w:sz w:val="26"/>
          <w:szCs w:val="26"/>
        </w:rPr>
        <w:t>г.п</w:t>
      </w:r>
      <w:proofErr w:type="spellEnd"/>
      <w:r w:rsidRPr="00D21555">
        <w:rPr>
          <w:rFonts w:ascii="PT Astra Serif" w:hAnsi="PT Astra Serif"/>
          <w:sz w:val="26"/>
          <w:szCs w:val="26"/>
        </w:rPr>
        <w:t xml:space="preserve">. «Сосновый Бор», </w:t>
      </w:r>
      <w:proofErr w:type="spellStart"/>
      <w:r w:rsidRPr="00D21555">
        <w:rPr>
          <w:rFonts w:ascii="PT Astra Serif" w:hAnsi="PT Astra Serif"/>
          <w:sz w:val="26"/>
          <w:szCs w:val="26"/>
        </w:rPr>
        <w:t>р.п</w:t>
      </w:r>
      <w:proofErr w:type="spellEnd"/>
      <w:r w:rsidRPr="00D21555">
        <w:rPr>
          <w:rFonts w:ascii="PT Astra Serif" w:hAnsi="PT Astra Serif"/>
          <w:sz w:val="26"/>
          <w:szCs w:val="26"/>
        </w:rPr>
        <w:t>. Сосновый Бор, (Склад Государственного заказчика).</w:t>
      </w:r>
    </w:p>
    <w:p w:rsidR="00865E2B" w:rsidRPr="00D21555" w:rsidRDefault="00865E2B" w:rsidP="00865E2B">
      <w:pPr>
        <w:autoSpaceDE w:val="0"/>
        <w:autoSpaceDN w:val="0"/>
        <w:adjustRightInd w:val="0"/>
        <w:spacing w:after="0"/>
        <w:ind w:firstLine="357"/>
        <w:jc w:val="both"/>
        <w:rPr>
          <w:rFonts w:ascii="PT Astra Serif" w:hAnsi="PT Astra Serif"/>
          <w:sz w:val="26"/>
          <w:szCs w:val="26"/>
        </w:rPr>
      </w:pPr>
      <w:r w:rsidRPr="00D21555">
        <w:rPr>
          <w:rFonts w:ascii="PT Astra Serif" w:hAnsi="PT Astra Serif"/>
          <w:sz w:val="26"/>
          <w:szCs w:val="26"/>
        </w:rPr>
        <w:t xml:space="preserve">Оказание услуг осуществляется в рабочие дни недели </w:t>
      </w:r>
      <w:proofErr w:type="gramStart"/>
      <w:r w:rsidRPr="00D21555">
        <w:rPr>
          <w:rFonts w:ascii="PT Astra Serif" w:hAnsi="PT Astra Serif"/>
          <w:sz w:val="26"/>
          <w:szCs w:val="26"/>
        </w:rPr>
        <w:t>с  8</w:t>
      </w:r>
      <w:proofErr w:type="gramEnd"/>
      <w:r w:rsidRPr="00D21555">
        <w:rPr>
          <w:rFonts w:ascii="PT Astra Serif" w:hAnsi="PT Astra Serif"/>
          <w:sz w:val="26"/>
          <w:szCs w:val="26"/>
        </w:rPr>
        <w:t xml:space="preserve">-00 ч. до 13-00 ч. с 14-00 ч. до 16-00 ч. </w:t>
      </w:r>
    </w:p>
    <w:p w:rsidR="00865E2B" w:rsidRPr="00D21555" w:rsidRDefault="00865E2B" w:rsidP="00865E2B">
      <w:pPr>
        <w:autoSpaceDE w:val="0"/>
        <w:autoSpaceDN w:val="0"/>
        <w:adjustRightInd w:val="0"/>
        <w:spacing w:after="0"/>
        <w:ind w:firstLine="357"/>
        <w:jc w:val="both"/>
        <w:rPr>
          <w:rFonts w:ascii="PT Astra Serif" w:hAnsi="PT Astra Serif"/>
          <w:sz w:val="26"/>
          <w:szCs w:val="26"/>
        </w:rPr>
      </w:pPr>
      <w:r w:rsidRPr="00D21555">
        <w:rPr>
          <w:rFonts w:ascii="PT Astra Serif" w:hAnsi="PT Astra Serif"/>
          <w:b/>
          <w:sz w:val="26"/>
          <w:szCs w:val="26"/>
        </w:rPr>
        <w:t xml:space="preserve">Цена услуги: </w:t>
      </w:r>
      <w:r w:rsidRPr="00D21555">
        <w:rPr>
          <w:rFonts w:ascii="PT Astra Serif" w:hAnsi="PT Astra Serif"/>
          <w:sz w:val="26"/>
          <w:szCs w:val="26"/>
        </w:rPr>
        <w:t xml:space="preserve">с учетом всех дополнительных составляющих.  </w:t>
      </w:r>
    </w:p>
    <w:p w:rsidR="00865E2B" w:rsidRPr="00D21555" w:rsidRDefault="00865E2B" w:rsidP="00865E2B">
      <w:pPr>
        <w:spacing w:after="0"/>
        <w:ind w:firstLine="357"/>
        <w:jc w:val="both"/>
        <w:rPr>
          <w:rFonts w:ascii="PT Astra Serif" w:hAnsi="PT Astra Serif"/>
          <w:sz w:val="26"/>
          <w:szCs w:val="26"/>
        </w:rPr>
      </w:pPr>
      <w:r w:rsidRPr="00D21555">
        <w:rPr>
          <w:rFonts w:ascii="PT Astra Serif" w:hAnsi="PT Astra Serif"/>
          <w:b/>
          <w:sz w:val="26"/>
          <w:szCs w:val="26"/>
        </w:rPr>
        <w:t>Сроки оказания услуги</w:t>
      </w:r>
      <w:r w:rsidRPr="00D21555">
        <w:rPr>
          <w:rFonts w:ascii="PT Astra Serif" w:hAnsi="PT Astra Serif"/>
          <w:sz w:val="26"/>
          <w:szCs w:val="26"/>
        </w:rPr>
        <w:t>: в течение</w:t>
      </w:r>
      <w:r w:rsidRPr="00D21555">
        <w:rPr>
          <w:rFonts w:ascii="PT Astra Serif" w:hAnsi="PT Astra Serif"/>
          <w:b/>
          <w:sz w:val="26"/>
          <w:szCs w:val="26"/>
        </w:rPr>
        <w:t xml:space="preserve"> 20 рабочих дней</w:t>
      </w:r>
      <w:r w:rsidRPr="00D21555">
        <w:rPr>
          <w:rFonts w:ascii="PT Astra Serif" w:hAnsi="PT Astra Serif"/>
          <w:sz w:val="26"/>
          <w:szCs w:val="26"/>
        </w:rPr>
        <w:t xml:space="preserve"> с момента заключения государственного контракта.</w:t>
      </w:r>
    </w:p>
    <w:p w:rsidR="00865E2B" w:rsidRPr="00D21555" w:rsidRDefault="00865E2B" w:rsidP="00865E2B">
      <w:pPr>
        <w:spacing w:after="0"/>
        <w:ind w:firstLine="357"/>
        <w:jc w:val="both"/>
        <w:rPr>
          <w:rFonts w:ascii="PT Astra Serif" w:hAnsi="PT Astra Serif"/>
          <w:sz w:val="26"/>
          <w:szCs w:val="26"/>
        </w:rPr>
      </w:pPr>
      <w:r w:rsidRPr="00D21555">
        <w:rPr>
          <w:rFonts w:ascii="PT Astra Serif" w:hAnsi="PT Astra Serif"/>
          <w:b/>
          <w:sz w:val="26"/>
          <w:szCs w:val="26"/>
        </w:rPr>
        <w:t>Срок оплаты:</w:t>
      </w:r>
      <w:r w:rsidRPr="00D21555">
        <w:rPr>
          <w:rFonts w:ascii="PT Astra Serif" w:hAnsi="PT Astra Serif"/>
          <w:sz w:val="26"/>
          <w:szCs w:val="26"/>
        </w:rPr>
        <w:t xml:space="preserve"> в течение </w:t>
      </w:r>
      <w:r w:rsidRPr="00D21555">
        <w:rPr>
          <w:rFonts w:ascii="PT Astra Serif" w:hAnsi="PT Astra Serif"/>
          <w:b/>
          <w:sz w:val="26"/>
          <w:szCs w:val="26"/>
        </w:rPr>
        <w:t>7 рабочих дней</w:t>
      </w:r>
      <w:r w:rsidRPr="00D21555">
        <w:rPr>
          <w:rFonts w:ascii="PT Astra Serif" w:hAnsi="PT Astra Serif"/>
          <w:sz w:val="26"/>
          <w:szCs w:val="26"/>
        </w:rPr>
        <w:t xml:space="preserve"> со дня подписания документа о приемке оказанных услуг.</w:t>
      </w:r>
    </w:p>
    <w:p w:rsidR="00865E2B" w:rsidRPr="00D21555" w:rsidRDefault="00865E2B" w:rsidP="00865E2B">
      <w:pPr>
        <w:pStyle w:val="1"/>
        <w:spacing w:line="276" w:lineRule="auto"/>
        <w:ind w:firstLine="357"/>
        <w:jc w:val="both"/>
        <w:rPr>
          <w:rFonts w:ascii="PT Astra Serif" w:hAnsi="PT Astra Serif" w:cs="Times New Roman"/>
          <w:b/>
          <w:sz w:val="26"/>
          <w:szCs w:val="26"/>
        </w:rPr>
      </w:pPr>
      <w:r w:rsidRPr="00D21555">
        <w:rPr>
          <w:rFonts w:ascii="PT Astra Serif" w:hAnsi="PT Astra Serif" w:cs="Times New Roman"/>
          <w:b/>
          <w:sz w:val="26"/>
          <w:szCs w:val="26"/>
        </w:rPr>
        <w:t>Требования к качеству услуг:</w:t>
      </w:r>
    </w:p>
    <w:p w:rsidR="00865E2B" w:rsidRPr="00D21555" w:rsidRDefault="00865E2B" w:rsidP="00865E2B">
      <w:pPr>
        <w:pStyle w:val="1"/>
        <w:spacing w:line="276" w:lineRule="auto"/>
        <w:ind w:firstLine="357"/>
        <w:jc w:val="both"/>
        <w:rPr>
          <w:rFonts w:ascii="PT Astra Serif" w:eastAsia="Arial Unicode MS" w:hAnsi="PT Astra Serif" w:cs="Times New Roman"/>
          <w:sz w:val="26"/>
          <w:szCs w:val="26"/>
          <w:lang w:bidi="ru-RU"/>
        </w:rPr>
      </w:pPr>
      <w:r w:rsidRPr="00D21555">
        <w:rPr>
          <w:rFonts w:ascii="PT Astra Serif" w:eastAsia="Arial Unicode MS" w:hAnsi="PT Astra Serif" w:cs="Times New Roman"/>
          <w:sz w:val="26"/>
          <w:szCs w:val="26"/>
          <w:lang w:bidi="ru-RU"/>
        </w:rPr>
        <w:t xml:space="preserve">Отчет должен соответствовать требованиям к содержанию Отчета об оценке, </w:t>
      </w:r>
      <w:proofErr w:type="gramStart"/>
      <w:r w:rsidRPr="00D21555">
        <w:rPr>
          <w:rFonts w:ascii="PT Astra Serif" w:eastAsia="Arial Unicode MS" w:hAnsi="PT Astra Serif" w:cs="Times New Roman"/>
          <w:sz w:val="26"/>
          <w:szCs w:val="26"/>
          <w:lang w:bidi="ru-RU"/>
        </w:rPr>
        <w:t>установленным  в</w:t>
      </w:r>
      <w:proofErr w:type="gramEnd"/>
      <w:r w:rsidRPr="00D21555">
        <w:rPr>
          <w:rFonts w:ascii="PT Astra Serif" w:eastAsia="Arial Unicode MS" w:hAnsi="PT Astra Serif" w:cs="Times New Roman"/>
          <w:sz w:val="26"/>
          <w:szCs w:val="26"/>
          <w:lang w:bidi="ru-RU"/>
        </w:rPr>
        <w:t xml:space="preserve"> ст. 11 Федерал</w:t>
      </w:r>
      <w:bookmarkStart w:id="0" w:name="_GoBack"/>
      <w:bookmarkEnd w:id="0"/>
      <w:r w:rsidRPr="00D21555">
        <w:rPr>
          <w:rFonts w:ascii="PT Astra Serif" w:eastAsia="Arial Unicode MS" w:hAnsi="PT Astra Serif" w:cs="Times New Roman"/>
          <w:sz w:val="26"/>
          <w:szCs w:val="26"/>
          <w:lang w:bidi="ru-RU"/>
        </w:rPr>
        <w:t xml:space="preserve">ьного закона от 29.07.1998 № 135-ФЗ «Об оценочной деятельности в Российской Федерации». </w:t>
      </w:r>
    </w:p>
    <w:p w:rsidR="00865E2B" w:rsidRPr="00D21555" w:rsidRDefault="00865E2B" w:rsidP="00865E2B">
      <w:pPr>
        <w:pStyle w:val="1"/>
        <w:spacing w:line="276" w:lineRule="auto"/>
        <w:ind w:firstLine="357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sz w:val="26"/>
          <w:szCs w:val="26"/>
          <w:lang w:eastAsia="ar-SA"/>
        </w:rPr>
        <w:t>Отчет об оценке объекта оценки (далее - отчет) не должен допускать неоднозначного толкования или вводить в заблуждение. В отчете в обязательном порядке указываются дата проведения оценки объекта оценки, используемые стандарты оценки, цели и задачи проведения оценки объекта оценки, а также приводятся иные сведения, которые необходимы для полного и недвусмысленного толкования результатов проведения оценки объекта оценки, отраженных в отчете.</w:t>
      </w:r>
    </w:p>
    <w:p w:rsidR="00865E2B" w:rsidRPr="00D21555" w:rsidRDefault="00865E2B" w:rsidP="00865E2B">
      <w:pPr>
        <w:pStyle w:val="1"/>
        <w:spacing w:line="276" w:lineRule="auto"/>
        <w:ind w:firstLine="357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sz w:val="26"/>
          <w:szCs w:val="26"/>
          <w:lang w:eastAsia="ar-SA"/>
        </w:rPr>
        <w:t>В отчете должны быть указаны:</w:t>
      </w:r>
    </w:p>
    <w:p w:rsidR="00865E2B" w:rsidRPr="00D21555" w:rsidRDefault="00865E2B" w:rsidP="00865E2B">
      <w:pPr>
        <w:pStyle w:val="1"/>
        <w:spacing w:line="276" w:lineRule="auto"/>
        <w:ind w:firstLine="357"/>
        <w:jc w:val="both"/>
        <w:rPr>
          <w:rFonts w:ascii="PT Astra Serif" w:hAnsi="PT Astra Serif" w:cs="Times New Roman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sz w:val="26"/>
          <w:szCs w:val="26"/>
          <w:lang w:eastAsia="ar-SA"/>
        </w:rPr>
        <w:t>- дата составления и порядковый номер отчета;</w:t>
      </w:r>
    </w:p>
    <w:p w:rsidR="00865E2B" w:rsidRPr="00D21555" w:rsidRDefault="00865E2B" w:rsidP="00865E2B">
      <w:pPr>
        <w:pStyle w:val="1"/>
        <w:spacing w:line="276" w:lineRule="auto"/>
        <w:ind w:firstLine="357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>- основание для проведения оценщиком оценки объекта оценки;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>- место нахождения оценщика и сведения о членстве оценщика в саморегулируемой организации оценщиков;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lastRenderedPageBreak/>
        <w:t>- точное описание объекта оценки, а в отношении объекта оценки, принадлежащего юридическому лицу, реквизиты юридического лица и балансовая стоимость данного объекта оценки;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>- стандарты оценки для определения соответствующего вида стоимости объекта оценки, обоснование их использования при проведении оценки данного объекта оценки, перечень использованных при проведении оценки объекта оценки данных с указанием источников их получения, а также принятые при проведении оценки объекта оценки допущения;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>- последовательность определения стоимости объекта оценки и ее итоговая величина, а также ограничения и пределы применения полученного результата;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>- дата определения стоимости объекта оценки;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>-перечень документов, используемых оценщиком и устанавливающих количественные и качественные характеристики объекта оценки.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 xml:space="preserve">Отчет может также содержать иные сведения, являющиеся, по мнению </w:t>
      </w:r>
      <w:proofErr w:type="gramStart"/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>оценщика,  существенно</w:t>
      </w:r>
      <w:proofErr w:type="gramEnd"/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 xml:space="preserve"> важными для полноты отражения примененного им метода расчета стоимости конкретного объекта оценки.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ar-SA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  <w:lang w:eastAsia="ar-SA"/>
        </w:rPr>
        <w:t>Отчет должен быть пронумерован постранично, прошит (за исключением случаев составления отчета в форме электронного документа), подписан оценщиком или оценщиками, которые провели оценку, а также скреплен личной печатью оценщика или печать юридического лица, с которым оценщик или оценщики заключили трудовой договор.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sz w:val="26"/>
          <w:szCs w:val="26"/>
        </w:rPr>
      </w:pPr>
      <w:r w:rsidRPr="00D21555">
        <w:rPr>
          <w:rFonts w:ascii="PT Astra Serif" w:hAnsi="PT Astra Serif" w:cs="Times New Roman"/>
          <w:color w:val="000000"/>
          <w:sz w:val="26"/>
          <w:szCs w:val="26"/>
        </w:rPr>
        <w:t>Отчет, составленный в форме электронного документа, должен быть подписан электронной цифровой подписью, в соответствии с законодательством Российской Федерации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sz w:val="26"/>
          <w:szCs w:val="26"/>
        </w:rPr>
      </w:pPr>
      <w:r w:rsidRPr="00D21555">
        <w:rPr>
          <w:rFonts w:ascii="PT Astra Serif" w:hAnsi="PT Astra Serif" w:cs="Times New Roman"/>
          <w:sz w:val="26"/>
          <w:szCs w:val="26"/>
        </w:rPr>
        <w:t>Оценщик при проведении оценки обязан: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sz w:val="26"/>
          <w:szCs w:val="26"/>
        </w:rPr>
      </w:pPr>
      <w:r w:rsidRPr="00D21555">
        <w:rPr>
          <w:rFonts w:ascii="PT Astra Serif" w:hAnsi="PT Astra Serif" w:cs="Times New Roman"/>
          <w:sz w:val="26"/>
          <w:szCs w:val="26"/>
        </w:rPr>
        <w:t>- соблюдать при осуществлении оценочной деятельности требования Федерального закона от 29.07.1998 №135-ФЗ, других федеральных законов и иных нормативных правовых актов Российской Федерации, федеральные стандарты оценки, а также стандарты и правила оценочной деятельности, утвержденные саморегулируемой организацией оценщиков, членом которой он является;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sz w:val="26"/>
          <w:szCs w:val="26"/>
        </w:rPr>
      </w:pPr>
      <w:r w:rsidRPr="00D21555">
        <w:rPr>
          <w:rFonts w:ascii="PT Astra Serif" w:hAnsi="PT Astra Serif" w:cs="Times New Roman"/>
          <w:sz w:val="26"/>
          <w:szCs w:val="26"/>
        </w:rPr>
        <w:t xml:space="preserve">- выразить величину стоимости объектов оценки в рублях (без учета НДС) в виде величины стоимости лома </w:t>
      </w:r>
      <w:proofErr w:type="gramStart"/>
      <w:r w:rsidRPr="00D21555">
        <w:rPr>
          <w:rFonts w:ascii="PT Astra Serif" w:hAnsi="PT Astra Serif" w:cs="Times New Roman"/>
          <w:sz w:val="26"/>
          <w:szCs w:val="26"/>
        </w:rPr>
        <w:t>черных  металлов</w:t>
      </w:r>
      <w:proofErr w:type="gramEnd"/>
      <w:r w:rsidRPr="00D21555">
        <w:rPr>
          <w:rFonts w:ascii="PT Astra Serif" w:hAnsi="PT Astra Serif" w:cs="Times New Roman"/>
          <w:sz w:val="26"/>
          <w:szCs w:val="26"/>
        </w:rPr>
        <w:t>, подлежащего реализации;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sz w:val="26"/>
          <w:szCs w:val="26"/>
        </w:rPr>
      </w:pPr>
      <w:r w:rsidRPr="00D21555">
        <w:rPr>
          <w:rFonts w:ascii="PT Astra Serif" w:hAnsi="PT Astra Serif" w:cs="Times New Roman"/>
          <w:sz w:val="26"/>
          <w:szCs w:val="26"/>
        </w:rPr>
        <w:t>- обеспечивать сохранность документов, получаемых от заказчика и третьих лиц в ходе проведения оценки.</w:t>
      </w:r>
    </w:p>
    <w:p w:rsidR="00865E2B" w:rsidRPr="00D21555" w:rsidRDefault="00865E2B" w:rsidP="00865E2B">
      <w:pPr>
        <w:pStyle w:val="1"/>
        <w:spacing w:line="276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68360D" w:rsidRDefault="0068360D"/>
    <w:sectPr w:rsidR="0068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4019"/>
    <w:multiLevelType w:val="hybridMultilevel"/>
    <w:tmpl w:val="4CDE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18"/>
    <w:rsid w:val="00124B6F"/>
    <w:rsid w:val="0068360D"/>
    <w:rsid w:val="00865E2B"/>
    <w:rsid w:val="00AB464B"/>
    <w:rsid w:val="00E6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8057"/>
  <w15:chartTrackingRefBased/>
  <w15:docId w15:val="{1BBC20AF-EDBF-4C8E-8D6F-CA251A8E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E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rsid w:val="00865E2B"/>
    <w:pPr>
      <w:spacing w:before="120" w:after="120" w:line="276" w:lineRule="auto"/>
      <w:jc w:val="both"/>
    </w:pPr>
    <w:rPr>
      <w:rFonts w:ascii="Calibri" w:eastAsia="Calibri" w:hAnsi="Calibri" w:cs="Calibri"/>
      <w:sz w:val="20"/>
      <w:szCs w:val="20"/>
      <w:lang w:eastAsia="ru-RU"/>
    </w:rPr>
  </w:style>
  <w:style w:type="character" w:styleId="a3">
    <w:name w:val="Hyperlink"/>
    <w:uiPriority w:val="99"/>
    <w:rsid w:val="00865E2B"/>
    <w:rPr>
      <w:rFonts w:cs="Times New Roman"/>
      <w:color w:val="0000FF"/>
      <w:u w:val="single"/>
    </w:rPr>
  </w:style>
  <w:style w:type="paragraph" w:customStyle="1" w:styleId="1">
    <w:name w:val="Без интервала1"/>
    <w:qFormat/>
    <w:rsid w:val="00865E2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link w:val="a5"/>
    <w:uiPriority w:val="99"/>
    <w:unhideWhenUsed/>
    <w:rsid w:val="00865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бычный (веб) Знак"/>
    <w:link w:val="a4"/>
    <w:uiPriority w:val="99"/>
    <w:locked/>
    <w:rsid w:val="00865E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B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6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AntonovPS</dc:creator>
  <cp:keywords/>
  <dc:description/>
  <cp:lastModifiedBy>USER</cp:lastModifiedBy>
  <cp:revision>4</cp:revision>
  <cp:lastPrinted>2026-05-21T08:21:00Z</cp:lastPrinted>
  <dcterms:created xsi:type="dcterms:W3CDTF">2026-05-19T12:40:00Z</dcterms:created>
  <dcterms:modified xsi:type="dcterms:W3CDTF">2026-05-21T08:37:00Z</dcterms:modified>
</cp:coreProperties>
</file>