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ОБОСНОВАНИЕ</w:t>
      </w:r>
    </w:p>
    <w:p>
      <w:pPr>
        <w:pStyle w:val="Normal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НАЧАЛ</w:t>
      </w:r>
      <w:r>
        <w:rPr>
          <w:rFonts w:eastAsia="Calibri"/>
          <w:b/>
          <w:sz w:val="20"/>
          <w:szCs w:val="20"/>
          <w:shd w:fill="auto" w:val="clear"/>
          <w:lang w:eastAsia="en-US"/>
        </w:rPr>
        <w:t>ЬНОЙ (МАКСИМАЛЬНОЙ) ЦЕНЫ ГОСУДАРСТВЕННОГО КОНТРАКТА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Times New Roman" w:cs="Times New Roman"/>
          <w:b/>
          <w:bCs/>
          <w:sz w:val="20"/>
          <w:szCs w:val="20"/>
          <w:shd w:fill="auto" w:val="clear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shd w:fill="auto" w:val="clear"/>
          <w:lang w:eastAsia="ru-RU"/>
        </w:rPr>
        <w:t xml:space="preserve">на поставку  </w:t>
      </w:r>
      <w:bookmarkStart w:id="0" w:name="__DdeLink__2149_2883961164"/>
      <w:r>
        <w:rPr>
          <w:rFonts w:eastAsia="Times New Roman" w:cs="Times New Roman"/>
          <w:b/>
          <w:bCs/>
          <w:sz w:val="20"/>
          <w:szCs w:val="20"/>
          <w:shd w:fill="auto" w:val="clear"/>
          <w:lang w:eastAsia="ru-RU"/>
        </w:rPr>
        <w:t>комплектующих для компьютерной техники</w:t>
      </w:r>
      <w:bookmarkEnd w:id="0"/>
      <w:r>
        <w:rPr>
          <w:rFonts w:eastAsia="Times New Roman" w:cs="Times New Roman"/>
          <w:b/>
          <w:bCs/>
          <w:sz w:val="20"/>
          <w:szCs w:val="20"/>
          <w:shd w:fill="auto" w:val="clear"/>
          <w:lang w:eastAsia="ru-RU"/>
        </w:rPr>
        <w:t xml:space="preserve"> для нужд ГМУ ФССП России</w:t>
      </w:r>
    </w:p>
    <w:p>
      <w:pPr>
        <w:pStyle w:val="Normal"/>
        <w:jc w:val="center"/>
        <w:rPr>
          <w:rFonts w:ascii="Times New Roman" w:hAnsi="Times New Roman"/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tabs>
          <w:tab w:val="clear" w:pos="708"/>
          <w:tab w:val="left" w:pos="426" w:leader="none"/>
        </w:tabs>
        <w:suppressAutoHyphens w:val="false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/>
          <w:bCs/>
          <w:sz w:val="20"/>
          <w:szCs w:val="20"/>
          <w:shd w:fill="auto" w:val="clear"/>
          <w:lang w:eastAsia="ru-RU"/>
        </w:rPr>
        <w:t xml:space="preserve">Заказчик: </w:t>
      </w:r>
      <w:r>
        <w:rPr>
          <w:rFonts w:eastAsia="Times New Roman" w:cs="Times New Roman"/>
          <w:b w:val="false"/>
          <w:bCs w:val="false"/>
          <w:sz w:val="20"/>
          <w:szCs w:val="20"/>
          <w:shd w:fill="auto" w:val="clear"/>
          <w:lang w:eastAsia="ru-RU"/>
        </w:rPr>
        <w:t>Главное межрегиональное (специализированное) управление Федеральной службы судебных приставов (ГМУ ФССП России)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/>
          <w:bCs/>
          <w:sz w:val="20"/>
          <w:szCs w:val="20"/>
          <w:shd w:fill="auto" w:val="clear"/>
        </w:rPr>
        <w:tab/>
        <w:t>Наименование поставляемого товара</w:t>
      </w:r>
      <w:r>
        <w:rPr>
          <w:rFonts w:cs="Times New Roman"/>
          <w:color w:val="000000"/>
          <w:sz w:val="20"/>
          <w:szCs w:val="20"/>
          <w:shd w:fill="auto" w:val="clear"/>
        </w:rPr>
        <w:t xml:space="preserve">: </w:t>
      </w:r>
      <w:r>
        <w:rPr>
          <w:rFonts w:cs="Times New Roman"/>
          <w:sz w:val="20"/>
          <w:szCs w:val="20"/>
          <w:shd w:fill="auto" w:val="clear"/>
        </w:rPr>
        <w:t xml:space="preserve"> поставка </w:t>
      </w:r>
      <w:r>
        <w:rPr>
          <w:rFonts w:eastAsia="Times New Roman" w:cs="Times New Roman"/>
          <w:b/>
          <w:bCs/>
          <w:sz w:val="20"/>
          <w:szCs w:val="20"/>
          <w:shd w:fill="auto" w:val="clear"/>
          <w:lang w:eastAsia="ru-RU"/>
        </w:rPr>
        <w:t>комплектующих для компьютерной техники</w:t>
      </w:r>
      <w:r>
        <w:rPr>
          <w:rFonts w:cs="Times New Roman"/>
          <w:sz w:val="20"/>
          <w:szCs w:val="20"/>
          <w:shd w:fill="auto" w:val="clear"/>
        </w:rPr>
        <w:t xml:space="preserve"> </w:t>
      </w:r>
      <w:r>
        <w:rPr>
          <w:rFonts w:cs="Times New Roman"/>
          <w:b w:val="false"/>
          <w:bCs w:val="false"/>
          <w:sz w:val="20"/>
          <w:szCs w:val="20"/>
          <w:shd w:fill="auto" w:val="clear"/>
        </w:rPr>
        <w:t>(далее - Товар)</w:t>
      </w:r>
      <w:r>
        <w:rPr>
          <w:rFonts w:cs="Times New Roman"/>
          <w:sz w:val="20"/>
          <w:szCs w:val="20"/>
          <w:shd w:fill="auto" w:val="clear"/>
        </w:rPr>
        <w:t>.</w:t>
      </w:r>
    </w:p>
    <w:p>
      <w:pPr>
        <w:pStyle w:val="Normal"/>
        <w:ind w:firstLine="709" w:right="-59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shd w:fill="auto" w:val="clear"/>
          <w:lang w:eastAsia="en-US"/>
        </w:rPr>
        <w:t>Начальная (максимальная) цена Государственного контракта определена и обоснована посред</w:t>
      </w:r>
      <w:r>
        <w:rPr>
          <w:rFonts w:eastAsia="Calibri"/>
          <w:sz w:val="20"/>
          <w:szCs w:val="20"/>
          <w:lang w:eastAsia="en-US"/>
        </w:rPr>
        <w:t>ством применения метода сопоставимых рыночных цен (анализа рынка).</w:t>
      </w:r>
    </w:p>
    <w:p>
      <w:pPr>
        <w:pStyle w:val="Normal"/>
        <w:ind w:firstLine="709" w:right="-59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Применение указанного метода обосновано тем, что он является приоритетным для определения и обоснования цены Государственного контракта.</w:t>
      </w:r>
    </w:p>
    <w:tbl>
      <w:tblPr>
        <w:tblW w:w="153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09"/>
        <w:gridCol w:w="1983"/>
        <w:gridCol w:w="750"/>
        <w:gridCol w:w="687"/>
        <w:gridCol w:w="1129"/>
        <w:gridCol w:w="962"/>
        <w:gridCol w:w="4695"/>
        <w:gridCol w:w="1305"/>
        <w:gridCol w:w="1779"/>
        <w:gridCol w:w="1451"/>
      </w:tblGrid>
      <w:tr>
        <w:trPr>
          <w:trHeight w:val="107" w:hRule="atLeast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9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left="-9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6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hanging="0"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единицы Товара, руб.,</w:t>
            </w:r>
          </w:p>
          <w:p>
            <w:pPr>
              <w:pStyle w:val="Normal"/>
              <w:widowControl w:val="false"/>
              <w:ind w:hanging="0"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т.ч. НДС 20%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Средняя цена единицы Товара, руб.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</w:t>
            </w:r>
            <w:r>
              <w:rPr>
                <w:b/>
                <w:bCs/>
                <w:sz w:val="20"/>
                <w:szCs w:val="20"/>
              </w:rPr>
              <w:t>редельн</w:t>
            </w:r>
            <w:r>
              <w:rPr>
                <w:b/>
                <w:bCs/>
                <w:sz w:val="20"/>
                <w:szCs w:val="20"/>
              </w:rPr>
              <w:t>ая</w:t>
            </w:r>
            <w:r>
              <w:rPr>
                <w:b/>
                <w:bCs/>
                <w:sz w:val="20"/>
                <w:szCs w:val="20"/>
              </w:rPr>
              <w:t xml:space="preserve">  единицы Товара, руб.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стоимость Товара, руб.</w:t>
            </w:r>
          </w:p>
        </w:tc>
      </w:tr>
      <w:tr>
        <w:trPr>
          <w:trHeight w:val="173" w:hRule="atLeast"/>
        </w:trPr>
        <w:tc>
          <w:tcPr>
            <w:tcW w:w="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Оперативная память SODIMM Гравитон OEM [SDR-8G4-USDM01] 8 ГБ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46" w:leader="none"/>
              </w:tabs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шт</w:t>
            </w:r>
            <w:r>
              <w:rPr>
                <w:rFonts w:eastAsia="Calibri"/>
                <w:color w:val="000000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09" w:left="-700"/>
              <w:jc w:val="center"/>
              <w:textAlignment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Calibri"/>
                <w:b w:val="false"/>
                <w:bCs w:val="false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20"/>
                <w:szCs w:val="20"/>
                <w:lang w:eastAsia="en-US"/>
              </w:rPr>
              <w:t>Ценовая информация № 1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20"/>
                <w:szCs w:val="20"/>
                <w:lang w:eastAsia="en-US"/>
              </w:rPr>
              <w:t>4 499,00</w:t>
            </w:r>
          </w:p>
        </w:tc>
        <w:tc>
          <w:tcPr>
            <w:tcW w:w="4695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Hyperlink"/>
                <w:sz w:val="20"/>
                <w:szCs w:val="20"/>
              </w:rPr>
              <w:t>https://www.dns-shop.ru/product/0f27a7beca90d9cb/operativnaa-pamat-sodimm-graviton-oem-sdr-8g4-usdm01-8-gb/</w:t>
            </w:r>
          </w:p>
        </w:tc>
        <w:tc>
          <w:tcPr>
            <w:tcW w:w="1305" w:type="dxa"/>
            <w:vMerge w:val="restar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4 727,33</w:t>
            </w:r>
          </w:p>
        </w:tc>
        <w:tc>
          <w:tcPr>
            <w:tcW w:w="1779" w:type="dxa"/>
            <w:vMerge w:val="restar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Calibri"/>
                <w:b w:val="false"/>
                <w:bCs w:val="false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20"/>
                <w:szCs w:val="20"/>
                <w:lang w:eastAsia="en-US"/>
              </w:rPr>
              <w:t>5 000,00</w:t>
            </w:r>
          </w:p>
        </w:tc>
        <w:tc>
          <w:tcPr>
            <w:tcW w:w="1451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75 637,28</w:t>
            </w:r>
          </w:p>
        </w:tc>
      </w:tr>
      <w:tr>
        <w:trPr>
          <w:trHeight w:val="173" w:hRule="atLeast"/>
        </w:trPr>
        <w:tc>
          <w:tcPr>
            <w:tcW w:w="6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46" w:leader="none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09" w:left="-700"/>
              <w:jc w:val="center"/>
              <w:rPr>
                <w:rFonts w:ascii="Times New Roman" w:hAnsi="Times New Roman"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Ценовая информация № 2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4 184,00</w:t>
            </w:r>
          </w:p>
        </w:tc>
        <w:tc>
          <w:tcPr>
            <w:tcW w:w="4695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https://ipioneer.ru/product/115046-operativnaya-pamyat-sodimm-graviton-oem-sdr-8g4-usdm01-8-gb/?ysclid=mpl6hywpws690724353#characteristics</w:t>
            </w:r>
          </w:p>
        </w:tc>
        <w:tc>
          <w:tcPr>
            <w:tcW w:w="1305" w:type="dxa"/>
            <w:vMerge w:val="continue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779" w:type="dxa"/>
            <w:vMerge w:val="continue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5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73" w:hRule="atLeast"/>
        </w:trPr>
        <w:tc>
          <w:tcPr>
            <w:tcW w:w="6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46" w:leader="none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09" w:left="-700"/>
              <w:jc w:val="center"/>
              <w:rPr>
                <w:rFonts w:ascii="Times New Roman" w:hAnsi="Times New Roman"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Ценовая информация № 3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5 499,00</w:t>
            </w:r>
          </w:p>
        </w:tc>
        <w:tc>
          <w:tcPr>
            <w:tcW w:w="4695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https://sykt.sodrk.ru/catalog/operativnaya-pamyat-so-dimm/operativnaya-pamyat-8gb-sodimm-ddr4-3200mgts-graviton-sdr-8g4-usdm01/?ysclid=mpl738jyju79229631</w:t>
            </w:r>
          </w:p>
        </w:tc>
        <w:tc>
          <w:tcPr>
            <w:tcW w:w="1305" w:type="dxa"/>
            <w:vMerge w:val="continue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779" w:type="dxa"/>
            <w:vMerge w:val="continue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5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503" w:hRule="atLeast"/>
        </w:trPr>
        <w:tc>
          <w:tcPr>
            <w:tcW w:w="1389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Начальная максимальная цена контракта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firstLine="283" w:left="-2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75 637,28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216"/>
        <w:ind w:firstLine="540"/>
        <w:jc w:val="both"/>
        <w:rPr>
          <w:rFonts w:eastAsia="Calibri"/>
          <w:sz w:val="20"/>
          <w:szCs w:val="20"/>
          <w:shd w:fill="auto" w:val="clear"/>
          <w:lang w:eastAsia="en-US"/>
        </w:rPr>
      </w:pPr>
      <w:r>
        <w:rPr>
          <w:rFonts w:eastAsia="Calibri"/>
          <w:sz w:val="20"/>
          <w:szCs w:val="20"/>
          <w:shd w:fill="auto" w:val="clear"/>
          <w:lang w:eastAsia="en-US"/>
        </w:rPr>
        <w:t>Начальная (максимальная) цена контракта составляет 75 637 (Семьдесят пять тысяч шестьсот тридцать семь) рублей 28 копеек.</w:t>
      </w:r>
    </w:p>
    <w:p>
      <w:pPr>
        <w:pStyle w:val="Normal"/>
        <w:spacing w:lineRule="auto" w:line="216"/>
        <w:ind w:firstLine="540"/>
        <w:jc w:val="both"/>
        <w:rPr>
          <w:rFonts w:eastAsia="Calibri"/>
          <w:sz w:val="20"/>
          <w:szCs w:val="20"/>
          <w:shd w:fill="auto" w:val="clear"/>
          <w:lang w:eastAsia="en-US"/>
        </w:rPr>
      </w:pPr>
      <w:r>
        <w:rPr/>
      </w:r>
    </w:p>
    <w:p>
      <w:pPr>
        <w:pStyle w:val="Normal"/>
        <w:spacing w:lineRule="auto" w:line="216"/>
        <w:ind w:firstLine="540"/>
        <w:jc w:val="both"/>
        <w:rPr>
          <w:rFonts w:eastAsia="Calibri"/>
          <w:sz w:val="20"/>
          <w:szCs w:val="20"/>
          <w:shd w:fill="auto" w:val="clear"/>
          <w:lang w:eastAsia="en-US"/>
        </w:rPr>
      </w:pPr>
      <w:r>
        <w:rPr>
          <w:rFonts w:eastAsia="Calibri"/>
          <w:sz w:val="20"/>
          <w:szCs w:val="20"/>
          <w:shd w:fill="auto" w:val="clear"/>
          <w:lang w:eastAsia="en-US"/>
        </w:rPr>
        <w:t xml:space="preserve">НМЦК </w:t>
      </w:r>
      <w:r>
        <w:rPr>
          <w:rFonts w:eastAsia="Calibri"/>
          <w:sz w:val="20"/>
          <w:szCs w:val="20"/>
          <w:shd w:fill="auto" w:val="clear"/>
          <w:lang w:eastAsia="en-US"/>
        </w:rPr>
        <w:t>определена по формуле:</w:t>
      </w:r>
    </w:p>
    <w:p>
      <w:pPr>
        <w:pStyle w:val="Normal"/>
        <w:spacing w:lineRule="auto" w:line="216"/>
        <w:ind w:firstLine="540" w:right="-314"/>
        <w:jc w:val="center"/>
        <w:rPr>
          <w:rFonts w:ascii="Times New Roman" w:hAnsi="Times New Roman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Начальная</m:t>
          </m:r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максимальная</m:t>
              </m:r>
            </m:e>
          </m:d>
          <m:r>
            <w:rPr>
              <w:rFonts w:ascii="Cambria Math" w:hAnsi="Cambria Math"/>
            </w:rPr>
            <m:t xml:space="preserve">цена</m:t>
          </m:r>
          <m:r>
            <w:rPr>
              <w:rFonts w:ascii="Cambria Math" w:hAnsi="Cambria Math"/>
            </w:rPr>
            <m:t xml:space="preserve">контракта</m:t>
          </m:r>
          <m:r>
            <w:rPr>
              <w:rFonts w:ascii="Cambria Math" w:hAnsi="Cambria Math"/>
            </w:rPr>
            <m:t xml:space="preserve">=</m:t>
          </m:r>
          <m:nary>
            <m:naryPr>
              <m:chr m:val="∑"/>
            </m:naryPr>
            <m:sub>
              <m:r>
                <w:rPr>
                  <w:rFonts w:ascii="Cambria Math" w:hAnsi="Cambria Math"/>
                </w:rPr>
                <m:t xml:space="preserve">j</m:t>
              </m:r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1</m:t>
              </m:r>
            </m:sub>
            <m:sup>
              <m:r>
                <w:rPr>
                  <w:rFonts w:ascii="Cambria Math" w:hAnsi="Cambria Math"/>
                </w:rPr>
                <m:t xml:space="preserve">m</m:t>
              </m:r>
            </m:sup>
            <m:e/>
          </m:nary>
        </m:oMath>
      </m:oMathPara>
    </w:p>
    <w:p>
      <w:pPr>
        <w:pStyle w:val="Normal"/>
        <w:spacing w:lineRule="auto" w:line="216"/>
        <w:ind w:firstLine="540"/>
        <w:jc w:val="both"/>
        <w:rPr>
          <w:rFonts w:ascii="Times New Roman" w:hAnsi="Times New Roman"/>
        </w:rPr>
      </w:pPr>
      <w:r>
        <w:rPr>
          <w:rFonts w:eastAsia="Calibri"/>
          <w:sz w:val="20"/>
          <w:szCs w:val="20"/>
          <w:lang w:eastAsia="en-US"/>
        </w:rPr>
        <w:t xml:space="preserve">где: </w:t>
      </w:r>
      <w:r>
        <w:rPr>
          <w:rFonts w:eastAsia="Calibri"/>
          <w:i/>
          <w:sz w:val="20"/>
          <w:szCs w:val="20"/>
          <w:lang w:eastAsia="en-US"/>
        </w:rPr>
        <w:t>v</w:t>
      </w:r>
      <w:r>
        <w:rPr>
          <w:rFonts w:eastAsia="Calibri"/>
          <w:i/>
          <w:sz w:val="20"/>
          <w:szCs w:val="20"/>
          <w:vertAlign w:val="subscript"/>
          <w:lang w:val="en-US" w:eastAsia="en-US"/>
        </w:rPr>
        <w:t>j</w:t>
      </w:r>
      <w:r>
        <w:rPr>
          <w:rFonts w:eastAsia="Calibri"/>
          <w:sz w:val="20"/>
          <w:szCs w:val="20"/>
          <w:lang w:eastAsia="en-US"/>
        </w:rPr>
        <w:t xml:space="preserve"> – количество закупаемого Товара </w:t>
      </w:r>
      <w:r>
        <w:rPr>
          <w:rFonts w:eastAsia="Calibri"/>
          <w:i/>
          <w:sz w:val="20"/>
          <w:szCs w:val="20"/>
          <w:lang w:val="en-US" w:eastAsia="en-US"/>
        </w:rPr>
        <w:t>j</w:t>
      </w:r>
      <w:r>
        <w:rPr>
          <w:rFonts w:eastAsia="Calibri"/>
          <w:sz w:val="20"/>
          <w:szCs w:val="20"/>
          <w:lang w:eastAsia="en-US"/>
        </w:rPr>
        <w:t>-го наименования;</w:t>
      </w:r>
    </w:p>
    <w:p>
      <w:pPr>
        <w:pStyle w:val="Normal"/>
        <w:spacing w:lineRule="auto" w:line="216"/>
        <w:ind w:firstLine="1078" w:right="-142"/>
        <w:jc w:val="both"/>
        <w:rPr>
          <w:rFonts w:ascii="Times New Roman" w:hAnsi="Times New Roman"/>
        </w:rPr>
      </w:pPr>
      <w:r>
        <w:rPr>
          <w:rFonts w:eastAsia="Calibri"/>
          <w:i/>
          <w:sz w:val="20"/>
          <w:szCs w:val="20"/>
          <w:lang w:eastAsia="en-US"/>
        </w:rPr>
        <w:t>n</w:t>
      </w:r>
      <w:r>
        <w:rPr>
          <w:rFonts w:eastAsia="Calibri"/>
          <w:i/>
          <w:sz w:val="20"/>
          <w:szCs w:val="20"/>
          <w:vertAlign w:val="subscript"/>
          <w:lang w:val="en-US" w:eastAsia="en-US"/>
        </w:rPr>
        <w:t>j</w:t>
      </w:r>
      <w:r>
        <w:rPr>
          <w:rFonts w:eastAsia="Calibri"/>
          <w:sz w:val="20"/>
          <w:szCs w:val="20"/>
          <w:vertAlign w:val="subscript"/>
          <w:lang w:eastAsia="en-US"/>
        </w:rPr>
        <w:t> </w:t>
      </w:r>
      <w:r>
        <w:rPr>
          <w:rFonts w:eastAsia="Calibri"/>
          <w:sz w:val="20"/>
          <w:szCs w:val="20"/>
          <w:lang w:eastAsia="en-US"/>
        </w:rPr>
        <w:t xml:space="preserve">– количество значений цены единицы Товара </w:t>
      </w:r>
      <w:r>
        <w:rPr>
          <w:rFonts w:eastAsia="Calibri"/>
          <w:i/>
          <w:sz w:val="20"/>
          <w:szCs w:val="20"/>
          <w:lang w:val="en-US" w:eastAsia="en-US"/>
        </w:rPr>
        <w:t>j</w:t>
      </w:r>
      <w:r>
        <w:rPr>
          <w:rFonts w:eastAsia="Calibri"/>
          <w:sz w:val="20"/>
          <w:szCs w:val="20"/>
          <w:lang w:eastAsia="en-US"/>
        </w:rPr>
        <w:t>-го наименования; используемых в расчете;</w:t>
      </w:r>
    </w:p>
    <w:p>
      <w:pPr>
        <w:pStyle w:val="Normal"/>
        <w:spacing w:lineRule="auto" w:line="216"/>
        <w:ind w:firstLine="1078"/>
        <w:jc w:val="both"/>
        <w:rPr>
          <w:rFonts w:ascii="Times New Roman" w:hAnsi="Times New Roman"/>
        </w:rPr>
      </w:pPr>
      <w:r>
        <w:rPr>
          <w:rFonts w:eastAsia="Calibri"/>
          <w:i/>
          <w:sz w:val="20"/>
          <w:szCs w:val="20"/>
          <w:lang w:val="en-US" w:eastAsia="en-US"/>
        </w:rPr>
        <w:t>m</w:t>
      </w:r>
      <w:r>
        <w:rPr>
          <w:rFonts w:eastAsia="Calibri"/>
          <w:sz w:val="20"/>
          <w:szCs w:val="20"/>
          <w:lang w:eastAsia="en-US"/>
        </w:rPr>
        <w:t xml:space="preserve"> – количество наименований Товара;</w:t>
      </w:r>
    </w:p>
    <w:p>
      <w:pPr>
        <w:pStyle w:val="Normal"/>
        <w:spacing w:lineRule="auto" w:line="216"/>
        <w:ind w:firstLine="1078"/>
        <w:jc w:val="both"/>
        <w:rPr>
          <w:rFonts w:ascii="Times New Roman" w:hAnsi="Times New Roman"/>
        </w:rPr>
      </w:pPr>
      <w:r>
        <w:rPr>
          <w:rFonts w:eastAsia="Calibri"/>
          <w:i/>
          <w:sz w:val="20"/>
          <w:szCs w:val="20"/>
          <w:lang w:eastAsia="en-US"/>
        </w:rPr>
        <w:t>i</w:t>
      </w:r>
      <w:r>
        <w:rPr>
          <w:rFonts w:eastAsia="Calibri"/>
          <w:sz w:val="20"/>
          <w:szCs w:val="20"/>
          <w:lang w:eastAsia="en-US"/>
        </w:rPr>
        <w:t xml:space="preserve"> – номер источника ценовой информации;</w:t>
      </w:r>
    </w:p>
    <w:p>
      <w:pPr>
        <w:pStyle w:val="Normal"/>
        <w:spacing w:lineRule="auto" w:line="216"/>
        <w:ind w:firstLine="1078"/>
        <w:jc w:val="both"/>
        <w:rPr>
          <w:rFonts w:ascii="Times New Roman" w:hAnsi="Times New Roman"/>
        </w:rPr>
      </w:pPr>
      <w:r>
        <w:rPr>
          <w:rFonts w:eastAsia="Calibri"/>
          <w:i/>
          <w:sz w:val="20"/>
          <w:szCs w:val="20"/>
          <w:lang w:val="en-US" w:eastAsia="en-US"/>
        </w:rPr>
        <w:t>j</w:t>
      </w:r>
      <w:r>
        <w:rPr>
          <w:rFonts w:eastAsia="Calibri"/>
          <w:sz w:val="20"/>
          <w:szCs w:val="20"/>
          <w:lang w:eastAsia="en-US"/>
        </w:rPr>
        <w:t xml:space="preserve"> – номер наименования Товара;</w:t>
      </w:r>
    </w:p>
    <w:p>
      <w:pPr>
        <w:pStyle w:val="Normal"/>
        <w:spacing w:lineRule="auto" w:line="216"/>
        <w:ind w:firstLine="1078"/>
        <w:jc w:val="both"/>
        <w:rPr>
          <w:rFonts w:ascii="Times New Roman" w:hAnsi="Times New Roman"/>
        </w:rPr>
      </w:pPr>
      <w:r>
        <w:rPr>
          <w:rFonts w:eastAsia="Calibri"/>
          <w:i/>
          <w:sz w:val="20"/>
          <w:szCs w:val="20"/>
          <w:lang w:eastAsia="en-US"/>
        </w:rPr>
        <w:t>ц</w:t>
      </w:r>
      <w:r>
        <w:rPr>
          <w:rFonts w:eastAsia="Calibri"/>
          <w:i/>
          <w:sz w:val="20"/>
          <w:szCs w:val="20"/>
          <w:vertAlign w:val="subscript"/>
          <w:lang w:val="en-US" w:eastAsia="en-US"/>
        </w:rPr>
        <w:t>ij</w:t>
      </w:r>
      <w:r>
        <w:rPr>
          <w:rFonts w:eastAsia="Calibri"/>
          <w:sz w:val="20"/>
          <w:szCs w:val="20"/>
          <w:lang w:eastAsia="en-US"/>
        </w:rPr>
        <w:t xml:space="preserve"> – цена единицы Товара </w:t>
      </w:r>
      <w:r>
        <w:rPr>
          <w:rFonts w:eastAsia="Calibri"/>
          <w:i/>
          <w:sz w:val="20"/>
          <w:szCs w:val="20"/>
          <w:lang w:val="en-US" w:eastAsia="en-US"/>
        </w:rPr>
        <w:t>j</w:t>
      </w:r>
      <w:r>
        <w:rPr>
          <w:rFonts w:eastAsia="Calibri"/>
          <w:sz w:val="20"/>
          <w:szCs w:val="20"/>
          <w:lang w:eastAsia="en-US"/>
        </w:rPr>
        <w:t xml:space="preserve">-го наименования, представленная в источнике с номером </w:t>
      </w:r>
      <w:r>
        <w:rPr>
          <w:rFonts w:eastAsia="Calibri"/>
          <w:i/>
          <w:sz w:val="20"/>
          <w:szCs w:val="20"/>
          <w:lang w:eastAsia="en-US"/>
        </w:rPr>
        <w:t>i</w:t>
      </w:r>
      <w:r>
        <w:rPr>
          <w:rFonts w:eastAsia="Calibri"/>
          <w:sz w:val="20"/>
          <w:szCs w:val="20"/>
          <w:lang w:eastAsia="en-US"/>
        </w:rPr>
        <w:t>.</w:t>
      </w:r>
    </w:p>
    <w:p>
      <w:pPr>
        <w:pStyle w:val="Normal"/>
        <w:spacing w:lineRule="auto" w:line="216"/>
        <w:ind w:firstLine="54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При обосновании начальной (максимальной) цены контракта заказчик посчитал применение корректирующих коэффициентов </w:t>
        <w:br/>
        <w:t>и индексов нецелесообразным.</w:t>
      </w:r>
    </w:p>
    <w:p>
      <w:pPr>
        <w:pStyle w:val="Normal"/>
        <w:spacing w:lineRule="auto" w:line="216"/>
        <w:ind w:firstLine="54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В целях определения однородности совокупности значений выявленных цен, используемых в расчете начальной (максимальной) цены контракта, определен коэффициент вариации для каждого наименования Товара по следующей формуле:</w:t>
      </w:r>
    </w:p>
    <w:p>
      <w:pPr>
        <w:pStyle w:val="Normal"/>
        <w:numPr>
          <w:ilvl w:val="0"/>
          <w:numId w:val="0"/>
        </w:numPr>
        <w:spacing w:lineRule="auto" w:line="216"/>
        <w:ind w:firstLine="540" w:left="0"/>
        <w:jc w:val="both"/>
        <w:outlineLvl w:val="0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16"/>
        <w:jc w:val="center"/>
        <w:rPr>
          <w:rFonts w:ascii="Times New Roman" w:hAnsi="Times New Roman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σ</m:t>
            </m:r>
          </m:num>
          <m:den>
            <m:r>
              <w:rPr>
                <w:rFonts w:ascii="Cambria Math" w:hAnsi="Cambria Math"/>
              </w:rPr>
              <m:t xml:space="preserve">ц</m:t>
            </m:r>
            <m:r>
              <w:rPr>
                <w:rFonts w:ascii="Cambria Math" w:hAnsi="Cambria Math"/>
              </w:rPr>
              <m:t xml:space="preserve">&gt;</m:t>
            </m:r>
            <m:r>
              <w:rPr>
                <w:rFonts w:ascii="Cambria Math" w:hAnsi="Cambria Math"/>
              </w:rPr>
              <m:t xml:space="preserve">×</m:t>
            </m:r>
            <m:r>
              <w:rPr>
                <w:rFonts w:ascii="Cambria Math" w:hAnsi="Cambria Math"/>
              </w:rPr>
              <m:t xml:space="preserve">100</m:t>
            </m:r>
          </m:den>
        </m:f>
      </m:oMath>
      <w:r>
        <w:rPr>
          <w:sz w:val="20"/>
          <w:szCs w:val="20"/>
          <w:lang w:eastAsia="en-US"/>
        </w:rPr>
        <w:t>;</w:t>
      </w:r>
    </w:p>
    <w:p>
      <w:pPr>
        <w:pStyle w:val="Normal"/>
        <w:spacing w:lineRule="auto" w:line="216"/>
        <w:ind w:firstLine="540"/>
        <w:jc w:val="both"/>
        <w:rPr>
          <w:rFonts w:ascii="Times New Roman" w:hAnsi="Times New Roman"/>
        </w:rPr>
      </w:pPr>
      <w:r>
        <w:rPr>
          <w:rFonts w:eastAsia="Calibri"/>
          <w:sz w:val="20"/>
          <w:szCs w:val="20"/>
          <w:lang w:eastAsia="en-US"/>
        </w:rPr>
        <w:t xml:space="preserve">где: </w:t>
      </w:r>
      <w:r>
        <w:rPr>
          <w:rFonts w:eastAsia="Calibri"/>
          <w:i/>
          <w:sz w:val="20"/>
          <w:szCs w:val="20"/>
          <w:lang w:eastAsia="en-US"/>
        </w:rPr>
        <w:t>V</w:t>
      </w:r>
      <w:r>
        <w:rPr>
          <w:rFonts w:eastAsia="Calibri"/>
          <w:sz w:val="20"/>
          <w:szCs w:val="20"/>
          <w:lang w:eastAsia="en-US"/>
        </w:rPr>
        <w:t xml:space="preserve"> - коэффициент вариации;</w:t>
      </w:r>
    </w:p>
    <w:p>
      <w:pPr>
        <w:pStyle w:val="Normal"/>
        <w:spacing w:lineRule="auto" w:line="216"/>
        <w:ind w:firstLine="1092"/>
        <w:jc w:val="both"/>
        <w:rPr>
          <w:rFonts w:ascii="Times New Roman" w:hAnsi="Times New Roman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σ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nary>
              <m:naryPr>
                <m:chr m:val="∑"/>
              </m:naryPr>
              <m:sub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  <m:sup>
                <m:r>
                  <w:rPr>
                    <w:rFonts w:ascii="Cambria Math" w:hAnsi="Cambria Math"/>
                  </w:rPr>
                  <m:t xml:space="preserve">n</m:t>
                </m:r>
              </m:sup>
              <m:e/>
            </m:nary>
          </m:e>
        </m:rad>
      </m:oMath>
      <w:r>
        <w:rPr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- среднее квадратичное отклонение;</w:t>
      </w:r>
    </w:p>
    <w:p>
      <w:pPr>
        <w:pStyle w:val="Normal"/>
        <w:spacing w:lineRule="auto" w:line="216"/>
        <w:ind w:firstLine="1092"/>
        <w:jc w:val="both"/>
        <w:rPr>
          <w:rFonts w:ascii="Times New Roman" w:hAnsi="Times New Roman"/>
        </w:rPr>
      </w:pPr>
      <w:r>
        <w:rPr/>
        <w:drawing>
          <wp:inline distT="0" distB="0" distL="0" distR="0">
            <wp:extent cx="155575" cy="2286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- цена единицы Товара, указанная в источнике с номером i;</w:t>
      </w:r>
    </w:p>
    <w:p>
      <w:pPr>
        <w:pStyle w:val="Normal"/>
        <w:spacing w:lineRule="auto" w:line="216"/>
        <w:ind w:firstLine="109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&lt;ц&gt; - средняя арифметическая величина цены единицы Товара;</w:t>
      </w:r>
    </w:p>
    <w:p>
      <w:pPr>
        <w:pStyle w:val="Normal"/>
        <w:spacing w:lineRule="auto" w:line="216"/>
        <w:ind w:firstLine="1092"/>
        <w:jc w:val="both"/>
        <w:rPr>
          <w:rFonts w:ascii="Times New Roman" w:hAnsi="Times New Roman"/>
        </w:rPr>
      </w:pPr>
      <w:r>
        <w:rPr>
          <w:rFonts w:eastAsia="Calibri"/>
          <w:i/>
          <w:sz w:val="20"/>
          <w:szCs w:val="20"/>
          <w:lang w:eastAsia="en-US"/>
        </w:rPr>
        <w:t>n</w:t>
      </w:r>
      <w:r>
        <w:rPr>
          <w:rFonts w:eastAsia="Calibri"/>
          <w:sz w:val="20"/>
          <w:szCs w:val="20"/>
          <w:lang w:eastAsia="en-US"/>
        </w:rPr>
        <w:t xml:space="preserve"> - количество значений, используемых в расчете.</w:t>
      </w:r>
    </w:p>
    <w:p>
      <w:pPr>
        <w:pStyle w:val="Normal"/>
        <w:spacing w:lineRule="auto" w:line="216"/>
        <w:ind w:firstLine="53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Совокупность значений, используемых в расчете начальной (максимальной) цены контракта считается однородной, так как коэффициент вариации по каждому наименованию Товара не превышает 33%.</w:t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</w:t>
      </w:r>
      <w:r>
        <w:rPr>
          <w:rFonts w:eastAsia="Calibri"/>
          <w:sz w:val="20"/>
          <w:szCs w:val="20"/>
          <w:lang w:eastAsia="en-US"/>
        </w:rPr>
        <w:t>*Предельные цены на Товар, установленные приказом ФССП России от 23.12.2014 № 698 (с изменениями)</w:t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Для расчета НМЦК использовано наименьшее по значению ценовое предложение Поставщик № 1  (Письмо Минфина России от 8 сентября 2017 г. N 24-01-09/58179)</w:t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Начальник отдела материально-технического и медицинского обеспечения                                        _____________________/К.А. Андросов</w:t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16"/>
        <w:ind w:firstLine="53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Начальник финансово-экономического отдела                                                                                          _____________________/Е.Е. Романенко</w:t>
      </w:r>
    </w:p>
    <w:sectPr>
      <w:type w:val="nextPage"/>
      <w:pgSz w:orient="landscape" w:w="16838" w:h="11906"/>
      <w:pgMar w:left="1134" w:right="1134" w:gutter="0" w:header="0" w:top="675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empora LGC Uni">
    <w:charset w:val="01"/>
    <w:family w:val="swiss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7e12"/>
    <w:pPr>
      <w:widowControl/>
      <w:suppressAutoHyphens w:val="true"/>
      <w:bidi w:val="0"/>
      <w:spacing w:lineRule="auto" w:line="240" w:before="0" w:after="0"/>
      <w:jc w:val="left"/>
      <w:textAlignment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Tempora LGC Uni" w:hAnsi="Tempora LGC Uni" w:eastAsia="Open Sans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8"/>
        <w:tab w:val="center" w:pos="7285" w:leader="none"/>
        <w:tab w:val="right" w:pos="14570" w:leader="none"/>
      </w:tabs>
    </w:pPr>
    <w:rPr/>
  </w:style>
  <w:style w:type="paragraph" w:styleId="Header">
    <w:name w:val="Header"/>
    <w:basedOn w:val="Style1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Application>LibreOffice/7.6.7.2$Linux_X86_64 LibreOffice_project/60$Build-2</Application>
  <AppVersion>15.0000</AppVersion>
  <Pages>2</Pages>
  <Words>352</Words>
  <Characters>2827</Characters>
  <CharactersWithSpaces>3270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2022-12-19T13:52:00Z</dcterms:created>
  <dc:creator>14848</dc:creator>
  <dc:description/>
  <dc:language>ru-RU</dc:language>
  <cp:lastModifiedBy/>
  <cp:lastPrinted>2026-05-26T16:05:05Z</cp:lastPrinted>
  <dcterms:modified xsi:type="dcterms:W3CDTF">2026-05-26T16:08:19Z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