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65" w:rsidRDefault="00DF6724" w:rsidP="00DF6724">
      <w:pPr>
        <w:jc w:val="center"/>
        <w:rPr>
          <w:b/>
          <w:color w:val="000000"/>
          <w:sz w:val="22"/>
          <w:szCs w:val="22"/>
        </w:rPr>
      </w:pPr>
      <w:r w:rsidRPr="009E37AF">
        <w:rPr>
          <w:b/>
          <w:color w:val="000000"/>
          <w:sz w:val="22"/>
          <w:szCs w:val="22"/>
        </w:rPr>
        <w:t>ИНСТРУКЦИЯ ПО ЗАПОЛНЕНИЮ ЗАЯВКИ</w:t>
      </w:r>
      <w:r w:rsidRPr="006C2553">
        <w:rPr>
          <w:b/>
          <w:color w:val="000000"/>
          <w:sz w:val="22"/>
          <w:szCs w:val="22"/>
        </w:rPr>
        <w:t xml:space="preserve"> НА УЧАСТИЕ В ЗАКУПКЕ</w:t>
      </w:r>
    </w:p>
    <w:p w:rsidR="00DF6724" w:rsidRDefault="00DF6724" w:rsidP="00DF6724">
      <w:pPr>
        <w:jc w:val="center"/>
      </w:pPr>
    </w:p>
    <w:p w:rsidR="00DF6724" w:rsidRDefault="00DF6724" w:rsidP="00DF6724">
      <w:pPr>
        <w:widowControl w:val="0"/>
        <w:adjustRightInd w:val="0"/>
        <w:ind w:right="-57" w:firstLine="708"/>
        <w:jc w:val="both"/>
        <w:textAlignment w:val="baseline"/>
        <w:rPr>
          <w:rFonts w:eastAsia="Calibri"/>
          <w:color w:val="000000"/>
        </w:rPr>
      </w:pPr>
      <w:r w:rsidRPr="005951C0">
        <w:rPr>
          <w:rFonts w:eastAsia="Calibri"/>
          <w:color w:val="000000"/>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(поставляемых) товаров. В случае</w:t>
      </w:r>
      <w:r>
        <w:rPr>
          <w:rFonts w:eastAsia="Calibri"/>
          <w:color w:val="000000"/>
        </w:rPr>
        <w:t>,</w:t>
      </w:r>
      <w:r w:rsidRPr="005951C0">
        <w:rPr>
          <w:rFonts w:eastAsia="Calibri"/>
          <w:color w:val="000000"/>
        </w:rPr>
        <w:t xml:space="preserve">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закупки в отношен</w:t>
      </w:r>
      <w:bookmarkStart w:id="0" w:name="_GoBack"/>
      <w:bookmarkEnd w:id="0"/>
      <w:r w:rsidRPr="005951C0">
        <w:rPr>
          <w:rFonts w:eastAsia="Calibri"/>
          <w:color w:val="000000"/>
        </w:rPr>
        <w:t xml:space="preserve">ии объекта закупки по таким показателям подается в соответствии с установленными </w:t>
      </w:r>
      <w:r w:rsidRPr="00A15C90">
        <w:rPr>
          <w:rFonts w:eastAsia="Calibri"/>
          <w:color w:val="000000"/>
        </w:rPr>
        <w:t>ниже правилами описания</w:t>
      </w:r>
      <w:r w:rsidRPr="005951C0">
        <w:rPr>
          <w:rFonts w:eastAsia="Calibri"/>
          <w:color w:val="000000"/>
        </w:rPr>
        <w:t xml:space="preserve">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поставляются при выполнении работ, оказании услуг.</w:t>
      </w:r>
    </w:p>
    <w:p w:rsidR="00DF6724" w:rsidRPr="00160285" w:rsidRDefault="00DF6724" w:rsidP="00DF6724">
      <w:pPr>
        <w:widowControl w:val="0"/>
        <w:adjustRightInd w:val="0"/>
        <w:ind w:right="-57" w:firstLine="708"/>
        <w:jc w:val="both"/>
        <w:textAlignment w:val="baseline"/>
        <w:rPr>
          <w:rFonts w:eastAsia="Calibri"/>
          <w:color w:val="000000"/>
        </w:rPr>
      </w:pPr>
      <w:r w:rsidRPr="00160285">
        <w:rPr>
          <w:rFonts w:eastAsia="Calibri"/>
          <w:color w:val="000000"/>
        </w:rPr>
        <w:t xml:space="preserve">При рассмотрении заявки участника комиссия вправе проверять достоверность предоставленных сведений в отношении закупаемого/поставляемого товара, на </w:t>
      </w:r>
      <w:r w:rsidRPr="000C605E">
        <w:rPr>
          <w:rFonts w:eastAsia="Calibri"/>
          <w:color w:val="000000"/>
        </w:rPr>
        <w:t>соотве</w:t>
      </w:r>
      <w:r>
        <w:rPr>
          <w:rFonts w:eastAsia="Calibri"/>
          <w:color w:val="000000"/>
        </w:rPr>
        <w:t>т</w:t>
      </w:r>
      <w:r w:rsidRPr="000C605E">
        <w:rPr>
          <w:rFonts w:eastAsia="Calibri"/>
          <w:color w:val="000000"/>
        </w:rPr>
        <w:t>ствие</w:t>
      </w:r>
      <w:r w:rsidRPr="00160285">
        <w:rPr>
          <w:rFonts w:eastAsia="Calibri"/>
          <w:color w:val="000000"/>
        </w:rPr>
        <w:t xml:space="preserve"> указанных сведений в заявке с</w:t>
      </w:r>
      <w:r w:rsidRPr="00160285">
        <w:rPr>
          <w:color w:val="000000"/>
          <w:shd w:val="clear" w:color="auto" w:fill="FFFFFF"/>
        </w:rPr>
        <w:t xml:space="preserve"> положениями предусмотренными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случае установления требования о соответствии объекта закупки указанным нормативным документам, </w:t>
      </w:r>
      <w:r w:rsidRPr="00160285">
        <w:rPr>
          <w:rFonts w:eastAsia="Calibri"/>
          <w:color w:val="000000"/>
        </w:rPr>
        <w:t xml:space="preserve">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 </w:t>
      </w:r>
    </w:p>
    <w:p w:rsidR="00DF6724" w:rsidRDefault="00DF6724" w:rsidP="00DF6724">
      <w:pPr>
        <w:autoSpaceDE w:val="0"/>
        <w:autoSpaceDN w:val="0"/>
        <w:adjustRightInd w:val="0"/>
        <w:ind w:firstLine="708"/>
        <w:jc w:val="both"/>
        <w:rPr>
          <w:color w:val="000000"/>
          <w:shd w:val="clear" w:color="auto" w:fill="FFFFFF"/>
        </w:rPr>
      </w:pPr>
      <w:r w:rsidRPr="00160285">
        <w:rPr>
          <w:rFonts w:eastAsia="Calibri"/>
          <w:color w:val="000000"/>
        </w:rPr>
        <w:t>Указанные участниками значения показателей</w:t>
      </w:r>
      <w:r>
        <w:rPr>
          <w:rFonts w:eastAsia="Calibri"/>
          <w:color w:val="000000"/>
        </w:rPr>
        <w:t xml:space="preserve"> </w:t>
      </w:r>
      <w:r w:rsidRPr="00160285">
        <w:rPr>
          <w:rFonts w:eastAsia="Calibri"/>
          <w:color w:val="000000"/>
        </w:rPr>
        <w:t xml:space="preserve">не должны противоречить положениям, </w:t>
      </w:r>
      <w:r w:rsidRPr="00160285">
        <w:rPr>
          <w:color w:val="000000"/>
          <w:shd w:val="clear" w:color="auto" w:fill="FFFFFF"/>
        </w:rPr>
        <w:t>предусмотренным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r w:rsidRPr="00160285">
        <w:rPr>
          <w:rFonts w:eastAsia="Calibri"/>
          <w:color w:val="000000"/>
        </w:rPr>
        <w:t xml:space="preserve">, </w:t>
      </w:r>
      <w:r w:rsidRPr="00160285">
        <w:rPr>
          <w:color w:val="000000"/>
          <w:shd w:val="clear" w:color="auto" w:fill="FFFFFF"/>
        </w:rPr>
        <w:t>в случае установления требования о соответствии объекта закупки указанным нормативным документам.</w:t>
      </w:r>
    </w:p>
    <w:p w:rsidR="00DF6724" w:rsidRDefault="00DF6724" w:rsidP="00DF6724">
      <w:pPr>
        <w:ind w:firstLine="708"/>
        <w:jc w:val="both"/>
      </w:pPr>
      <w:r>
        <w:t>При установлении требований к значению характеристик применяются следующие слова и символы:</w:t>
      </w:r>
    </w:p>
    <w:tbl>
      <w:tblPr>
        <w:tblStyle w:val="a3"/>
        <w:tblW w:w="9351" w:type="dxa"/>
        <w:tblLook w:val="04A0" w:firstRow="1" w:lastRow="0" w:firstColumn="1" w:lastColumn="0" w:noHBand="0" w:noVBand="1"/>
      </w:tblPr>
      <w:tblGrid>
        <w:gridCol w:w="2689"/>
        <w:gridCol w:w="6662"/>
      </w:tblGrid>
      <w:tr w:rsidR="00DF6724" w:rsidTr="00CD50B1">
        <w:tc>
          <w:tcPr>
            <w:tcW w:w="2689" w:type="dxa"/>
          </w:tcPr>
          <w:p w:rsidR="00DF6724" w:rsidRDefault="00DF6724" w:rsidP="00CD50B1">
            <w:pPr>
              <w:jc w:val="center"/>
            </w:pPr>
            <w:bookmarkStart w:id="1" w:name="_Hlk152213444"/>
            <w:r>
              <w:t>Слова/символы</w:t>
            </w:r>
          </w:p>
        </w:tc>
        <w:tc>
          <w:tcPr>
            <w:tcW w:w="6662" w:type="dxa"/>
          </w:tcPr>
          <w:p w:rsidR="00DF6724" w:rsidRDefault="00DF6724" w:rsidP="00CD50B1">
            <w:pPr>
              <w:jc w:val="both"/>
            </w:pPr>
            <w:r w:rsidRPr="00C166C6">
              <w:t>Пояснения</w:t>
            </w:r>
          </w:p>
        </w:tc>
      </w:tr>
      <w:tr w:rsidR="00DF6724" w:rsidTr="00CD50B1">
        <w:tc>
          <w:tcPr>
            <w:tcW w:w="2689" w:type="dxa"/>
          </w:tcPr>
          <w:p w:rsidR="00DF6724" w:rsidRDefault="00DF6724" w:rsidP="00CD50B1">
            <w:pPr>
              <w:jc w:val="center"/>
            </w:pPr>
            <w:r>
              <w:t>≥, не менее</w:t>
            </w:r>
          </w:p>
        </w:tc>
        <w:tc>
          <w:tcPr>
            <w:tcW w:w="6662" w:type="dxa"/>
          </w:tcPr>
          <w:p w:rsidR="00DF6724" w:rsidRDefault="00DF6724" w:rsidP="00CD50B1">
            <w:pPr>
              <w:jc w:val="both"/>
            </w:pPr>
            <w:r>
              <w:t xml:space="preserve">В случае, если требуется указать конкретное значение характеристики, участник указывает конкретное значение характеристики более или равное установленному. </w:t>
            </w:r>
          </w:p>
          <w:p w:rsidR="00DF6724" w:rsidRPr="000C3D4C" w:rsidRDefault="00DF6724" w:rsidP="00CD50B1">
            <w:pPr>
              <w:jc w:val="both"/>
            </w:pPr>
            <w:r w:rsidRPr="007C5ABB">
              <w:t xml:space="preserve">В случае, если требуется указать </w:t>
            </w:r>
            <w:r>
              <w:t>диапазонное</w:t>
            </w:r>
            <w:r w:rsidRPr="007C5ABB">
              <w:t xml:space="preserve"> значение характеристики, </w:t>
            </w:r>
            <w:r>
              <w:t xml:space="preserve">крайнее значение предлагаемого участником диапазона должно быть </w:t>
            </w:r>
            <w:r w:rsidRPr="007C5ABB">
              <w:t xml:space="preserve">более или равное </w:t>
            </w:r>
            <w:r w:rsidRPr="007C5ABB">
              <w:t>установленному.</w:t>
            </w:r>
            <w:r>
              <w:t xml:space="preserve"> </w:t>
            </w:r>
          </w:p>
        </w:tc>
      </w:tr>
      <w:tr w:rsidR="00DF6724" w:rsidTr="00CD50B1">
        <w:tc>
          <w:tcPr>
            <w:tcW w:w="2689" w:type="dxa"/>
          </w:tcPr>
          <w:p w:rsidR="00DF6724" w:rsidRPr="0051518C" w:rsidRDefault="00DF6724" w:rsidP="00CD50B1">
            <w:pPr>
              <w:jc w:val="center"/>
            </w:pPr>
            <w:r>
              <w:rPr>
                <w:lang w:val="en-US"/>
              </w:rPr>
              <w:t>&gt;</w:t>
            </w:r>
            <w:r>
              <w:t>, более</w:t>
            </w:r>
          </w:p>
        </w:tc>
        <w:tc>
          <w:tcPr>
            <w:tcW w:w="6662" w:type="dxa"/>
          </w:tcPr>
          <w:p w:rsidR="00DF6724" w:rsidRPr="001963E0" w:rsidRDefault="00DF6724" w:rsidP="00CD50B1">
            <w:pPr>
              <w:jc w:val="both"/>
            </w:pPr>
            <w:r w:rsidRPr="001963E0">
              <w:t>В случае, если требуется указать конкретное значение характеристики, участник указывает конкретное значение характеристики более установленно</w:t>
            </w:r>
            <w:r>
              <w:t>го</w:t>
            </w:r>
            <w:r w:rsidRPr="001963E0">
              <w:t xml:space="preserve">. </w:t>
            </w:r>
          </w:p>
          <w:p w:rsidR="00DF6724" w:rsidRDefault="00DF6724" w:rsidP="00CD50B1">
            <w:pPr>
              <w:jc w:val="both"/>
            </w:pPr>
            <w:r w:rsidRPr="001963E0">
              <w:t xml:space="preserve">В случае, если требуется указать диапазонное значение характеристики, крайнее значение предлагаемого участником диапазона должно быть более </w:t>
            </w:r>
            <w:r w:rsidRPr="001963E0">
              <w:t>установленно</w:t>
            </w:r>
            <w:r>
              <w:t>го</w:t>
            </w:r>
            <w:r w:rsidRPr="001963E0">
              <w:t xml:space="preserve">. </w:t>
            </w:r>
          </w:p>
        </w:tc>
      </w:tr>
      <w:tr w:rsidR="00DF6724" w:rsidTr="00CD50B1">
        <w:tc>
          <w:tcPr>
            <w:tcW w:w="2689" w:type="dxa"/>
          </w:tcPr>
          <w:p w:rsidR="00DF6724" w:rsidRDefault="00DF6724" w:rsidP="00CD50B1">
            <w:pPr>
              <w:jc w:val="center"/>
            </w:pPr>
            <w:r>
              <w:t>≤, не более</w:t>
            </w:r>
          </w:p>
        </w:tc>
        <w:tc>
          <w:tcPr>
            <w:tcW w:w="6662" w:type="dxa"/>
          </w:tcPr>
          <w:p w:rsidR="00DF6724" w:rsidRPr="00090853" w:rsidRDefault="00DF6724" w:rsidP="00CD50B1">
            <w:pPr>
              <w:jc w:val="both"/>
            </w:pPr>
            <w:r w:rsidRPr="00090853">
              <w:t xml:space="preserve">В случае, если требуется указать конкретное значение характеристики, участник указывает конкретное значение характеристики </w:t>
            </w:r>
            <w:r>
              <w:t>менее</w:t>
            </w:r>
            <w:r w:rsidRPr="00090853">
              <w:t xml:space="preserve"> или равное установленному. </w:t>
            </w:r>
          </w:p>
          <w:p w:rsidR="00DF6724" w:rsidRDefault="00DF6724" w:rsidP="00CD50B1">
            <w:pPr>
              <w:jc w:val="both"/>
            </w:pPr>
            <w:r w:rsidRPr="00090853">
              <w:lastRenderedPageBreak/>
              <w:t xml:space="preserve">В случае, если требуется указать диапазонное значение характеристики, крайнее значение предлагаемого участником диапазона должно быть </w:t>
            </w:r>
            <w:r>
              <w:t>менее</w:t>
            </w:r>
            <w:r w:rsidRPr="00090853">
              <w:t xml:space="preserve"> или равное </w:t>
            </w:r>
            <w:proofErr w:type="gramStart"/>
            <w:r w:rsidRPr="00090853">
              <w:t xml:space="preserve">установленному.  </w:t>
            </w:r>
            <w:proofErr w:type="gramEnd"/>
          </w:p>
        </w:tc>
      </w:tr>
      <w:tr w:rsidR="00DF6724" w:rsidTr="00CD50B1">
        <w:tc>
          <w:tcPr>
            <w:tcW w:w="2689" w:type="dxa"/>
          </w:tcPr>
          <w:p w:rsidR="00DF6724" w:rsidRPr="0051518C" w:rsidRDefault="00DF6724" w:rsidP="00CD50B1">
            <w:pPr>
              <w:jc w:val="center"/>
            </w:pPr>
            <w:r>
              <w:rPr>
                <w:lang w:val="en-US"/>
              </w:rPr>
              <w:lastRenderedPageBreak/>
              <w:t>&lt;</w:t>
            </w:r>
            <w:r>
              <w:t>, менее</w:t>
            </w:r>
          </w:p>
        </w:tc>
        <w:tc>
          <w:tcPr>
            <w:tcW w:w="6662" w:type="dxa"/>
          </w:tcPr>
          <w:p w:rsidR="00DF6724" w:rsidRPr="00090853" w:rsidRDefault="00DF6724" w:rsidP="00CD50B1">
            <w:pPr>
              <w:jc w:val="both"/>
            </w:pPr>
            <w:r w:rsidRPr="00090853">
              <w:t xml:space="preserve">В случае, если требуется указать конкретное значение характеристики, участник указывает конкретное значение характеристики </w:t>
            </w:r>
            <w:r>
              <w:t>менее</w:t>
            </w:r>
            <w:r w:rsidRPr="00090853">
              <w:t xml:space="preserve"> установленного. </w:t>
            </w:r>
          </w:p>
          <w:p w:rsidR="00DF6724" w:rsidRDefault="00DF6724" w:rsidP="00CD50B1">
            <w:pPr>
              <w:jc w:val="both"/>
            </w:pPr>
            <w:r w:rsidRPr="00090853">
              <w:t xml:space="preserve">В случае, если требуется указать диапазонное значение характеристики, крайнее значение предлагаемого участником диапазона должно быть </w:t>
            </w:r>
            <w:r>
              <w:t>менее</w:t>
            </w:r>
            <w:r w:rsidRPr="00090853">
              <w:t xml:space="preserve"> </w:t>
            </w:r>
            <w:r w:rsidRPr="00090853">
              <w:t xml:space="preserve">установленного. </w:t>
            </w:r>
          </w:p>
        </w:tc>
      </w:tr>
      <w:tr w:rsidR="00DF6724" w:rsidTr="00CD50B1">
        <w:tc>
          <w:tcPr>
            <w:tcW w:w="2689" w:type="dxa"/>
          </w:tcPr>
          <w:p w:rsidR="00DF6724" w:rsidRDefault="00DF6724" w:rsidP="00CD50B1">
            <w:pPr>
              <w:jc w:val="center"/>
              <w:rPr>
                <w:lang w:val="en-US"/>
              </w:rPr>
            </w:pPr>
            <w:r>
              <w:t>Не ниже</w:t>
            </w:r>
          </w:p>
        </w:tc>
        <w:tc>
          <w:tcPr>
            <w:tcW w:w="6662" w:type="dxa"/>
          </w:tcPr>
          <w:p w:rsidR="00DF6724" w:rsidRPr="00090853" w:rsidRDefault="00DF6724" w:rsidP="00CD50B1">
            <w:pPr>
              <w:jc w:val="both"/>
            </w:pPr>
            <w:r w:rsidRPr="00B56BB2">
              <w:t>Участник</w:t>
            </w:r>
            <w:r>
              <w:t xml:space="preserve"> в заявке</w:t>
            </w:r>
            <w:r w:rsidRPr="00B56BB2">
              <w:t xml:space="preserve"> указывает значение характеристики</w:t>
            </w:r>
            <w:r>
              <w:t xml:space="preserve">, соответствующее </w:t>
            </w:r>
            <w:r w:rsidRPr="00B56BB2">
              <w:t>установленному</w:t>
            </w:r>
            <w:r>
              <w:t xml:space="preserve"> или являющееся более высоким по качеству</w:t>
            </w:r>
            <w:r w:rsidRPr="00B56BB2">
              <w:t>.</w:t>
            </w:r>
          </w:p>
        </w:tc>
      </w:tr>
      <w:tr w:rsidR="00DF6724" w:rsidTr="00CD50B1">
        <w:tc>
          <w:tcPr>
            <w:tcW w:w="2689" w:type="dxa"/>
          </w:tcPr>
          <w:p w:rsidR="00DF6724" w:rsidRDefault="00DF6724" w:rsidP="00CD50B1">
            <w:pPr>
              <w:jc w:val="center"/>
            </w:pPr>
            <w:r>
              <w:t>Н</w:t>
            </w:r>
            <w:r w:rsidRPr="0051518C">
              <w:t>е менее или не более</w:t>
            </w:r>
          </w:p>
        </w:tc>
        <w:tc>
          <w:tcPr>
            <w:tcW w:w="6662" w:type="dxa"/>
          </w:tcPr>
          <w:p w:rsidR="00DF6724" w:rsidRPr="00B56BB2" w:rsidRDefault="00DF6724" w:rsidP="00CD50B1">
            <w:pPr>
              <w:jc w:val="both"/>
            </w:pPr>
            <w:r>
              <w:t>Д</w:t>
            </w:r>
            <w:r w:rsidRPr="00835B84">
              <w:t>иапазонные значения</w:t>
            </w:r>
            <w:r>
              <w:t>.</w:t>
            </w:r>
            <w:r w:rsidRPr="00835B84">
              <w:t xml:space="preserve"> </w:t>
            </w:r>
            <w:r w:rsidRPr="0051518C">
              <w:t>Описание объекта закупки в графе «Наименование показателя»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и содержатся в графе «Наименование показателя», а в графе «Значение показателя» указывается их предельная величина (максимальная или минимальная).  Словосочетание «не менее» или «не более», или аналогичное ему из графы «Наименование показателя» не исключается. При этом «не менее» означает, что предельное значение, предлагаемое участником, должно быть равно или больше установленного, «не более» – равно или меньше.</w:t>
            </w:r>
          </w:p>
        </w:tc>
      </w:tr>
      <w:tr w:rsidR="00DF6724" w:rsidTr="00CD50B1">
        <w:tc>
          <w:tcPr>
            <w:tcW w:w="2689" w:type="dxa"/>
          </w:tcPr>
          <w:p w:rsidR="00DF6724" w:rsidRDefault="00DF6724" w:rsidP="00CD50B1">
            <w:pPr>
              <w:jc w:val="center"/>
            </w:pPr>
            <w:r w:rsidRPr="00E41835">
              <w:t>и (или)</w:t>
            </w:r>
          </w:p>
        </w:tc>
        <w:tc>
          <w:tcPr>
            <w:tcW w:w="6662" w:type="dxa"/>
          </w:tcPr>
          <w:p w:rsidR="00DF6724" w:rsidRPr="0051518C" w:rsidRDefault="00DF6724" w:rsidP="00CD50B1">
            <w:pPr>
              <w:jc w:val="both"/>
            </w:pPr>
            <w:r>
              <w:t>З</w:t>
            </w:r>
            <w:r w:rsidRPr="00E41835">
              <w:t>начение может содержать как несколько перечисленных характеристик с применением союза «и», так и одну конкретную без применения союзов</w:t>
            </w:r>
            <w:r>
              <w:t>.</w:t>
            </w:r>
          </w:p>
        </w:tc>
      </w:tr>
      <w:tr w:rsidR="00DF6724" w:rsidTr="00CD50B1">
        <w:tc>
          <w:tcPr>
            <w:tcW w:w="2689" w:type="dxa"/>
          </w:tcPr>
          <w:p w:rsidR="00DF6724" w:rsidRPr="00835B84" w:rsidRDefault="00DF6724" w:rsidP="00CD50B1">
            <w:pPr>
              <w:jc w:val="center"/>
            </w:pPr>
            <w:r w:rsidRPr="00835B84">
              <w:t>Или, либо</w:t>
            </w:r>
          </w:p>
        </w:tc>
        <w:tc>
          <w:tcPr>
            <w:tcW w:w="6662" w:type="dxa"/>
          </w:tcPr>
          <w:p w:rsidR="00DF6724" w:rsidRPr="00835B84" w:rsidRDefault="00DF6724" w:rsidP="00CD50B1">
            <w:pPr>
              <w:jc w:val="both"/>
            </w:pPr>
            <w:r w:rsidRPr="00835B84">
              <w:rPr>
                <w:color w:val="000000"/>
              </w:rPr>
              <w:t>При установлении в электронном документе «Описание объекта закупки» значения, включающего союз «или», «либо», предложение участника должно содержать конкретное значение, исключая данный союз.</w:t>
            </w:r>
          </w:p>
        </w:tc>
      </w:tr>
      <w:tr w:rsidR="00DF6724" w:rsidTr="00CD50B1">
        <w:tc>
          <w:tcPr>
            <w:tcW w:w="2689" w:type="dxa"/>
          </w:tcPr>
          <w:p w:rsidR="00DF6724" w:rsidRPr="00251C0C" w:rsidRDefault="00DF6724" w:rsidP="00CD50B1">
            <w:pPr>
              <w:jc w:val="center"/>
            </w:pPr>
            <w:r w:rsidRPr="00251C0C">
              <w:t xml:space="preserve">Не менее </w:t>
            </w:r>
            <w:r>
              <w:t xml:space="preserve">и </w:t>
            </w:r>
            <w:r w:rsidRPr="00251C0C">
              <w:t>не более</w:t>
            </w:r>
          </w:p>
        </w:tc>
        <w:tc>
          <w:tcPr>
            <w:tcW w:w="6662" w:type="dxa"/>
          </w:tcPr>
          <w:p w:rsidR="00DF6724" w:rsidRPr="00251C0C" w:rsidRDefault="00DF6724" w:rsidP="00CD50B1">
            <w:pPr>
              <w:jc w:val="both"/>
            </w:pPr>
            <w:r w:rsidRPr="00251C0C">
              <w:rPr>
                <w:color w:val="000000"/>
              </w:rPr>
              <w:t>Если в описании объекта закупки значение показателя установлено как верхний и нижний предел, сопровождаясь при этом в графе «Значение показателя» соответственно фразами «не менее» и «не более» или аналогичными по смыслу («более», «менее», «</w:t>
            </w:r>
            <w:r w:rsidRPr="00251C0C">
              <w:rPr>
                <w:rFonts w:eastAsia="Calibri"/>
              </w:rPr>
              <w:t>≥</w:t>
            </w:r>
            <w:r w:rsidRPr="00251C0C">
              <w:rPr>
                <w:color w:val="000000"/>
              </w:rPr>
              <w:t>», «</w:t>
            </w:r>
            <w:r w:rsidRPr="00251C0C">
              <w:rPr>
                <w:rFonts w:eastAsia="Calibri"/>
              </w:rPr>
              <w:t>≤</w:t>
            </w:r>
            <w:r w:rsidRPr="00251C0C">
              <w:rPr>
                <w:color w:val="000000"/>
              </w:rPr>
              <w:t xml:space="preserve">», «&gt;», «&lt;»), участником в предложении устанавливается конкретное значение. </w:t>
            </w:r>
          </w:p>
        </w:tc>
      </w:tr>
      <w:tr w:rsidR="00DF6724" w:rsidTr="00CD50B1">
        <w:tc>
          <w:tcPr>
            <w:tcW w:w="2689" w:type="dxa"/>
          </w:tcPr>
          <w:p w:rsidR="00DF6724" w:rsidRPr="00835B84" w:rsidRDefault="00DF6724" w:rsidP="00CD50B1">
            <w:pPr>
              <w:jc w:val="center"/>
            </w:pPr>
            <w:r w:rsidRPr="00835B84">
              <w:t>И, «,»</w:t>
            </w:r>
          </w:p>
        </w:tc>
        <w:tc>
          <w:tcPr>
            <w:tcW w:w="6662" w:type="dxa"/>
          </w:tcPr>
          <w:p w:rsidR="00DF6724" w:rsidRPr="00835B84" w:rsidRDefault="00DF6724" w:rsidP="00CD50B1">
            <w:pPr>
              <w:jc w:val="both"/>
            </w:pPr>
            <w:r w:rsidRPr="00835B84">
              <w:rPr>
                <w:color w:val="000000"/>
              </w:rPr>
              <w:t>При установлении в электронном документе «Описание объекта закупки» документации значения, содержащего перечисление характеристик с использованием союза «и» или знаков препинания «,», в предложении участника такое значение показателя должно включать все перечисленные характеристики.</w:t>
            </w:r>
          </w:p>
        </w:tc>
      </w:tr>
      <w:bookmarkEnd w:id="1"/>
    </w:tbl>
    <w:p w:rsidR="00DF6724" w:rsidRDefault="00DF6724" w:rsidP="00DF6724">
      <w:pPr>
        <w:ind w:firstLine="708"/>
        <w:jc w:val="both"/>
      </w:pPr>
    </w:p>
    <w:p w:rsidR="00DF6724" w:rsidRDefault="00DF6724" w:rsidP="00DF6724">
      <w:pPr>
        <w:ind w:firstLine="708"/>
        <w:jc w:val="both"/>
      </w:pPr>
      <w:r>
        <w:lastRenderedPageBreak/>
        <w:t>При указании диапазонных значений характеристики могут быть использованы символы, предусмотренные настоящим разделом, а также иные слова или символы, если это допускается функционалом площадки.</w:t>
      </w:r>
    </w:p>
    <w:p w:rsidR="00DF6724" w:rsidRPr="000C605E" w:rsidRDefault="00DF6724" w:rsidP="00DF6724">
      <w:pPr>
        <w:adjustRightInd w:val="0"/>
        <w:ind w:right="-57" w:firstLine="708"/>
        <w:jc w:val="both"/>
        <w:textAlignment w:val="baseline"/>
        <w:rPr>
          <w:color w:val="000000"/>
        </w:rPr>
      </w:pPr>
      <w:r w:rsidRPr="00473FED">
        <w:rPr>
          <w:rFonts w:eastAsia="Calibri"/>
          <w:color w:val="000000"/>
        </w:rPr>
        <w:t>Участниками закупки при заполнении заявки не должно допускаться</w:t>
      </w:r>
      <w:r w:rsidRPr="000C605E">
        <w:rPr>
          <w:rFonts w:eastAsia="Calibri"/>
          <w:color w:val="000000"/>
        </w:rPr>
        <w:t xml:space="preserve"> искусственное приведение значений показателей товаров, предлагаемых к поставке в соответствии с требованиями описания объекта закупки. 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w:t>
      </w:r>
      <w:r>
        <w:rPr>
          <w:rFonts w:eastAsia="Calibri"/>
          <w:color w:val="000000"/>
        </w:rPr>
        <w:t>,</w:t>
      </w:r>
      <w:r w:rsidRPr="000C605E">
        <w:rPr>
          <w:rFonts w:eastAsia="Calibri"/>
          <w:color w:val="000000"/>
        </w:rPr>
        <w:t xml:space="preserve"> могут быть взаимосвязаны друг с другом исходя из их физического смысла.</w:t>
      </w:r>
      <w:r w:rsidRPr="000C605E">
        <w:rPr>
          <w:color w:val="000000"/>
        </w:rPr>
        <w:t xml:space="preserve"> </w:t>
      </w:r>
    </w:p>
    <w:p w:rsidR="00DF6724" w:rsidRPr="005951C0" w:rsidRDefault="00DF6724" w:rsidP="00DF6724">
      <w:pPr>
        <w:widowControl w:val="0"/>
        <w:adjustRightInd w:val="0"/>
        <w:ind w:right="-57" w:firstLine="708"/>
        <w:jc w:val="both"/>
        <w:textAlignment w:val="baseline"/>
        <w:rPr>
          <w:rFonts w:eastAsia="Calibri"/>
          <w:color w:val="000000"/>
        </w:rPr>
      </w:pPr>
      <w:r w:rsidRPr="005951C0">
        <w:rPr>
          <w:rFonts w:eastAsia="Calibri"/>
          <w:color w:val="000000"/>
        </w:rPr>
        <w:t xml:space="preserve">Предложение участника в отношении поставляемых товаров, в том числе товаров, поставляемых при выполнении работ, оказании услуг, с любыми товарными знаками не должно сопровождаться словом «эквивалент». </w:t>
      </w:r>
    </w:p>
    <w:p w:rsidR="00DF6724" w:rsidRDefault="00DF6724" w:rsidP="00DF6724">
      <w:pPr>
        <w:widowControl w:val="0"/>
        <w:adjustRightInd w:val="0"/>
        <w:ind w:right="-57" w:firstLine="708"/>
        <w:jc w:val="both"/>
        <w:textAlignment w:val="baseline"/>
        <w:rPr>
          <w:rFonts w:eastAsia="Calibri"/>
          <w:color w:val="000000"/>
        </w:rPr>
      </w:pPr>
      <w:r w:rsidRPr="005951C0">
        <w:rPr>
          <w:rFonts w:eastAsia="Calibri"/>
          <w:color w:val="000000"/>
        </w:rP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rsidR="00DF6724" w:rsidRDefault="00DF6724" w:rsidP="00DF6724">
      <w:pPr>
        <w:ind w:firstLine="709"/>
        <w:jc w:val="both"/>
        <w:rPr>
          <w:rFonts w:eastAsia="Calibri"/>
          <w:color w:val="000000"/>
        </w:rPr>
      </w:pPr>
      <w:r w:rsidRPr="004C035C">
        <w:rPr>
          <w:rFonts w:eastAsia="Calibri"/>
          <w:color w:val="000000"/>
        </w:rPr>
        <w:t>Для товаров, используемых при выполнении закупаемых работ, оказываемых услуг в заявке требуется только согласие участника. Данное согласие распространяется на указанные в закупке материал</w:t>
      </w:r>
      <w:r>
        <w:rPr>
          <w:rFonts w:eastAsia="Calibri"/>
          <w:color w:val="000000"/>
        </w:rPr>
        <w:t>ы</w:t>
      </w:r>
      <w:r w:rsidRPr="004C035C">
        <w:rPr>
          <w:rFonts w:eastAsia="Calibri"/>
          <w:color w:val="000000"/>
        </w:rPr>
        <w:t>, используемы</w:t>
      </w:r>
      <w:r>
        <w:rPr>
          <w:rFonts w:eastAsia="Calibri"/>
          <w:color w:val="000000"/>
        </w:rPr>
        <w:t>е</w:t>
      </w:r>
      <w:r w:rsidRPr="004C035C">
        <w:rPr>
          <w:rFonts w:eastAsia="Calibri"/>
          <w:color w:val="000000"/>
        </w:rPr>
        <w:t xml:space="preserve"> при выполнении работ, оказании услуг.</w:t>
      </w:r>
    </w:p>
    <w:p w:rsidR="00DF6724" w:rsidRPr="005951C0" w:rsidRDefault="00DF6724" w:rsidP="00DF6724">
      <w:pPr>
        <w:autoSpaceDE w:val="0"/>
        <w:autoSpaceDN w:val="0"/>
        <w:adjustRightInd w:val="0"/>
        <w:ind w:firstLine="709"/>
        <w:jc w:val="both"/>
        <w:rPr>
          <w:rFonts w:eastAsia="Calibri"/>
          <w:strike/>
          <w:color w:val="000000"/>
          <w:lang w:eastAsia="en-US"/>
        </w:rPr>
      </w:pPr>
      <w:r w:rsidRPr="005951C0">
        <w:rPr>
          <w:rFonts w:eastAsia="Calibri"/>
          <w:color w:val="000000"/>
          <w:lang w:eastAsia="en-US"/>
        </w:rPr>
        <w:t xml:space="preserve">Наименование страны происхождения товара указывается в соответствии с общероссийским классификатором, используемым для идентификации стран мира. Ответственность за достоверность сведений о стране происхождения товара, указанного в заявке на участие в </w:t>
      </w:r>
      <w:r>
        <w:rPr>
          <w:rFonts w:eastAsia="Calibri"/>
          <w:color w:val="000000"/>
          <w:lang w:eastAsia="en-US"/>
        </w:rPr>
        <w:t>закупке</w:t>
      </w:r>
      <w:r w:rsidRPr="005951C0">
        <w:rPr>
          <w:rFonts w:eastAsia="Calibri"/>
          <w:color w:val="000000"/>
          <w:lang w:eastAsia="en-US"/>
        </w:rPr>
        <w:t>, несет участник закупки.</w:t>
      </w:r>
      <w:r w:rsidRPr="005951C0">
        <w:rPr>
          <w:rFonts w:eastAsia="Calibri"/>
          <w:strike/>
          <w:color w:val="000000"/>
          <w:lang w:eastAsia="en-US"/>
        </w:rPr>
        <w:t xml:space="preserve"> </w:t>
      </w:r>
    </w:p>
    <w:p w:rsidR="00DF6724" w:rsidRDefault="00DF6724" w:rsidP="00DF6724">
      <w:pPr>
        <w:ind w:firstLine="709"/>
        <w:jc w:val="both"/>
        <w:rPr>
          <w:rFonts w:eastAsia="Calibri"/>
          <w:color w:val="000000"/>
        </w:rPr>
      </w:pPr>
    </w:p>
    <w:p w:rsidR="00DF6724" w:rsidRDefault="00DF6724" w:rsidP="00DF6724">
      <w:pPr>
        <w:jc w:val="center"/>
        <w:rPr>
          <w:b/>
          <w:color w:val="000000"/>
          <w:sz w:val="22"/>
          <w:szCs w:val="22"/>
        </w:rPr>
      </w:pPr>
    </w:p>
    <w:p w:rsidR="00DF6724" w:rsidRDefault="00DF6724"/>
    <w:sectPr w:rsidR="00DF6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24"/>
    <w:rsid w:val="00C82665"/>
    <w:rsid w:val="00DF6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FA30B-8936-4EA8-8311-8CC918CF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724"/>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Пронина</dc:creator>
  <cp:keywords/>
  <dc:description/>
  <cp:lastModifiedBy>Кристина Пронина</cp:lastModifiedBy>
  <cp:revision>1</cp:revision>
  <dcterms:created xsi:type="dcterms:W3CDTF">2025-04-10T20:37:00Z</dcterms:created>
  <dcterms:modified xsi:type="dcterms:W3CDTF">2025-04-10T20:43:00Z</dcterms:modified>
</cp:coreProperties>
</file>