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E45AA9" w:rsidRDefault="0046124D">
      <w:pPr>
        <w:spacing w:after="150" w:line="240" w:lineRule="auto"/>
        <w:jc w:val="center"/>
        <w:rPr>
          <w:color w:val="222222"/>
          <w:sz w:val="22"/>
        </w:rPr>
      </w:pPr>
      <w:bookmarkStart w:id="0" w:name="_GoBack"/>
      <w:bookmarkEnd w:id="0"/>
      <w:r>
        <w:rPr>
          <w:b/>
          <w:color w:val="222222"/>
          <w:sz w:val="22"/>
        </w:rPr>
        <w:t>ТЕХНИЧЕСКОЕ ЗАДАНИЕ</w:t>
      </w:r>
    </w:p>
    <w:p w14:paraId="02000000" w14:textId="77777777" w:rsidR="00E45AA9" w:rsidRDefault="0046124D">
      <w:pPr>
        <w:spacing w:after="0" w:line="240" w:lineRule="auto"/>
        <w:jc w:val="center"/>
        <w:rPr>
          <w:color w:val="222222"/>
          <w:sz w:val="22"/>
        </w:rPr>
      </w:pPr>
      <w:bookmarkStart w:id="1" w:name="_Hlk217039950"/>
      <w:r>
        <w:rPr>
          <w:sz w:val="22"/>
        </w:rPr>
        <w:t xml:space="preserve">на </w:t>
      </w:r>
      <w:bookmarkStart w:id="2" w:name="_Hlk217318047"/>
      <w:r>
        <w:rPr>
          <w:b/>
          <w:sz w:val="22"/>
        </w:rPr>
        <w:t xml:space="preserve">поставку демонстрационно-учебного оборудования для оснащения Детского культурно-просветительского центра </w:t>
      </w:r>
      <w:r>
        <w:rPr>
          <w:b/>
          <w:sz w:val="22"/>
        </w:rPr>
        <w:br/>
        <w:t xml:space="preserve">в обособленном подразделении Политехнического музея в г. Великий Новгород </w:t>
      </w:r>
      <w:bookmarkEnd w:id="1"/>
      <w:bookmarkEnd w:id="2"/>
    </w:p>
    <w:p w14:paraId="03000000" w14:textId="77777777" w:rsidR="00E45AA9" w:rsidRDefault="00E45AA9">
      <w:pPr>
        <w:spacing w:after="0"/>
        <w:jc w:val="both"/>
        <w:rPr>
          <w:b/>
          <w:color w:val="222222"/>
          <w:sz w:val="22"/>
        </w:rPr>
      </w:pPr>
    </w:p>
    <w:p w14:paraId="04000000" w14:textId="77777777" w:rsidR="00E45AA9" w:rsidRDefault="0046124D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Объект закупки: поставка демонстрационно-учебного </w:t>
      </w:r>
      <w:r>
        <w:rPr>
          <w:b/>
          <w:sz w:val="22"/>
        </w:rPr>
        <w:t xml:space="preserve">оборудования для оснащения Детского культурно-просветительского центра </w:t>
      </w:r>
      <w:r>
        <w:rPr>
          <w:b/>
          <w:sz w:val="22"/>
        </w:rPr>
        <w:br/>
        <w:t xml:space="preserve">в обособленном подразделении Политехнического музея г. Великий Новгород (далее-Товар/Оборудование). </w:t>
      </w:r>
    </w:p>
    <w:p w14:paraId="05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b/>
          <w:sz w:val="22"/>
        </w:rPr>
        <w:t>Срок поставки:</w:t>
      </w:r>
      <w:bookmarkStart w:id="3" w:name="_Hlk151047453"/>
      <w:r>
        <w:rPr>
          <w:b/>
          <w:sz w:val="22"/>
        </w:rPr>
        <w:t xml:space="preserve"> с даты заключения контракта, в течение 60 (шестьдесят) календарных д</w:t>
      </w:r>
      <w:r>
        <w:rPr>
          <w:b/>
          <w:sz w:val="22"/>
        </w:rPr>
        <w:t>ней. Срок поставки включает срок исполнения всех обязательств Поставщиком по настоящему Техническому заданию.</w:t>
      </w:r>
    </w:p>
    <w:p w14:paraId="06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b/>
          <w:sz w:val="22"/>
        </w:rPr>
        <w:t>Место выполнения работ по изготовлению Товара: по месту нахождения Поставщика.</w:t>
      </w:r>
    </w:p>
    <w:p w14:paraId="07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Место доставки: </w:t>
      </w:r>
      <w:r>
        <w:rPr>
          <w:sz w:val="22"/>
        </w:rPr>
        <w:t>Федеральное государственное бюджетное учреждение ку</w:t>
      </w:r>
      <w:r>
        <w:rPr>
          <w:sz w:val="22"/>
        </w:rPr>
        <w:t>льтуры «Политехнический музей», г. Великий Новгород, ул. Большая Московская д. 8/7. с 10-00 до 17-00 часов с понедельника по пятницу.</w:t>
      </w:r>
    </w:p>
    <w:p w14:paraId="08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Место выполнения работ по монтажу и сборке: </w:t>
      </w:r>
      <w:bookmarkEnd w:id="3"/>
      <w:r>
        <w:rPr>
          <w:sz w:val="22"/>
        </w:rPr>
        <w:t>Федеральное государственное бюджетное учреждение культуры «Политехнический муз</w:t>
      </w:r>
      <w:r>
        <w:rPr>
          <w:sz w:val="22"/>
        </w:rPr>
        <w:t xml:space="preserve">ей», </w:t>
      </w:r>
      <w:r>
        <w:rPr>
          <w:sz w:val="22"/>
        </w:rPr>
        <w:br/>
        <w:t>г. Великий Новгород, ул. Большая Московская д. 8/7. с 10-00 до 17-00 часов с понедельника по пятницу.</w:t>
      </w:r>
    </w:p>
    <w:p w14:paraId="09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В стоимость Товара входит поставка, настройка, тестирование, обеспечение взаимодействия с оборудованием и ПО в учебном классе: </w:t>
      </w:r>
      <w:r>
        <w:rPr>
          <w:sz w:val="22"/>
        </w:rPr>
        <w:t>VR-шлема с контроллер</w:t>
      </w:r>
      <w:r>
        <w:rPr>
          <w:sz w:val="22"/>
        </w:rPr>
        <w:t>ами управления полётом, совместимые с программным обеспечением (симулятором полёта).</w:t>
      </w:r>
    </w:p>
    <w:p w14:paraId="0A000000" w14:textId="77777777" w:rsidR="00E45AA9" w:rsidRDefault="0046124D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outlineLvl w:val="0"/>
        <w:rPr>
          <w:b/>
          <w:sz w:val="22"/>
        </w:rPr>
      </w:pPr>
      <w:r>
        <w:rPr>
          <w:spacing w:val="-4"/>
          <w:sz w:val="22"/>
        </w:rPr>
        <w:t xml:space="preserve">Поставщик обязан выполнить </w:t>
      </w:r>
      <w:r>
        <w:rPr>
          <w:sz w:val="22"/>
        </w:rPr>
        <w:t xml:space="preserve">поставку демонстрационно-учебного оборудования для оснащения и проведения специализированных мероприятий </w:t>
      </w:r>
      <w:r>
        <w:rPr>
          <w:sz w:val="22"/>
        </w:rPr>
        <w:br/>
        <w:t>в многофункциональном пространстве Обо</w:t>
      </w:r>
      <w:r>
        <w:rPr>
          <w:sz w:val="22"/>
        </w:rPr>
        <w:t>собленного подразделения Политехнического музея в г. Великий Новгород.</w:t>
      </w:r>
    </w:p>
    <w:p w14:paraId="0B000000" w14:textId="77777777" w:rsidR="00E45AA9" w:rsidRDefault="0046124D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2"/>
        </w:rPr>
      </w:pPr>
      <w:r>
        <w:rPr>
          <w:b/>
          <w:sz w:val="22"/>
        </w:rPr>
        <w:t>Требования к Товару:</w:t>
      </w:r>
      <w:r>
        <w:rPr>
          <w:sz w:val="22"/>
        </w:rPr>
        <w:t xml:space="preserve"> оборудование должно быть новым. Оборудование</w:t>
      </w:r>
      <w:r>
        <w:rPr>
          <w:sz w:val="22"/>
        </w:rPr>
        <w:t xml:space="preserve"> поставляется в стандартной комплектации. Оригинальная упаковка производителя не должна быть повреждена и не должна имет</w:t>
      </w:r>
      <w:r>
        <w:rPr>
          <w:sz w:val="22"/>
        </w:rPr>
        <w:t>ь следов вскрытия.</w:t>
      </w:r>
      <w:bookmarkStart w:id="4" w:name="_Hlk190440390"/>
    </w:p>
    <w:p w14:paraId="0C000000" w14:textId="77777777" w:rsidR="00E45AA9" w:rsidRDefault="0046124D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2"/>
        </w:rPr>
      </w:pPr>
      <w:r>
        <w:rPr>
          <w:b/>
          <w:sz w:val="22"/>
        </w:rPr>
        <w:t>Объем гарантий и гарантийный срок:</w:t>
      </w:r>
      <w:r>
        <w:rPr>
          <w:sz w:val="22"/>
        </w:rPr>
        <w:t xml:space="preserve"> Поставщик дает от своего имени гарантию качества на оборудование 12 (двенадцать) месяцев с даты подписания Сторонами товарной накладной по форме ТОРГ-12 или УПД.</w:t>
      </w:r>
      <w:bookmarkEnd w:id="4"/>
    </w:p>
    <w:p w14:paraId="0D000000" w14:textId="77777777" w:rsidR="00E45AA9" w:rsidRDefault="0046124D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2"/>
        </w:rPr>
      </w:pPr>
      <w:r>
        <w:rPr>
          <w:b/>
          <w:sz w:val="22"/>
        </w:rPr>
        <w:t xml:space="preserve">Требование к безопасности. </w:t>
      </w:r>
      <w:r>
        <w:rPr>
          <w:sz w:val="22"/>
        </w:rPr>
        <w:t xml:space="preserve">Поставляемое </w:t>
      </w:r>
      <w:r>
        <w:rPr>
          <w:sz w:val="22"/>
        </w:rPr>
        <w:t xml:space="preserve">оборудование должно соответствовать требованиям безопасности, установленным действующим законодательством для жизни, здоровья, имущества потребителя и окружающей среды при обычных условиях его использования, хранения, транспортировки и утилизации.  </w:t>
      </w:r>
      <w:r>
        <w:rPr>
          <w:rFonts w:ascii="Times New Roman CYR" w:hAnsi="Times New Roman CYR"/>
          <w:sz w:val="22"/>
        </w:rPr>
        <w:t>Соответ</w:t>
      </w:r>
      <w:r>
        <w:rPr>
          <w:rFonts w:ascii="Times New Roman CYR" w:hAnsi="Times New Roman CYR"/>
          <w:sz w:val="22"/>
        </w:rPr>
        <w:t>ствие оборудования требованиям безопасности подлежит обязательному подтверждению в порядке, предусмотренном законодательством Российской Федерации.</w:t>
      </w:r>
    </w:p>
    <w:p w14:paraId="0E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0F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10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11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12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13000000" w14:textId="77777777" w:rsidR="00E45AA9" w:rsidRDefault="00E45AA9">
      <w:pPr>
        <w:pStyle w:val="a4"/>
        <w:tabs>
          <w:tab w:val="left" w:pos="709"/>
        </w:tabs>
        <w:ind w:left="0"/>
        <w:jc w:val="both"/>
        <w:rPr>
          <w:sz w:val="22"/>
        </w:rPr>
      </w:pPr>
    </w:p>
    <w:p w14:paraId="14000000" w14:textId="77777777" w:rsidR="00E45AA9" w:rsidRDefault="0046124D">
      <w:pPr>
        <w:spacing w:after="160" w:line="264" w:lineRule="auto"/>
      </w:pPr>
      <w:r>
        <w:br w:type="page"/>
      </w:r>
      <w:r>
        <w:lastRenderedPageBreak/>
        <w:t>Наименование, требования к функциональным, техническим и качественным характеристикам товара: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273"/>
        <w:gridCol w:w="10031"/>
      </w:tblGrid>
      <w:tr w:rsidR="00E45AA9" w14:paraId="56B8B2F7" w14:textId="77777777" w:rsidTr="009D283E">
        <w:tc>
          <w:tcPr>
            <w:tcW w:w="5273" w:type="dxa"/>
            <w:shd w:val="clear" w:color="auto" w:fill="D9EAF7"/>
            <w:vAlign w:val="center"/>
          </w:tcPr>
          <w:p w14:paraId="15000000" w14:textId="77777777" w:rsidR="00E45AA9" w:rsidRDefault="0046124D">
            <w:pPr>
              <w:spacing w:after="0" w:line="252" w:lineRule="auto"/>
              <w:jc w:val="center"/>
            </w:pPr>
            <w:r>
              <w:rPr>
                <w:b/>
                <w:sz w:val="20"/>
              </w:rPr>
              <w:t>Наименование товара, КТРУ/ОКПД2, количество</w:t>
            </w:r>
          </w:p>
        </w:tc>
        <w:tc>
          <w:tcPr>
            <w:tcW w:w="10031" w:type="dxa"/>
            <w:shd w:val="clear" w:color="auto" w:fill="D9EAF7"/>
            <w:vAlign w:val="center"/>
          </w:tcPr>
          <w:p w14:paraId="16000000" w14:textId="77777777" w:rsidR="00E45AA9" w:rsidRDefault="0046124D">
            <w:pPr>
              <w:spacing w:after="0" w:line="252" w:lineRule="auto"/>
              <w:jc w:val="center"/>
            </w:pPr>
            <w:r>
              <w:rPr>
                <w:b/>
                <w:sz w:val="20"/>
              </w:rPr>
              <w:t>Требования к функциональным, техническим и качественным характеристикам товара</w:t>
            </w:r>
          </w:p>
        </w:tc>
      </w:tr>
      <w:tr w:rsidR="00E45AA9" w14:paraId="06B68D6B" w14:textId="77777777" w:rsidTr="009D283E">
        <w:tc>
          <w:tcPr>
            <w:tcW w:w="5273" w:type="dxa"/>
            <w:vAlign w:val="center"/>
          </w:tcPr>
          <w:p w14:paraId="17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 xml:space="preserve">1. FPV видео-шлем </w:t>
            </w:r>
            <w:proofErr w:type="spellStart"/>
            <w:r>
              <w:rPr>
                <w:b/>
                <w:sz w:val="20"/>
              </w:rPr>
              <w:t>Skyzone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Cobra</w:t>
            </w:r>
            <w:proofErr w:type="spellEnd"/>
            <w:r>
              <w:rPr>
                <w:b/>
                <w:sz w:val="20"/>
              </w:rPr>
              <w:t xml:space="preserve"> X</w:t>
            </w:r>
          </w:p>
          <w:p w14:paraId="18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>ОКПД2: 26.20.16.190</w:t>
            </w:r>
          </w:p>
          <w:p w14:paraId="19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>Количество: 2 шт.</w:t>
            </w:r>
          </w:p>
        </w:tc>
        <w:tc>
          <w:tcPr>
            <w:tcW w:w="10031" w:type="dxa"/>
            <w:vAlign w:val="center"/>
          </w:tcPr>
          <w:p w14:paraId="1A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Тип оборудования: FPV видео-шлем / очки для приема видеосигн</w:t>
            </w:r>
            <w:r>
              <w:rPr>
                <w:sz w:val="20"/>
              </w:rPr>
              <w:t>ала с БПЛА.</w:t>
            </w:r>
          </w:p>
          <w:p w14:paraId="1B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Модель: </w:t>
            </w:r>
            <w:proofErr w:type="spellStart"/>
            <w:r>
              <w:rPr>
                <w:sz w:val="20"/>
              </w:rPr>
              <w:t>Skyzone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Cobra</w:t>
            </w:r>
            <w:proofErr w:type="spellEnd"/>
            <w:r>
              <w:rPr>
                <w:sz w:val="20"/>
              </w:rPr>
              <w:t xml:space="preserve"> X.</w:t>
            </w:r>
          </w:p>
          <w:p w14:paraId="1C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Экран: LCD, диагональ не менее 4,1 дюйма.</w:t>
            </w:r>
          </w:p>
          <w:p w14:paraId="1D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Разрешение экрана: не менее 1280 x 720 пикселей.</w:t>
            </w:r>
          </w:p>
          <w:p w14:paraId="1E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Соотношение сторон: переключаемое 4:3 / 16:9.</w:t>
            </w:r>
          </w:p>
          <w:p w14:paraId="1F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Угол обзора по диагонали: не менее 50 градусов.</w:t>
            </w:r>
          </w:p>
          <w:p w14:paraId="20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Рабочая частота видеоприемника: 5,</w:t>
            </w:r>
            <w:r>
              <w:rPr>
                <w:sz w:val="20"/>
              </w:rPr>
              <w:t>8 ГГц.</w:t>
            </w:r>
          </w:p>
          <w:p w14:paraId="21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Количество каналов видеоприемника: не менее 48 каналов.</w:t>
            </w:r>
          </w:p>
          <w:p w14:paraId="22000000" w14:textId="77777777" w:rsidR="00E45AA9" w:rsidRPr="009D283E" w:rsidRDefault="0046124D">
            <w:pPr>
              <w:spacing w:after="0" w:line="252" w:lineRule="auto"/>
              <w:rPr>
                <w:lang w:val="en-US"/>
              </w:rPr>
            </w:pPr>
            <w:r>
              <w:rPr>
                <w:sz w:val="20"/>
              </w:rPr>
              <w:t>Тип</w:t>
            </w:r>
            <w:r w:rsidRPr="009D283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приемника</w:t>
            </w:r>
            <w:r w:rsidRPr="009D283E">
              <w:rPr>
                <w:sz w:val="20"/>
                <w:lang w:val="en-US"/>
              </w:rPr>
              <w:t xml:space="preserve">: </w:t>
            </w:r>
            <w:proofErr w:type="spellStart"/>
            <w:r w:rsidRPr="009D283E">
              <w:rPr>
                <w:sz w:val="20"/>
                <w:lang w:val="en-US"/>
              </w:rPr>
              <w:t>SteadyView</w:t>
            </w:r>
            <w:proofErr w:type="spellEnd"/>
            <w:r w:rsidRPr="009D283E">
              <w:rPr>
                <w:sz w:val="20"/>
                <w:lang w:val="en-US"/>
              </w:rPr>
              <w:t xml:space="preserve"> / Diversity / </w:t>
            </w:r>
            <w:proofErr w:type="spellStart"/>
            <w:r w:rsidRPr="009D283E">
              <w:rPr>
                <w:sz w:val="20"/>
                <w:lang w:val="en-US"/>
              </w:rPr>
              <w:t>RapidMix</w:t>
            </w:r>
            <w:proofErr w:type="spellEnd"/>
            <w:r w:rsidRPr="009D283E">
              <w:rPr>
                <w:sz w:val="20"/>
                <w:lang w:val="en-US"/>
              </w:rPr>
              <w:t>.</w:t>
            </w:r>
          </w:p>
          <w:p w14:paraId="23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Встроенный видеорегистратор DVR: H.264 / MOV, 60 </w:t>
            </w:r>
            <w:proofErr w:type="spellStart"/>
            <w:r>
              <w:rPr>
                <w:sz w:val="20"/>
              </w:rPr>
              <w:t>fps</w:t>
            </w:r>
            <w:proofErr w:type="spellEnd"/>
            <w:r>
              <w:rPr>
                <w:sz w:val="20"/>
              </w:rPr>
              <w:t>.</w:t>
            </w:r>
          </w:p>
          <w:p w14:paraId="24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Поддержка карты памяти: </w:t>
            </w:r>
            <w:proofErr w:type="spellStart"/>
            <w:r>
              <w:rPr>
                <w:sz w:val="20"/>
              </w:rPr>
              <w:t>microSD</w:t>
            </w:r>
            <w:proofErr w:type="spellEnd"/>
            <w:r>
              <w:rPr>
                <w:sz w:val="20"/>
              </w:rPr>
              <w:t xml:space="preserve"> до 128 ГБ.</w:t>
            </w:r>
          </w:p>
          <w:p w14:paraId="25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Видеовходы: HDMI, AV.</w:t>
            </w:r>
          </w:p>
          <w:p w14:paraId="26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Питание: 1 аккумулятор </w:t>
            </w:r>
            <w:r>
              <w:rPr>
                <w:sz w:val="20"/>
              </w:rPr>
              <w:t>18650 / DC 6.5-25.2 В / USB 5 В.</w:t>
            </w:r>
          </w:p>
          <w:p w14:paraId="27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Габаритные размеры: не более 190 x 150 x 110 мм.</w:t>
            </w:r>
          </w:p>
          <w:p w14:paraId="28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Масса: не более 332 г.</w:t>
            </w:r>
          </w:p>
          <w:p w14:paraId="29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Комплектация: видео-шлем, ремень, кабели, антенны, инструкция.</w:t>
            </w:r>
          </w:p>
        </w:tc>
      </w:tr>
      <w:tr w:rsidR="00E45AA9" w14:paraId="245BF3A0" w14:textId="77777777" w:rsidTr="009D283E">
        <w:tc>
          <w:tcPr>
            <w:tcW w:w="5273" w:type="dxa"/>
            <w:vAlign w:val="center"/>
          </w:tcPr>
          <w:p w14:paraId="2A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 xml:space="preserve">2. Аппаратура управления </w:t>
            </w:r>
            <w:proofErr w:type="spellStart"/>
            <w:r>
              <w:rPr>
                <w:b/>
                <w:sz w:val="20"/>
              </w:rPr>
              <w:t>RadioMaster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Pocket</w:t>
            </w:r>
            <w:proofErr w:type="spellEnd"/>
            <w:r>
              <w:rPr>
                <w:b/>
                <w:sz w:val="20"/>
              </w:rPr>
              <w:t xml:space="preserve"> ELRS 2.4G</w:t>
            </w:r>
          </w:p>
          <w:p w14:paraId="2B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>ОКПД2: 26.20.16.190</w:t>
            </w:r>
          </w:p>
          <w:p w14:paraId="2C000000" w14:textId="77777777" w:rsidR="00E45AA9" w:rsidRDefault="0046124D">
            <w:pPr>
              <w:spacing w:after="0" w:line="252" w:lineRule="auto"/>
            </w:pPr>
            <w:r>
              <w:rPr>
                <w:b/>
                <w:sz w:val="20"/>
              </w:rPr>
              <w:t>Количество: 2</w:t>
            </w:r>
            <w:r>
              <w:rPr>
                <w:b/>
                <w:sz w:val="20"/>
              </w:rPr>
              <w:t xml:space="preserve"> шт.</w:t>
            </w:r>
          </w:p>
        </w:tc>
        <w:tc>
          <w:tcPr>
            <w:tcW w:w="10031" w:type="dxa"/>
            <w:vAlign w:val="center"/>
          </w:tcPr>
          <w:p w14:paraId="2D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Тип оборудования: аппаратура управления для FPV/радиоуправляемых моделей.</w:t>
            </w:r>
          </w:p>
          <w:p w14:paraId="2E000000" w14:textId="77777777" w:rsidR="00E45AA9" w:rsidRPr="009D283E" w:rsidRDefault="0046124D">
            <w:pPr>
              <w:spacing w:after="0" w:line="252" w:lineRule="auto"/>
              <w:rPr>
                <w:lang w:val="en-US"/>
              </w:rPr>
            </w:pPr>
            <w:r>
              <w:rPr>
                <w:sz w:val="20"/>
              </w:rPr>
              <w:t>Модель</w:t>
            </w:r>
            <w:r w:rsidRPr="009D283E">
              <w:rPr>
                <w:sz w:val="20"/>
                <w:lang w:val="en-US"/>
              </w:rPr>
              <w:t xml:space="preserve">: </w:t>
            </w:r>
            <w:proofErr w:type="spellStart"/>
            <w:r w:rsidRPr="009D283E">
              <w:rPr>
                <w:sz w:val="20"/>
                <w:lang w:val="en-US"/>
              </w:rPr>
              <w:t>RadioMaster</w:t>
            </w:r>
            <w:proofErr w:type="spellEnd"/>
            <w:r w:rsidRPr="009D283E">
              <w:rPr>
                <w:sz w:val="20"/>
                <w:lang w:val="en-US"/>
              </w:rPr>
              <w:t xml:space="preserve"> Pocket ELRS 2.4G.</w:t>
            </w:r>
          </w:p>
          <w:p w14:paraId="2F000000" w14:textId="77777777" w:rsidR="00E45AA9" w:rsidRPr="009D283E" w:rsidRDefault="0046124D">
            <w:pPr>
              <w:spacing w:after="0" w:line="252" w:lineRule="auto"/>
              <w:rPr>
                <w:lang w:val="en-US"/>
              </w:rPr>
            </w:pPr>
            <w:r>
              <w:rPr>
                <w:sz w:val="20"/>
              </w:rPr>
              <w:t>Протокол</w:t>
            </w:r>
            <w:r w:rsidRPr="009D283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связи</w:t>
            </w:r>
            <w:r w:rsidRPr="009D283E">
              <w:rPr>
                <w:sz w:val="20"/>
                <w:lang w:val="en-US"/>
              </w:rPr>
              <w:t xml:space="preserve">: </w:t>
            </w:r>
            <w:proofErr w:type="spellStart"/>
            <w:r w:rsidRPr="009D283E">
              <w:rPr>
                <w:sz w:val="20"/>
                <w:lang w:val="en-US"/>
              </w:rPr>
              <w:t>ExpressLRS</w:t>
            </w:r>
            <w:proofErr w:type="spellEnd"/>
            <w:r w:rsidRPr="009D283E">
              <w:rPr>
                <w:sz w:val="20"/>
                <w:lang w:val="en-US"/>
              </w:rPr>
              <w:t xml:space="preserve"> (ELRS) 2.4GHz.</w:t>
            </w:r>
          </w:p>
          <w:p w14:paraId="30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Операционная система: </w:t>
            </w:r>
            <w:proofErr w:type="spellStart"/>
            <w:r>
              <w:rPr>
                <w:sz w:val="20"/>
              </w:rPr>
              <w:t>EdgeTX</w:t>
            </w:r>
            <w:proofErr w:type="spellEnd"/>
            <w:r>
              <w:rPr>
                <w:sz w:val="20"/>
              </w:rPr>
              <w:t>.</w:t>
            </w:r>
          </w:p>
          <w:p w14:paraId="31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Рабочая частота: 2.400-2.480 ГГц.</w:t>
            </w:r>
          </w:p>
          <w:p w14:paraId="32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Количество каналов управления: до</w:t>
            </w:r>
            <w:r>
              <w:rPr>
                <w:sz w:val="20"/>
              </w:rPr>
              <w:t xml:space="preserve"> 16 каналов.</w:t>
            </w:r>
          </w:p>
          <w:p w14:paraId="33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Максимальная мощность передатчика: не менее 250 мВт.</w:t>
            </w:r>
          </w:p>
          <w:p w14:paraId="34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Дальность управления: более 2 км.</w:t>
            </w:r>
          </w:p>
          <w:p w14:paraId="35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Тип </w:t>
            </w:r>
            <w:proofErr w:type="spellStart"/>
            <w:r>
              <w:rPr>
                <w:sz w:val="20"/>
              </w:rPr>
              <w:t>стиков</w:t>
            </w:r>
            <w:proofErr w:type="spellEnd"/>
            <w:r>
              <w:rPr>
                <w:sz w:val="20"/>
              </w:rPr>
              <w:t>: датчики Холла.</w:t>
            </w:r>
          </w:p>
          <w:p w14:paraId="36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Дисплей: монохромный LCD 128 x 64 пикселя.</w:t>
            </w:r>
          </w:p>
          <w:p w14:paraId="37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Питание: 2 аккумулятора 18650.</w:t>
            </w:r>
          </w:p>
          <w:p w14:paraId="38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Зарядка: встроенная USB-C QC3.</w:t>
            </w:r>
          </w:p>
          <w:p w14:paraId="39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Разъем подключения к ПК:</w:t>
            </w:r>
            <w:r>
              <w:rPr>
                <w:sz w:val="20"/>
              </w:rPr>
              <w:t xml:space="preserve"> USB </w:t>
            </w:r>
            <w:proofErr w:type="spellStart"/>
            <w:r>
              <w:rPr>
                <w:sz w:val="20"/>
              </w:rPr>
              <w:t>Type</w:t>
            </w:r>
            <w:proofErr w:type="spellEnd"/>
            <w:r>
              <w:rPr>
                <w:sz w:val="20"/>
              </w:rPr>
              <w:t>-C.</w:t>
            </w:r>
          </w:p>
          <w:p w14:paraId="3A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Поддержка симуляторов: через USB-подключение к ПК.</w:t>
            </w:r>
          </w:p>
          <w:p w14:paraId="3B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Габаритные размеры в сложенном виде: не более 156,6 x 65,1 x 125,3 мм.</w:t>
            </w:r>
          </w:p>
          <w:p w14:paraId="3C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Габаритные размеры в рабочем виде: не более 156,6 x 73,1 x 154,8 мм.</w:t>
            </w:r>
          </w:p>
          <w:p w14:paraId="3D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>Масса: не более 288 г.</w:t>
            </w:r>
          </w:p>
          <w:p w14:paraId="3E000000" w14:textId="77777777" w:rsidR="00E45AA9" w:rsidRDefault="0046124D">
            <w:pPr>
              <w:spacing w:after="0" w:line="252" w:lineRule="auto"/>
            </w:pPr>
            <w:r>
              <w:rPr>
                <w:sz w:val="20"/>
              </w:rPr>
              <w:t xml:space="preserve">Комплектация: аппаратура </w:t>
            </w:r>
            <w:r>
              <w:rPr>
                <w:sz w:val="20"/>
              </w:rPr>
              <w:t>управления, инструкция, комплект принадлежностей.</w:t>
            </w:r>
          </w:p>
        </w:tc>
      </w:tr>
    </w:tbl>
    <w:p w14:paraId="3F000000" w14:textId="77777777" w:rsidR="00E45AA9" w:rsidRDefault="00E45AA9">
      <w:pPr>
        <w:rPr>
          <w:sz w:val="22"/>
        </w:rPr>
      </w:pPr>
    </w:p>
    <w:sectPr w:rsidR="00E45AA9">
      <w:pgSz w:w="16838" w:h="11906" w:orient="landscape"/>
      <w:pgMar w:top="680" w:right="680" w:bottom="680" w:left="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5200"/>
    <w:multiLevelType w:val="multilevel"/>
    <w:tmpl w:val="2B8296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148" w:hanging="1080"/>
      </w:pPr>
    </w:lvl>
    <w:lvl w:ilvl="6">
      <w:start w:val="1"/>
      <w:numFmt w:val="decimal"/>
      <w:lvlText w:val="%1.%2.%3.%4.%5.%6.%7."/>
      <w:lvlJc w:val="left"/>
      <w:pPr>
        <w:ind w:left="2508" w:hanging="1440"/>
      </w:pPr>
    </w:lvl>
    <w:lvl w:ilvl="7">
      <w:start w:val="1"/>
      <w:numFmt w:val="decimal"/>
      <w:lvlText w:val="%1.%2.%3.%4.%5.%6.%7.%8."/>
      <w:lvlJc w:val="left"/>
      <w:pPr>
        <w:ind w:left="2508" w:hanging="1440"/>
      </w:pPr>
    </w:lvl>
    <w:lvl w:ilvl="8">
      <w:start w:val="1"/>
      <w:numFmt w:val="decimal"/>
      <w:lvlText w:val="%1.%2.%3.%4.%5.%6.%7.%8.%9."/>
      <w:lvlJc w:val="left"/>
      <w:pPr>
        <w:ind w:left="286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A9"/>
    <w:rsid w:val="0046124D"/>
    <w:rsid w:val="009D283E"/>
    <w:rsid w:val="00E4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73DD3-111F-4473-B5BA-53891FA5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24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</w:pPr>
  </w:style>
  <w:style w:type="character" w:customStyle="1" w:styleId="xl870">
    <w:name w:val="xl87"/>
    <w:basedOn w:val="1"/>
    <w:link w:val="xl87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690">
    <w:name w:val="xl69"/>
    <w:basedOn w:val="1"/>
    <w:link w:val="xl69"/>
    <w:rPr>
      <w:rFonts w:ascii="Tahoma" w:hAnsi="Tahoma"/>
      <w:b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ahoma" w:hAnsi="Tahoma"/>
      <w:b/>
      <w:sz w:val="22"/>
    </w:rPr>
  </w:style>
  <w:style w:type="character" w:customStyle="1" w:styleId="font50">
    <w:name w:val="font5"/>
    <w:basedOn w:val="1"/>
    <w:link w:val="font5"/>
    <w:rPr>
      <w:rFonts w:ascii="Tahoma" w:hAnsi="Tahoma"/>
      <w:b/>
      <w:color w:val="00000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ahoma" w:hAnsi="Tahoma"/>
      <w:b/>
      <w:sz w:val="28"/>
    </w:rPr>
  </w:style>
  <w:style w:type="character" w:customStyle="1" w:styleId="font60">
    <w:name w:val="font6"/>
    <w:basedOn w:val="1"/>
    <w:link w:val="font6"/>
    <w:rPr>
      <w:rFonts w:ascii="Tahoma" w:hAnsi="Tahoma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ahoma" w:hAnsi="Tahoma"/>
      <w:color w:val="FF0000"/>
    </w:rPr>
  </w:style>
  <w:style w:type="character" w:customStyle="1" w:styleId="xl780">
    <w:name w:val="xl78"/>
    <w:basedOn w:val="1"/>
    <w:link w:val="xl78"/>
    <w:rPr>
      <w:rFonts w:ascii="Tahoma" w:hAnsi="Tahoma"/>
      <w:color w:val="FF0000"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700">
    <w:name w:val="xl70"/>
    <w:basedOn w:val="1"/>
    <w:link w:val="xl70"/>
    <w:rPr>
      <w:rFonts w:ascii="Tahoma" w:hAnsi="Tahoma"/>
      <w:b/>
      <w:sz w:val="24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ahoma" w:hAnsi="Tahoma"/>
    </w:rPr>
  </w:style>
  <w:style w:type="character" w:customStyle="1" w:styleId="xl670">
    <w:name w:val="xl67"/>
    <w:basedOn w:val="1"/>
    <w:link w:val="xl67"/>
    <w:rPr>
      <w:rFonts w:ascii="Tahoma" w:hAnsi="Tahoma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720">
    <w:name w:val="xl72"/>
    <w:basedOn w:val="1"/>
    <w:link w:val="xl72"/>
    <w:rPr>
      <w:rFonts w:ascii="Tahoma" w:hAnsi="Tahoma"/>
      <w:sz w:val="24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710">
    <w:name w:val="xl71"/>
    <w:basedOn w:val="1"/>
    <w:link w:val="xl71"/>
    <w:rPr>
      <w:rFonts w:ascii="Tahoma" w:hAnsi="Tahoma"/>
      <w:b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840">
    <w:name w:val="xl84"/>
    <w:basedOn w:val="1"/>
    <w:link w:val="xl84"/>
    <w:rPr>
      <w:rFonts w:ascii="Tahoma" w:hAnsi="Tahoma"/>
      <w:b/>
      <w:sz w:val="24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center"/>
    </w:pPr>
    <w:rPr>
      <w:b/>
      <w:color w:val="FF0000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color w:val="FF0000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850">
    <w:name w:val="xl85"/>
    <w:basedOn w:val="1"/>
    <w:link w:val="xl85"/>
    <w:rPr>
      <w:rFonts w:ascii="Tahoma" w:hAnsi="Tahoma"/>
      <w:b/>
      <w:sz w:val="24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center"/>
    </w:pPr>
  </w:style>
  <w:style w:type="character" w:customStyle="1" w:styleId="xl830">
    <w:name w:val="xl83"/>
    <w:basedOn w:val="1"/>
    <w:link w:val="xl83"/>
    <w:rPr>
      <w:rFonts w:ascii="Times New Roman" w:hAnsi="Times New Roman"/>
      <w:sz w:val="24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680">
    <w:name w:val="xl68"/>
    <w:basedOn w:val="1"/>
    <w:link w:val="xl68"/>
    <w:rPr>
      <w:rFonts w:ascii="Tahoma" w:hAnsi="Tahoma"/>
      <w:sz w:val="2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Calibri Light" w:hAnsi="Calibri Light"/>
    </w:rPr>
  </w:style>
  <w:style w:type="character" w:customStyle="1" w:styleId="xl760">
    <w:name w:val="xl76"/>
    <w:basedOn w:val="1"/>
    <w:link w:val="xl76"/>
    <w:rPr>
      <w:rFonts w:ascii="Calibri Light" w:hAnsi="Calibri Light"/>
      <w:sz w:val="24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</w:style>
  <w:style w:type="character" w:customStyle="1" w:styleId="xl940">
    <w:name w:val="xl94"/>
    <w:basedOn w:val="1"/>
    <w:link w:val="xl94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b/>
      <w:color w:val="FF000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color w:val="FF0000"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ahoma" w:hAnsi="Tahoma"/>
    </w:rPr>
  </w:style>
  <w:style w:type="character" w:customStyle="1" w:styleId="xl730">
    <w:name w:val="xl73"/>
    <w:basedOn w:val="1"/>
    <w:link w:val="xl73"/>
    <w:rPr>
      <w:rFonts w:ascii="Tahoma" w:hAnsi="Tahoma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center"/>
    </w:pPr>
  </w:style>
  <w:style w:type="character" w:customStyle="1" w:styleId="xl950">
    <w:name w:val="xl95"/>
    <w:basedOn w:val="1"/>
    <w:link w:val="xl95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ahoma" w:hAnsi="Tahoma"/>
    </w:rPr>
  </w:style>
  <w:style w:type="character" w:customStyle="1" w:styleId="xl800">
    <w:name w:val="xl80"/>
    <w:basedOn w:val="1"/>
    <w:link w:val="xl80"/>
    <w:rPr>
      <w:rFonts w:ascii="Tahoma" w:hAnsi="Tahoma"/>
      <w:sz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center"/>
    </w:pPr>
  </w:style>
  <w:style w:type="character" w:customStyle="1" w:styleId="xl1010">
    <w:name w:val="xl101"/>
    <w:basedOn w:val="1"/>
    <w:link w:val="xl101"/>
    <w:rPr>
      <w:rFonts w:ascii="Times New Roman" w:hAnsi="Times New Roman"/>
      <w:sz w:val="24"/>
    </w:rPr>
  </w:style>
  <w:style w:type="paragraph" w:customStyle="1" w:styleId="14">
    <w:name w:val="Просмотренная гиперссылка1"/>
    <w:basedOn w:val="13"/>
    <w:link w:val="aa"/>
    <w:rPr>
      <w:color w:val="954F72"/>
      <w:u w:val="single"/>
    </w:rPr>
  </w:style>
  <w:style w:type="character" w:styleId="aa">
    <w:name w:val="FollowedHyperlink"/>
    <w:basedOn w:val="a0"/>
    <w:link w:val="14"/>
    <w:rPr>
      <w:color w:val="954F72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660">
    <w:name w:val="xl66"/>
    <w:basedOn w:val="1"/>
    <w:link w:val="xl66"/>
    <w:rPr>
      <w:rFonts w:ascii="Tahoma" w:hAnsi="Tahoma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b/>
    </w:rPr>
  </w:style>
  <w:style w:type="character" w:customStyle="1" w:styleId="xl990">
    <w:name w:val="xl99"/>
    <w:basedOn w:val="1"/>
    <w:link w:val="xl99"/>
    <w:rPr>
      <w:rFonts w:ascii="Times New Roman" w:hAnsi="Times New Roman"/>
      <w:b/>
      <w:sz w:val="24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center"/>
    </w:pPr>
    <w:rPr>
      <w:b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b/>
      <w:color w:val="FF0000"/>
    </w:rPr>
  </w:style>
  <w:style w:type="character" w:customStyle="1" w:styleId="xl890">
    <w:name w:val="xl89"/>
    <w:basedOn w:val="1"/>
    <w:link w:val="xl89"/>
    <w:rPr>
      <w:rFonts w:ascii="Times New Roman" w:hAnsi="Times New Roman"/>
      <w:b/>
      <w:color w:val="FF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center"/>
    </w:pPr>
    <w:rPr>
      <w:rFonts w:ascii="Tahoma" w:hAnsi="Tahoma"/>
      <w:b/>
    </w:rPr>
  </w:style>
  <w:style w:type="character" w:customStyle="1" w:styleId="xl810">
    <w:name w:val="xl81"/>
    <w:basedOn w:val="1"/>
    <w:link w:val="xl81"/>
    <w:rPr>
      <w:rFonts w:ascii="Tahoma" w:hAnsi="Tahoma"/>
      <w:b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790">
    <w:name w:val="xl79"/>
    <w:basedOn w:val="1"/>
    <w:link w:val="xl79"/>
    <w:rPr>
      <w:rFonts w:ascii="Tahoma" w:hAnsi="Tahoma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right"/>
    </w:pPr>
  </w:style>
  <w:style w:type="character" w:customStyle="1" w:styleId="xl960">
    <w:name w:val="xl96"/>
    <w:basedOn w:val="1"/>
    <w:link w:val="xl96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center"/>
    </w:pPr>
  </w:style>
  <w:style w:type="character" w:customStyle="1" w:styleId="xl1020">
    <w:name w:val="xl102"/>
    <w:basedOn w:val="1"/>
    <w:link w:val="xl102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</w:pPr>
  </w:style>
  <w:style w:type="character" w:customStyle="1" w:styleId="xl860">
    <w:name w:val="xl86"/>
    <w:basedOn w:val="1"/>
    <w:link w:val="xl86"/>
    <w:rPr>
      <w:rFonts w:ascii="Times New Roman" w:hAnsi="Times New Roman"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ahoma" w:hAnsi="Tahoma"/>
    </w:rPr>
  </w:style>
  <w:style w:type="character" w:customStyle="1" w:styleId="xl650">
    <w:name w:val="xl65"/>
    <w:basedOn w:val="1"/>
    <w:link w:val="xl65"/>
    <w:rPr>
      <w:rFonts w:ascii="Tahoma" w:hAnsi="Tahoma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750">
    <w:name w:val="xl75"/>
    <w:basedOn w:val="1"/>
    <w:link w:val="xl75"/>
    <w:rPr>
      <w:rFonts w:ascii="Tahoma" w:hAnsi="Tahoma"/>
      <w:sz w:val="24"/>
    </w:rPr>
  </w:style>
  <w:style w:type="paragraph" w:customStyle="1" w:styleId="diff">
    <w:name w:val="diff"/>
    <w:link w:val="diff0"/>
  </w:style>
  <w:style w:type="character" w:customStyle="1" w:styleId="diff0">
    <w:name w:val="diff"/>
    <w:link w:val="dif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ahoma" w:hAnsi="Tahoma"/>
    </w:rPr>
  </w:style>
  <w:style w:type="character" w:customStyle="1" w:styleId="xl770">
    <w:name w:val="xl77"/>
    <w:basedOn w:val="1"/>
    <w:link w:val="xl77"/>
    <w:rPr>
      <w:rFonts w:ascii="Tahoma" w:hAnsi="Tahom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3">
    <w:name w:val="Основной шрифт абзаца1"/>
    <w:link w:val="xl103"/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</w:style>
  <w:style w:type="character" w:customStyle="1" w:styleId="xl1030">
    <w:name w:val="xl103"/>
    <w:basedOn w:val="1"/>
    <w:link w:val="xl103"/>
    <w:rPr>
      <w:rFonts w:ascii="Times New Roman" w:hAnsi="Times New Roman"/>
      <w:sz w:val="24"/>
    </w:rPr>
  </w:style>
  <w:style w:type="paragraph" w:styleId="af">
    <w:name w:val="annotation text"/>
    <w:basedOn w:val="a"/>
    <w:link w:val="af0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center"/>
    </w:pPr>
    <w:rPr>
      <w:b/>
      <w:color w:val="FF0000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color w:val="FF0000"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annotation subject"/>
    <w:basedOn w:val="af"/>
    <w:next w:val="af"/>
    <w:link w:val="af4"/>
    <w:rPr>
      <w:b/>
    </w:rPr>
  </w:style>
  <w:style w:type="character" w:customStyle="1" w:styleId="af4">
    <w:name w:val="Тема примечания Знак"/>
    <w:basedOn w:val="af0"/>
    <w:link w:val="af3"/>
    <w:rPr>
      <w:rFonts w:ascii="Times New Roman" w:hAnsi="Times New Roman"/>
      <w:b/>
      <w:sz w:val="20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</w:style>
  <w:style w:type="character" w:customStyle="1" w:styleId="xl820">
    <w:name w:val="xl82"/>
    <w:basedOn w:val="1"/>
    <w:link w:val="xl82"/>
    <w:rPr>
      <w:rFonts w:ascii="Times New Roman" w:hAnsi="Times New Roman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b/>
      <w:color w:val="FF0000"/>
    </w:rPr>
  </w:style>
  <w:style w:type="character" w:customStyle="1" w:styleId="xl880">
    <w:name w:val="xl88"/>
    <w:basedOn w:val="1"/>
    <w:link w:val="xl88"/>
    <w:rPr>
      <w:rFonts w:ascii="Times New Roman" w:hAnsi="Times New Roman"/>
      <w:b/>
      <w:color w:val="FF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Неразрешенное упоминание1"/>
    <w:basedOn w:val="13"/>
    <w:link w:val="af9"/>
    <w:rPr>
      <w:color w:val="605E5C"/>
      <w:shd w:val="clear" w:color="auto" w:fill="E1DFDD"/>
    </w:rPr>
  </w:style>
  <w:style w:type="character" w:styleId="af9">
    <w:name w:val="Unresolved Mention"/>
    <w:basedOn w:val="a0"/>
    <w:link w:val="19"/>
    <w:rPr>
      <w:color w:val="605E5C"/>
      <w:shd w:val="clear" w:color="auto" w:fill="E1DFDD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</w:style>
  <w:style w:type="character" w:customStyle="1" w:styleId="xl970">
    <w:name w:val="xl97"/>
    <w:basedOn w:val="1"/>
    <w:link w:val="xl97"/>
    <w:rPr>
      <w:rFonts w:ascii="Times New Roman" w:hAnsi="Times New Roman"/>
      <w:sz w:val="24"/>
    </w:rPr>
  </w:style>
  <w:style w:type="paragraph" w:customStyle="1" w:styleId="1a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a"/>
    <w:rPr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b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ahoma" w:hAnsi="Tahoma"/>
    </w:rPr>
  </w:style>
  <w:style w:type="character" w:customStyle="1" w:styleId="xl740">
    <w:name w:val="xl74"/>
    <w:basedOn w:val="1"/>
    <w:link w:val="xl74"/>
    <w:rPr>
      <w:rFonts w:ascii="Tahoma" w:hAnsi="Tahoma"/>
      <w:sz w:val="24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center"/>
    </w:p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Денис Андреевич (Denis Blokhin)</dc:creator>
  <cp:lastModifiedBy>Блохин Денис Андреевич (Denis Blokhin)</cp:lastModifiedBy>
  <cp:revision>2</cp:revision>
  <dcterms:created xsi:type="dcterms:W3CDTF">2026-05-28T11:32:00Z</dcterms:created>
  <dcterms:modified xsi:type="dcterms:W3CDTF">2026-05-28T11:32:00Z</dcterms:modified>
</cp:coreProperties>
</file>