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2"/>
        <w:pBdr/>
        <w:tabs>
          <w:tab w:val="left" w:leader="none" w:pos="2652"/>
        </w:tabs>
        <w:spacing/>
        <w:ind w:firstLine="426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 оказания услуг</w:t>
      </w:r>
      <w:r>
        <w:rPr>
          <w:sz w:val="22"/>
          <w:szCs w:val="22"/>
        </w:rPr>
        <w:t xml:space="preserve"> № </w:t>
      </w:r>
      <w:r>
        <w:rPr>
          <w:sz w:val="22"/>
          <w:szCs w:val="22"/>
          <w:highlight w:val="none"/>
        </w:rPr>
        <w:t xml:space="preserve">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 w14:paraId="785C9CE4">
      <w:pPr>
        <w:pStyle w:val="892"/>
        <w:pBdr/>
        <w:tabs>
          <w:tab w:val="left" w:leader="none" w:pos="2652"/>
        </w:tabs>
        <w:spacing/>
        <w:ind w:firstLine="426"/>
        <w:rPr>
          <w:sz w:val="22"/>
          <w:szCs w:val="22"/>
        </w:rPr>
      </w:pPr>
      <w:r>
        <w:rPr>
          <w:sz w:val="22"/>
          <w:szCs w:val="22"/>
          <w:highlight w:val="none"/>
        </w:rPr>
        <w:t xml:space="preserve">Икз: </w:t>
      </w:r>
      <w:r>
        <w:rPr>
          <w:rFonts w:ascii="Tahoma" w:hAnsi="Tahoma" w:eastAsia="Tahoma" w:cs="Tahoma"/>
          <w:color w:val="000000"/>
          <w:sz w:val="20"/>
          <w:highlight w:val="none"/>
        </w:rPr>
        <w:t xml:space="preserve">261434600765643450100100300000000244</w:t>
      </w:r>
      <w:r>
        <w:rPr>
          <w:sz w:val="22"/>
          <w:szCs w:val="22"/>
          <w:highlight w:val="none"/>
        </w:rPr>
        <w:t xml:space="preserve">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tabs>
          <w:tab w:val="left" w:leader="none" w:pos="2652"/>
        </w:tabs>
        <w:spacing/>
        <w:ind w:firstLine="426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Bdr/>
        <w:spacing/>
        <w:ind w:firstLine="426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г. Киров</w:t>
      </w:r>
      <w:r>
        <w:rPr>
          <w:sz w:val="22"/>
          <w:szCs w:val="22"/>
          <w:highlight w:val="white"/>
        </w:rPr>
        <w:tab/>
      </w:r>
      <w:r>
        <w:rPr>
          <w:sz w:val="22"/>
          <w:szCs w:val="22"/>
          <w:highlight w:val="white"/>
        </w:rPr>
        <w:tab/>
      </w:r>
      <w:r>
        <w:rPr>
          <w:sz w:val="22"/>
          <w:szCs w:val="22"/>
          <w:highlight w:val="white"/>
        </w:rPr>
        <w:tab/>
      </w:r>
      <w:r>
        <w:rPr>
          <w:sz w:val="22"/>
          <w:szCs w:val="22"/>
          <w:highlight w:val="white"/>
        </w:rPr>
        <w:tab/>
      </w:r>
      <w:r>
        <w:rPr>
          <w:sz w:val="22"/>
          <w:szCs w:val="22"/>
          <w:highlight w:val="white"/>
        </w:rPr>
        <w:tab/>
      </w:r>
      <w:r>
        <w:rPr>
          <w:sz w:val="22"/>
          <w:szCs w:val="22"/>
          <w:highlight w:val="white"/>
        </w:rPr>
        <w:tab/>
      </w:r>
      <w:r>
        <w:rPr>
          <w:sz w:val="22"/>
          <w:szCs w:val="22"/>
          <w:highlight w:val="white"/>
        </w:rPr>
        <w:tab/>
      </w:r>
      <w:r>
        <w:rPr>
          <w:sz w:val="22"/>
          <w:szCs w:val="22"/>
          <w:highlight w:val="white"/>
        </w:rPr>
        <w:tab/>
      </w:r>
      <w:r>
        <w:rPr>
          <w:sz w:val="22"/>
          <w:szCs w:val="22"/>
          <w:highlight w:val="white"/>
        </w:rPr>
        <w:tab/>
      </w:r>
      <w:r>
        <w:rPr>
          <w:sz w:val="22"/>
          <w:szCs w:val="22"/>
          <w:highlight w:val="white"/>
        </w:rPr>
        <w:tab/>
      </w:r>
      <w:r>
        <w:rPr>
          <w:sz w:val="22"/>
          <w:szCs w:val="22"/>
          <w:highlight w:val="white"/>
        </w:rPr>
        <w:t xml:space="preserve">«</w:t>
      </w:r>
      <w:r>
        <w:rPr>
          <w:sz w:val="22"/>
          <w:szCs w:val="22"/>
          <w:highlight w:val="white"/>
        </w:rPr>
        <w:t xml:space="preserve">     </w:t>
      </w:r>
      <w:r>
        <w:rPr>
          <w:sz w:val="22"/>
          <w:szCs w:val="22"/>
          <w:highlight w:val="white"/>
        </w:rPr>
        <w:t xml:space="preserve">»             2026 г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tabs>
          <w:tab w:val="left" w:leader="none" w:pos="6663"/>
        </w:tabs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b/>
          <w:bCs/>
          <w:sz w:val="22"/>
          <w:szCs w:val="22"/>
        </w:rPr>
        <w:t xml:space="preserve">ФГБУН КНИИГиПК ФМБА России</w:t>
      </w:r>
      <w:r>
        <w:rPr>
          <w:sz w:val="22"/>
          <w:szCs w:val="22"/>
        </w:rPr>
        <w:t xml:space="preserve">, именуемое в дальнейшем «Заказчик», в лице </w:t>
      </w:r>
      <w:r>
        <w:rPr>
          <w:sz w:val="22"/>
          <w:szCs w:val="22"/>
        </w:rPr>
        <w:t xml:space="preserve">директора Парамонова Игоря Владимировича</w:t>
      </w:r>
      <w:r>
        <w:rPr>
          <w:sz w:val="22"/>
          <w:szCs w:val="22"/>
        </w:rPr>
        <w:t xml:space="preserve">, действующего на основании Устава, </w:t>
      </w:r>
      <w:r>
        <w:rPr>
          <w:sz w:val="22"/>
          <w:szCs w:val="22"/>
        </w:rPr>
        <w:t xml:space="preserve">с одной 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тороны, </w:t>
      </w:r>
      <w:r>
        <w:rPr>
          <w:sz w:val="22"/>
          <w:szCs w:val="22"/>
        </w:rPr>
        <w:t xml:space="preserve">и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tabs>
          <w:tab w:val="left" w:leader="none" w:pos="6663"/>
        </w:tabs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_________________________, именуемый в дальнейшем «Исполнитель», в лице директора ________________________, действующего на основании _________________, с другой стороны, вместе именуемые </w:t>
      </w:r>
      <w:r>
        <w:rPr>
          <w:sz w:val="22"/>
          <w:szCs w:val="22"/>
        </w:rPr>
        <w:t xml:space="preserve">«Стороны», в соответствии с п.5 ч.1 ст. 93 Федерального закона РФ № 44-ФЗ от 05 апреля 2013 г.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tabs>
          <w:tab w:val="left" w:leader="none" w:pos="6663"/>
        </w:tabs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1.Предмет </w:t>
      </w:r>
      <w:r>
        <w:rPr>
          <w:b/>
          <w:sz w:val="22"/>
          <w:szCs w:val="22"/>
        </w:rPr>
        <w:t xml:space="preserve">контракт</w:t>
      </w:r>
      <w:r>
        <w:rPr>
          <w:b/>
          <w:sz w:val="22"/>
          <w:szCs w:val="22"/>
        </w:rPr>
        <w:t xml:space="preserve">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>
        <w:rPr>
          <w:sz w:val="22"/>
          <w:szCs w:val="22"/>
        </w:rPr>
        <w:t xml:space="preserve">По настоящему контракту Исполнитель обязуется по заданию Заказчика оказать услуги, указанные в п.1.2. настоящего контракта, а Заказчик обязуется оплатить эти услуги.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1.2. Исполнитель обязуется оказать</w:t>
      </w:r>
      <w:r>
        <w:rPr>
          <w:sz w:val="22"/>
          <w:szCs w:val="22"/>
        </w:rPr>
        <w:t xml:space="preserve"> следующие</w:t>
      </w:r>
      <w:r>
        <w:rPr>
          <w:sz w:val="22"/>
          <w:szCs w:val="22"/>
        </w:rPr>
        <w:t xml:space="preserve"> услуги: </w:t>
      </w:r>
      <w:r>
        <w:rPr>
          <w:sz w:val="22"/>
          <w:szCs w:val="22"/>
        </w:rPr>
        <w:t xml:space="preserve">поверка термоманометров</w:t>
      </w:r>
      <w:r>
        <w:rPr>
          <w:b w:val="0"/>
          <w:bCs w:val="0"/>
          <w:sz w:val="22"/>
          <w:szCs w:val="22"/>
        </w:rPr>
        <w:t xml:space="preserve"> (Приложение №1).</w:t>
      </w:r>
      <w:r>
        <w:rPr>
          <w:b w:val="0"/>
          <w:bCs w:val="0"/>
          <w:sz w:val="22"/>
          <w:szCs w:val="22"/>
        </w:rPr>
      </w:r>
      <w:r>
        <w:rPr>
          <w:b w:val="0"/>
          <w:bCs w:val="0"/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Срок оказания услуг </w:t>
      </w:r>
      <w:r>
        <w:rPr>
          <w:sz w:val="22"/>
          <w:szCs w:val="22"/>
        </w:rPr>
        <w:t xml:space="preserve">с </w:t>
      </w:r>
      <w:r>
        <w:rPr>
          <w:b/>
          <w:sz w:val="22"/>
          <w:szCs w:val="22"/>
        </w:rPr>
        <w:t xml:space="preserve">момента заключения контракта</w:t>
      </w:r>
      <w:r>
        <w:rPr>
          <w:sz w:val="22"/>
          <w:szCs w:val="22"/>
        </w:rPr>
        <w:t xml:space="preserve"> по </w:t>
      </w:r>
      <w:r>
        <w:rPr>
          <w:b/>
          <w:sz w:val="22"/>
          <w:szCs w:val="22"/>
        </w:rPr>
        <w:t xml:space="preserve">30.09.2026 г.</w:t>
      </w:r>
      <w:r>
        <w:rPr>
          <w:sz w:val="22"/>
          <w:szCs w:val="22"/>
        </w:rPr>
        <w:t xml:space="preserve"> Исполнитель имеет право по согласованию с Заказчиком оказать услуги досрочно.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При исполнении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объем услуг, определяемый в соответствии с п. 1.2. может быть увеличен или уменьшен по соглашению сторон, но не более чем на десять процентов.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1.5. Услуги считаются оказанными после подписания акта приема услуг Заказчиком или его уполномоченным представителем.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Обязанности и права 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Исполнитель обязуется: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 Оказывать услуги с надлежащим качеством;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 Оказать услуги в полном объеме и в срок, предусмотренный настоящим контрактом.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2.1.3. Безвозмездно исправить по требованию Заказчика в течение 5 дней все выявленные недостатки, если в процессе оказания услуг Исполнитель допустил отступление от условий контракта, ухудшившее качество услуг.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2.1.4. Оказать услуги лично, либо с согласия Заказчика с привлечением третьих лиц.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2.1.5. При необходимости и с согласования с Заказчиком произвести утилизацию образующихся в процессе оказания услуг вредных и опасных отходов.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Исполнитель не вправе передавать свои права и обязанности по настоящему контракту третьим лицам без согласия Заказчика.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Заказчик обязуется принять и оплатить услуги в соответствии с условиями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Заказчик имеет право: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2.4.1. Проверять ход и качество услуг, выполняемых Исполнителем, не вмешиваясь в его деятельность;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2.4.2. Требовать от Исполнителя предоставления информации, связанной с исполнением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2.4.3. Отказат</w:t>
      </w:r>
      <w:r>
        <w:rPr>
          <w:sz w:val="22"/>
          <w:szCs w:val="22"/>
        </w:rPr>
        <w:t xml:space="preserve">ься от исполнения контракта в любое время до подписания акта, уведомив об этом Исполнителя и уплатив Исполнителю часть установленной цены пропорционально части оказанных услуг, выполненных до получения извещения об отказе Заказчика от исполнения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2.5. Заказчик дает свое согласие на публикацию сведений о владельце поверенных СИ в Федеральный информационный фонд на основании Приказа Минпромторга от 13.01.2022 №37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Цена </w:t>
      </w:r>
      <w:r>
        <w:rPr>
          <w:b/>
          <w:sz w:val="22"/>
          <w:szCs w:val="22"/>
        </w:rPr>
        <w:t xml:space="preserve">контракт</w:t>
      </w:r>
      <w:r>
        <w:rPr>
          <w:b/>
          <w:sz w:val="22"/>
          <w:szCs w:val="22"/>
        </w:rPr>
        <w:t xml:space="preserve">а и порядок расчетов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3.1.</w:t>
      </w:r>
      <w:r>
        <w:rPr>
          <w:bCs/>
          <w:sz w:val="22"/>
          <w:szCs w:val="22"/>
        </w:rPr>
        <w:t xml:space="preserve">Стоимость услуг по настоящему контракту определяется согласн</w:t>
      </w:r>
      <w:r>
        <w:rPr>
          <w:bCs/>
          <w:sz w:val="22"/>
          <w:szCs w:val="22"/>
          <w:highlight w:val="yellow"/>
        </w:rPr>
        <w:t xml:space="preserve">о калькуляции (расчета и т.п.) (Приложение №1) и составляет</w:t>
      </w:r>
      <w:r>
        <w:rPr>
          <w:bCs/>
          <w:sz w:val="22"/>
          <w:szCs w:val="22"/>
          <w:highlight w:val="yellow"/>
        </w:rPr>
        <w:t xml:space="preserve">:</w:t>
      </w:r>
      <w:r>
        <w:rPr>
          <w:b/>
          <w:bCs/>
          <w:sz w:val="22"/>
          <w:szCs w:val="22"/>
          <w:highlight w:val="yellow"/>
        </w:rPr>
        <w:t xml:space="preserve">0,00 () рублей 00 коп</w:t>
      </w:r>
      <w:r>
        <w:rPr>
          <w:rFonts w:eastAsia="MS Gothic"/>
          <w:bCs/>
          <w:sz w:val="22"/>
          <w:szCs w:val="22"/>
          <w:highlight w:val="yellow"/>
        </w:rPr>
        <w:t xml:space="preserve">. </w:t>
      </w:r>
      <w:r>
        <w:rPr>
          <w:rFonts w:eastAsia="MS Gothic"/>
          <w:bCs/>
          <w:sz w:val="22"/>
          <w:szCs w:val="22"/>
        </w:rPr>
        <w:t xml:space="preserve">НДС не облагается</w:t>
      </w:r>
      <w:r>
        <w:rPr>
          <w:sz w:val="22"/>
          <w:szCs w:val="22"/>
        </w:rPr>
        <w:t xml:space="preserve">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firstLine="426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3.2. </w:t>
      </w:r>
      <w:r>
        <w:rPr>
          <w:bCs/>
          <w:sz w:val="22"/>
          <w:szCs w:val="22"/>
        </w:rPr>
        <w:t xml:space="preserve">Цена контракта является твердой и опр</w:t>
      </w:r>
      <w:r>
        <w:rPr>
          <w:bCs/>
          <w:sz w:val="22"/>
          <w:szCs w:val="22"/>
        </w:rPr>
        <w:t xml:space="preserve">еделяется на весь срок исполнения договора и может быть изменена только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Оплату услуг Исполни</w:t>
      </w:r>
      <w:r>
        <w:rPr>
          <w:sz w:val="22"/>
          <w:szCs w:val="22"/>
        </w:rPr>
        <w:t xml:space="preserve">теля по настоящему контракту Заказчик производит путем перечисления денежных средств на расчетный счет Исполнителя, после фактического оказания услуг в течение 7 рабочих дней на основании счета, (счета-фактуры) и подписанного Сторонами акта приемки услуг. </w:t>
      </w:r>
      <w:r>
        <w:rPr>
          <w:sz w:val="22"/>
          <w:szCs w:val="22"/>
        </w:rPr>
        <w:t xml:space="preserve">Оплата услуг, оказываемых в декабре 202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года, должна быть произведена Заказчиком не позднее 26 декабря 202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года на основании счета, предоставленного Исполнителем не позднее 19 декабря 202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года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>
        <w:rPr>
          <w:sz w:val="22"/>
          <w:szCs w:val="22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</w:t>
      </w:r>
      <w:r>
        <w:rPr>
          <w:sz w:val="22"/>
          <w:szCs w:val="22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При изменении объема услуг в соответствии с п.1.4 контракта изменяется цена контракта пропорционально изменяемому объему услуг, но не </w:t>
      </w:r>
      <w:r>
        <w:rPr>
          <w:sz w:val="22"/>
          <w:szCs w:val="22"/>
        </w:rPr>
        <w:t xml:space="preserve">более чем на десять процентов цены контракта в соответствии с требованиями п.1.2 части 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Ответственность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Заказчик и Исполнитель за неисполнение или ненад</w:t>
      </w:r>
      <w:r>
        <w:rPr>
          <w:sz w:val="22"/>
          <w:szCs w:val="22"/>
        </w:rPr>
        <w:t xml:space="preserve">лежащее исполнение обязательств, предусмотренных контрактом, несут ответственность в виде пени и штрафов в размере и в порядке, предусмотренном и определенном статьей 34 Закона №44-ФЗ, Постановлением Правительства Российской Федерации от 30.08.2017 № 1042.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Исполнитель уплачивает Заказчику пени (штрафы) в случаях: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4.2.1. За каждый факт неисполнен</w:t>
      </w:r>
      <w:r>
        <w:rPr>
          <w:sz w:val="22"/>
          <w:szCs w:val="22"/>
        </w:rPr>
        <w:t xml:space="preserve">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10 процентов цены контракта в случае, если цена контракта не превышает 3 млн. рублей;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За каждый факт неисполнения или ненадлежащего исполнени</w:t>
      </w:r>
      <w:r>
        <w:rPr>
          <w:sz w:val="22"/>
          <w:szCs w:val="22"/>
        </w:rPr>
        <w:t xml:space="preserve">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 1000 рублей, если цена контракта не превышает 3 млн. рублей.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Пеня начисляется за каждый день просрочки исполнения Исполнителем обязательства, предусмотренного контрактом, в </w:t>
      </w:r>
      <w:r>
        <w:rPr>
          <w:sz w:val="22"/>
          <w:szCs w:val="22"/>
        </w:rPr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За каждый факт неисполнения З</w:t>
      </w:r>
      <w:r>
        <w:rPr>
          <w:sz w:val="22"/>
          <w:szCs w:val="22"/>
        </w:rPr>
        <w:t xml:space="preserve"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1000 рублей, если цена контракта не превышает 3 млн. рублей (включительно).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4.6. В случае просрочки исполнения Заказчиком обязательств, предусмотренных контрактом, Исполнитель вправе потребовать уплаты пеней. Пеня начисляется за каждый день просрочки </w:t>
      </w:r>
      <w:r>
        <w:rPr>
          <w:sz w:val="22"/>
          <w:szCs w:val="22"/>
        </w:rPr>
        <w:t xml:space="preserve">исполнения обязательства, предусмотренного контрактом, начиная со дня, следующего после дня истечения,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</w:t>
      </w:r>
      <w:hyperlink r:id="rId10" w:tooltip="garantF1://10080094.0" w:history="1">
        <w:r>
          <w:rPr>
            <w:rStyle w:val="897"/>
            <w:color w:val="auto"/>
            <w:sz w:val="22"/>
            <w:szCs w:val="22"/>
          </w:rPr>
          <w:t xml:space="preserve">ставки </w:t>
        </w:r>
      </w:hyperlink>
      <w:r>
        <w:rPr>
          <w:sz w:val="22"/>
          <w:szCs w:val="22"/>
        </w:rPr>
        <w:t xml:space="preserve"> Центрального банка Российской Федерации от не уплаченной в срок суммы.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4.7.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4.9.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</w:t>
      </w:r>
      <w:r>
        <w:rPr>
          <w:sz w:val="22"/>
          <w:szCs w:val="22"/>
        </w:rPr>
        <w:t xml:space="preserve">менно известить другую сторону о препятствии и его влиянии на исполнение обязательств по контракту.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</w:t>
      </w:r>
      <w:r>
        <w:rPr>
          <w:sz w:val="22"/>
          <w:szCs w:val="22"/>
        </w:rPr>
        <w:t xml:space="preserve">яния на возможность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4.10. Сторона, несвоевременно направившая извещение, предусмотренное в п. 4.9 контракта, возмещает другой Стороне понесенные последней убытки.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4.11. В случаях наступления обстоятельств, указанных в п. 4.8 контракта, срок выполнения Стороной обязательств по контракту отодвигается соразмерно времени, в течение которого действуют эти обстоятельства и их последствия.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4.12. За ущерб, причиненный третьему лицу в процессе оказания услуг, отвечает Исполнитель, если не докажет, что ущерб был причинен вследствие обстоятельств, за которые отвечает Заказчик.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4.13. Риск случайного повреждения (порчи) результата оказанных услуг лежит на Исполнителе до момента исполнения им своего обязательства по оказанию услуг.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4.14. Ответственность за соблюдение правил и техники безопасности, требований охраны труда, требований пожарной безопасности при оказании услуг по предмету договора – односторонняя, возлагается на Исполнителя.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tabs>
          <w:tab w:val="left" w:leader="none" w:pos="360"/>
        </w:tabs>
        <w:spacing/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tabs>
          <w:tab w:val="left" w:leader="none" w:pos="360"/>
        </w:tabs>
        <w:spacing/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Прочие условия.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Настоящий контракт вступает в силу с момента подписания и действует до полного исполнения сторонами своих обязательств по контракту.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 Все споры и разногласи</w:t>
      </w:r>
      <w:r>
        <w:rPr>
          <w:sz w:val="22"/>
          <w:szCs w:val="22"/>
        </w:rPr>
        <w:t xml:space="preserve">я по исполнению настоящего контракта или в связи с ним разрешаются сторонами путем переговоров, а при недостижении согласия - в судебном порядке. В вопросах, не урегулированных настоящим контрактом, стороны руководствуются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Настоящий контракт может быть изменен</w:t>
      </w:r>
      <w:r>
        <w:rPr>
          <w:sz w:val="22"/>
          <w:szCs w:val="22"/>
        </w:rPr>
        <w:t xml:space="preserve"> или расторгнут по соглашению сторон, в одностороннем порядке или по решению суда в соответствии с действующим законодательством. Все изменения и дополнения к настоящему контракту считаются действительными, если они оформлены письменным соглашением сторон.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5.4.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дневный</w:t>
      </w:r>
      <w:r>
        <w:rPr>
          <w:sz w:val="22"/>
          <w:szCs w:val="22"/>
        </w:rPr>
        <w:t xml:space="preserve"> срок после их осуществления.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 w14:paraId="1AFEB1B3"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  <w:t xml:space="preserve">5.5 </w:t>
      </w:r>
      <w:r>
        <w:rPr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</w:t>
      </w:r>
      <w:r>
        <w:rPr>
          <w:sz w:val="22"/>
          <w:szCs w:val="22"/>
        </w:rPr>
        <w:t xml:space="preserve">КУД 0510452, утв. Приказом Минфина России от 15.04.2021 N 61н) (далее - Акт приемки).Акт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</w:t>
      </w:r>
      <w:r>
        <w:rPr>
          <w:sz w:val="22"/>
          <w:szCs w:val="22"/>
        </w:rPr>
        <w:t xml:space="preserve">х услуг, и т.п.).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Настоящий контракт составлен в двух экземплярах, имеющих одинаковую юридическую силу, по одному экземпляру для каждой из сторон.  </w:t>
      </w:r>
      <w:r>
        <w:rPr>
          <w:rFonts w:ascii="Times New Roman" w:hAnsi="Times New Roman" w:eastAsia="Calibri" w:eastAsiaTheme="minorHAnsi"/>
          <w:color w:val="000000" w:themeColor="text1"/>
          <w:sz w:val="22"/>
          <w:szCs w:val="22"/>
          <w:lang w:val="ru-RU"/>
        </w:rPr>
        <w:t xml:space="preserve">Все приложения к настоящему договору являются его неотъемлемой частью, при условии подписания их обеими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Электронный документооборот.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 Сторон</w:t>
      </w:r>
      <w:r>
        <w:rPr>
          <w:sz w:val="22"/>
          <w:szCs w:val="22"/>
        </w:rPr>
        <w:t xml:space="preserve">ы вправе осуществлять обмен документами (сообщениями, информацией) с использованием сервисов Операторов электронного документооборота (далее – «ЭДО») по телекоммуникационным каналам связи с применением квалифицированной электронной подписи (далее – «КЭП»),</w:t>
      </w:r>
      <w:r>
        <w:rPr>
          <w:sz w:val="22"/>
          <w:szCs w:val="22"/>
        </w:rPr>
        <w:t xml:space="preserve"> соответствующей требованиям Федерального закона от 06.04.2011 № 63 ФЗ «Об электронной подписи», в рамках исполнения настоящего Договора, в целях утверждения, заключения договоров, подписания счетов, счетов-фактур, актов сверки расчетов, актов выполненных </w:t>
      </w:r>
      <w:r>
        <w:rPr>
          <w:sz w:val="22"/>
          <w:szCs w:val="22"/>
        </w:rPr>
        <w:t xml:space="preserve">работ, универсальных передаточных документов и иных документов, которые могут быть составлены в электронном виде согласно законодательству Российской Федерации (далее – «Документы»). Все остальные документы, не указанные выше, направляются в бумажном виде.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 Каждая из Сторон обязана обеспечивать в течение всего срока действия Договора действительность сертификата КЭП.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 Стороны признают, что получ</w:t>
      </w:r>
      <w:r>
        <w:rPr>
          <w:sz w:val="22"/>
          <w:szCs w:val="22"/>
        </w:rPr>
        <w:t xml:space="preserve">ение документов в электронном виде, подписанных КЭП, юридически эквивалентно получению документов на бумажном носителе с подписями и печатями Сторон, в связи с чем при обмене документами через ЭДО рассылка бумажных экземпляров документов не осуществляется.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firstLine="426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7</w:t>
      </w:r>
      <w:r>
        <w:rPr>
          <w:b/>
          <w:sz w:val="22"/>
          <w:szCs w:val="22"/>
        </w:rPr>
        <w:t xml:space="preserve">.Юридические адреса, банковские реквизиты и подписи сторон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9889" w:type="dxa"/>
        <w:tblBorders/>
        <w:tblpPr w:horzAnchor="margin" w:tblpX="-176" w:vertAnchor="text" w:tblpY="134" w:leftFromText="180" w:topFromText="0" w:rightFromText="180" w:bottomFromText="0"/>
        <w:tblLook w:val="01E0" w:firstRow="1" w:lastRow="1" w:firstColumn="1" w:lastColumn="1" w:noHBand="0" w:noVBand="0"/>
      </w:tblPr>
      <w:tblGrid>
        <w:gridCol w:w="5070"/>
        <w:gridCol w:w="4819"/>
      </w:tblGrid>
      <w:tr>
        <w:trPr>
          <w:trHeight w:val="564"/>
        </w:trPr>
        <w:tc>
          <w:tcPr>
            <w:tcBorders/>
            <w:tcW w:w="5070" w:type="dxa"/>
          </w:tcPr>
          <w:p w14:paraId="7C7715B0">
            <w:pPr>
              <w:pBdr/>
              <w:spacing/>
              <w:ind w:firstLine="42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 w14:paraId="7CF2FC2D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4819" w:type="dxa"/>
          </w:tcPr>
          <w:p>
            <w:pPr>
              <w:pBdr/>
              <w:spacing/>
              <w:ind w:firstLine="42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Исполнитель: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tabs>
                <w:tab w:val="left" w:leader="none" w:pos="3686"/>
              </w:tabs>
              <w:spacing/>
              <w:ind w:firstLine="426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070" w:type="dxa"/>
          </w:tcPr>
          <w:p w14:paraId="57EF2D3E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714B272B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35FCFB26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610027, г. Киров, ул. Красноармейская, 72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76701665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(8332) 54-97-31, 54-52-92, 54-79-60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54AA622E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ИНН/КПП 4346007656/434501001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22932B00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УФК по Кировской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55E33947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(ФГБУН КНИИГиПК ФМБА России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6877713E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Лицевой счет №  20406Ц17940, 22406Ц17940)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0BAC496C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р/сч 03214643000000014000 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1570E8ED">
            <w:pPr>
              <w:pStyle w:val="885"/>
              <w:widowControl w:val="tru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ОКЦ № 4 ВВГУ Банка России//УФК по Кировской области г. Киров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 w14:paraId="6E46BFE1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кор/сч 40102810345370000033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6218AE32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БИК 013304182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 w14:paraId="75AFD135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E403FD3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2D13AE0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 /И.В. Парамонов/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3337D08A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  <w:lang w:eastAsia="ja-JP" w:bidi="fa-IR"/>
              </w:rPr>
              <w:t xml:space="preserve">м.п.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19AEE926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5F54E6A6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0D09BE60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2A84E5F1">
            <w:pPr>
              <w:pStyle w:val="885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9C4234E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4819" w:type="dxa"/>
          </w:tcPr>
          <w:p>
            <w:pPr>
              <w:pBdr/>
              <w:tabs>
                <w:tab w:val="center" w:leader="none" w:pos="4677"/>
              </w:tabs>
              <w:spacing/>
              <w:ind w:firstLine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Bdr/>
        <w:spacing/>
        <w:ind w:firstLine="426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 w:firstLine="426"/>
        <w:jc w:val="right"/>
        <w:rPr>
          <w:sz w:val="22"/>
          <w:szCs w:val="22"/>
        </w:rPr>
      </w:pPr>
      <w:r>
        <w:rPr>
          <w:sz w:val="22"/>
          <w:szCs w:val="22"/>
        </w:rPr>
        <w:br w:type="page" w:clear="all"/>
        <w:t xml:space="preserve">Приложение 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1"/>
        <w:pBdr/>
        <w:spacing/>
        <w:ind w:firstLine="426"/>
        <w:jc w:val="right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</w:rPr>
        <w:t xml:space="preserve">к </w:t>
      </w:r>
      <w:r>
        <w:rPr>
          <w:rFonts w:ascii="Times New Roman" w:hAnsi="Times New Roman" w:cs="Times New Roman"/>
          <w:sz w:val="22"/>
          <w:szCs w:val="22"/>
        </w:rPr>
        <w:t xml:space="preserve">контракт</w:t>
      </w:r>
      <w:r>
        <w:rPr>
          <w:rFonts w:ascii="Times New Roman" w:hAnsi="Times New Roman" w:cs="Times New Roman"/>
          <w:sz w:val="22"/>
          <w:szCs w:val="22"/>
        </w:rPr>
        <w:t xml:space="preserve">у оказания услуг №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pBdr/>
        <w:spacing/>
        <w:ind w:firstLine="426"/>
        <w:jc w:val="right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от «</w:t>
      </w:r>
      <w:r>
        <w:rPr>
          <w:sz w:val="22"/>
          <w:szCs w:val="22"/>
          <w:highlight w:val="white"/>
        </w:rPr>
        <w:t xml:space="preserve">    </w:t>
      </w:r>
      <w:r>
        <w:rPr>
          <w:sz w:val="22"/>
          <w:szCs w:val="22"/>
          <w:highlight w:val="white"/>
        </w:rPr>
        <w:t xml:space="preserve">»         2026 г.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 w14:paraId="130BD7D8">
      <w:pPr>
        <w:pBdr/>
        <w:spacing/>
        <w:ind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 w14:paraId="7B58C003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552D107A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2D2A0F06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2BCFFE18">
      <w:pPr>
        <w:pStyle w:val="885"/>
        <w:pBdr/>
        <w:tabs>
          <w:tab w:val="left" w:leader="none" w:pos="0"/>
          <w:tab w:val="clear" w:leader="none" w:pos="708"/>
        </w:tabs>
        <w:spacing/>
        <w:ind/>
        <w:jc w:val="center"/>
        <w:rPr>
          <w:sz w:val="22"/>
          <w:szCs w:val="22"/>
        </w:rPr>
      </w:pPr>
      <w:r>
        <w:rPr>
          <w:sz w:val="22"/>
          <w:szCs w:val="22"/>
          <w:highlight w:val="none"/>
        </w:rPr>
        <w:t xml:space="preserve">       Спецификация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5747084B">
      <w:pPr>
        <w:pStyle w:val="885"/>
        <w:pBdr/>
        <w:tabs>
          <w:tab w:val="left" w:leader="none" w:pos="0"/>
          <w:tab w:val="clear" w:leader="none" w:pos="708"/>
        </w:tabs>
        <w:spacing/>
        <w:ind/>
        <w:jc w:val="right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tbl>
      <w:tblPr>
        <w:tblInd w:w="34" w:type="dxa"/>
        <w:tblW w:w="10078" w:type="dxa"/>
        <w:tblCellMar>
          <w:left w:w="27" w:type="dxa"/>
          <w:top w:w="0" w:type="dxa"/>
          <w:right w:w="7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09"/>
        <w:gridCol w:w="6138"/>
        <w:gridCol w:w="967"/>
        <w:gridCol w:w="1210"/>
        <w:gridCol w:w="1354"/>
      </w:tblGrid>
      <w:tr>
        <w:trPr>
          <w:trHeight w:val="62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" w:type="dxa"/>
            <w:vAlign w:val="center"/>
          </w:tcPr>
          <w:p w14:paraId="4B739495">
            <w:pPr>
              <w:pStyle w:val="885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138" w:type="dxa"/>
            <w:vAlign w:val="center"/>
          </w:tcPr>
          <w:p w14:paraId="26FE2233">
            <w:pPr>
              <w:pStyle w:val="885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7" w:type="dxa"/>
            <w:vAlign w:val="center"/>
          </w:tcPr>
          <w:p w14:paraId="46DA4299">
            <w:pPr>
              <w:pStyle w:val="885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10" w:type="dxa"/>
            <w:vAlign w:val="center"/>
          </w:tcPr>
          <w:p w14:paraId="5CAA3051">
            <w:pPr>
              <w:pStyle w:val="885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ед., без НДС, 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54" w:type="dxa"/>
            <w:vAlign w:val="center"/>
          </w:tcPr>
          <w:p w14:paraId="595E0948">
            <w:pPr>
              <w:pStyle w:val="885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 с учетом НДС, 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5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9" w:type="dxa"/>
          </w:tcPr>
          <w:p w14:paraId="1E52811F">
            <w:pPr>
              <w:pStyle w:val="885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138" w:type="dxa"/>
          </w:tcPr>
          <w:p w14:paraId="20CBDFB5">
            <w:pPr>
              <w:pBdr/>
              <w:spacing/>
              <w:ind/>
              <w:rPr/>
            </w:pPr>
            <w:r>
              <w:t xml:space="preserve">Термоманометр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7" w:type="dxa"/>
          </w:tcPr>
          <w:p w14:paraId="4D59309B">
            <w:pPr>
              <w:pBdr/>
              <w:spacing/>
              <w:ind/>
              <w:rPr/>
            </w:pPr>
            <w:r>
              <w:t xml:space="preserve">6 шт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10" w:type="dxa"/>
          </w:tcPr>
          <w:p w14:paraId="6CFEB5FB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54" w:type="dxa"/>
          </w:tcPr>
          <w:p w14:paraId="3D850F46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57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24" w:type="dxa"/>
          </w:tcPr>
          <w:p w14:paraId="20E3BFDA">
            <w:pPr>
              <w:pStyle w:val="885"/>
              <w:pBdr/>
              <w:spacing/>
              <w:ind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 с учетом НДС, 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54" w:type="dxa"/>
          </w:tcPr>
          <w:p w14:paraId="1093215C">
            <w:pPr>
              <w:pBdr/>
              <w:spacing/>
              <w:ind/>
              <w:rPr/>
            </w:pPr>
            <w:r/>
            <w:r/>
          </w:p>
        </w:tc>
      </w:tr>
    </w:tbl>
    <w:p w14:paraId="74032FF5">
      <w:pPr>
        <w:pStyle w:val="885"/>
        <w:pBdr/>
        <w:spacing/>
        <w:ind w:firstLine="709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p w14:paraId="60636609">
      <w:pPr>
        <w:pStyle w:val="885"/>
        <w:pBdr/>
        <w:tabs>
          <w:tab w:val="left" w:leader="none" w:pos="0"/>
          <w:tab w:val="clear" w:leader="none" w:pos="708"/>
        </w:tabs>
        <w:spacing/>
        <w:ind/>
        <w:jc w:val="right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 w14:paraId="5242CC54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tbl>
      <w:tblPr>
        <w:tblInd w:w="108" w:type="dxa"/>
        <w:tblW w:w="0" w:type="auto"/>
        <w:tblBorders/>
        <w:tblLook w:val="01E0" w:firstRow="1" w:lastRow="1" w:firstColumn="1" w:lastColumn="1" w:noHBand="0" w:noVBand="0"/>
      </w:tblPr>
      <w:tblGrid>
        <w:gridCol w:w="5011"/>
        <w:gridCol w:w="5020"/>
      </w:tblGrid>
      <w:tr>
        <w:trPr/>
        <w:tc>
          <w:tcPr>
            <w:shd w:val="clear" w:color="ffffff" w:fill="ffffff"/>
            <w:tcBorders/>
            <w:tcW w:w="5086" w:type="dxa"/>
          </w:tcPr>
          <w:p w14:paraId="2DD57FDE">
            <w:pPr>
              <w:pBdr/>
              <w:spacing/>
              <w:ind w:firstLine="426"/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</w:r>
          </w:p>
          <w:p w14:paraId="2B615F0C">
            <w:pPr>
              <w:pBdr/>
              <w:spacing/>
              <w:ind w:firstLine="42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 w14:paraId="2F5E2953">
            <w:pPr>
              <w:pBdr/>
              <w:spacing/>
              <w:ind w:firstLine="42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none"/>
              </w:rPr>
              <w:t xml:space="preserve">________________________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 w14:paraId="1EB7E335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086" w:type="dxa"/>
          </w:tcPr>
          <w:p w14:paraId="0DEE3959">
            <w:pPr>
              <w:pBdr/>
              <w:spacing/>
              <w:ind w:firstLine="426"/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sz w:val="22"/>
                <w:szCs w:val="22"/>
              </w:rPr>
              <w:t xml:space="preserve">Исполнитель:</w:t>
            </w: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</w:r>
          </w:p>
          <w:p w14:paraId="4D7FB6FE">
            <w:pPr>
              <w:pBdr/>
              <w:spacing/>
              <w:ind w:firstLine="42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 w14:paraId="6797BA4E">
            <w:pPr>
              <w:pBdr/>
              <w:spacing/>
              <w:ind w:firstLine="42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none"/>
              </w:rPr>
              <w:t xml:space="preserve">______________________________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 w14:paraId="46B504D8">
            <w:pPr>
              <w:pBdr/>
              <w:tabs>
                <w:tab w:val="left" w:leader="none" w:pos="3686"/>
              </w:tabs>
              <w:spacing/>
              <w:ind w:firstLine="426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  <w:p w14:paraId="75ED03A9">
            <w:pPr>
              <w:pBdr/>
              <w:spacing/>
              <w:ind/>
              <w:rPr/>
            </w:pPr>
            <w:r/>
            <w:r/>
          </w:p>
        </w:tc>
      </w:tr>
    </w:tbl>
    <w:p w14:paraId="2AD9F633">
      <w:pPr>
        <w:pBdr/>
        <w:spacing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438BEB6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0005CEEC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4A3E07DC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193949A6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59E9F915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23E4EFC6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33772892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03FF1226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4ADF6AF4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4A4DF806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4CEAAB98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24FE2F44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56D80C7D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447D1F6C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725C1CC1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655F30A6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 w14:paraId="55A01885">
      <w:pPr>
        <w:pBdr/>
        <w:spacing/>
        <w:ind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Bdr/>
        <w:spacing/>
        <w:ind w:firstLine="426"/>
        <w:jc w:val="right"/>
        <w:outlineLvl w:val="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sectPr>
      <w:footnotePr/>
      <w:endnotePr/>
      <w:type w:val="nextPage"/>
      <w:pgSz w:h="16838" w:orient="portrait" w:w="11906"/>
      <w:pgMar w:top="709" w:right="849" w:bottom="709" w:left="1134" w:header="0" w:footer="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70205080204"/>
  </w:font>
  <w:font w:name="Tahoma">
    <w:panose1 w:val="020B0604030504040204"/>
  </w:font>
  <w:font w:name="Symbol">
    <w:panose1 w:val="05050102010706020507"/>
  </w:font>
  <w:font w:name="Wingdings">
    <w:panose1 w:val="05000000000000000000"/>
  </w:font>
  <w:font w:name="Segoe UI">
    <w:panose1 w:val="020B0502040204020203"/>
  </w:font>
  <w:font w:name="Courier New">
    <w:panose1 w:val="02070309020205020404"/>
  </w:font>
  <w:font w:name="Verdan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16F40"/>
    <w:lvl w:ilvl="0">
      <w:isLgl w:val="false"/>
      <w:lvlJc w:val="left"/>
      <w:lvlText w:val=""/>
      <w:numFmt w:val="bullet"/>
      <w:pPr>
        <w:pBdr/>
        <w:spacing/>
        <w:ind w:hanging="360" w:left="36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">
    <w:nsid w:val="28F16F40"/>
    <w:lvl w:ilvl="0">
      <w:isLgl w:val="false"/>
      <w:lvlJc w:val="left"/>
      <w:lvlText w:val=""/>
      <w:numFmt w:val="bullet"/>
      <w:pPr>
        <w:pBdr/>
        <w:spacing/>
        <w:ind w:hanging="360" w:left="36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5">
    <w:name w:val="Table Grid Light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1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2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1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2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3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5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6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0">
    <w:name w:val="Heading 1"/>
    <w:basedOn w:val="885"/>
    <w:next w:val="885"/>
    <w:link w:val="83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1">
    <w:name w:val="Heading 2"/>
    <w:basedOn w:val="885"/>
    <w:next w:val="885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2">
    <w:name w:val="Heading 3"/>
    <w:basedOn w:val="885"/>
    <w:next w:val="885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3">
    <w:name w:val="Heading 4"/>
    <w:basedOn w:val="885"/>
    <w:next w:val="885"/>
    <w:link w:val="84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4">
    <w:name w:val="Heading 5"/>
    <w:basedOn w:val="885"/>
    <w:next w:val="885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5">
    <w:name w:val="Heading 6"/>
    <w:basedOn w:val="885"/>
    <w:next w:val="885"/>
    <w:link w:val="84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6">
    <w:name w:val="Heading 7"/>
    <w:basedOn w:val="885"/>
    <w:next w:val="885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7">
    <w:name w:val="Heading 8"/>
    <w:basedOn w:val="885"/>
    <w:next w:val="885"/>
    <w:link w:val="8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8">
    <w:name w:val="Heading 9"/>
    <w:basedOn w:val="885"/>
    <w:next w:val="885"/>
    <w:link w:val="8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9">
    <w:name w:val="Heading 1 Char"/>
    <w:basedOn w:val="886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0">
    <w:name w:val="Heading 2 Char"/>
    <w:basedOn w:val="886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1">
    <w:name w:val="Heading 3 Char"/>
    <w:basedOn w:val="886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2">
    <w:name w:val="Heading 4 Char"/>
    <w:basedOn w:val="886"/>
    <w:link w:val="8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3">
    <w:name w:val="Heading 5 Char"/>
    <w:basedOn w:val="886"/>
    <w:link w:val="8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4">
    <w:name w:val="Heading 6 Char"/>
    <w:basedOn w:val="886"/>
    <w:link w:val="8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5">
    <w:name w:val="Heading 7 Char"/>
    <w:basedOn w:val="886"/>
    <w:link w:val="8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6">
    <w:name w:val="Heading 8 Char"/>
    <w:basedOn w:val="886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7">
    <w:name w:val="Heading 9 Char"/>
    <w:basedOn w:val="886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8">
    <w:name w:val="Title"/>
    <w:basedOn w:val="885"/>
    <w:next w:val="885"/>
    <w:link w:val="84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9">
    <w:name w:val="Title Char"/>
    <w:basedOn w:val="886"/>
    <w:link w:val="8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0">
    <w:name w:val="Subtitle"/>
    <w:basedOn w:val="885"/>
    <w:next w:val="885"/>
    <w:link w:val="85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1">
    <w:name w:val="Subtitle Char"/>
    <w:basedOn w:val="886"/>
    <w:link w:val="8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2">
    <w:name w:val="Quote"/>
    <w:basedOn w:val="885"/>
    <w:next w:val="885"/>
    <w:link w:val="8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3">
    <w:name w:val="Quote Char"/>
    <w:basedOn w:val="886"/>
    <w:link w:val="85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4">
    <w:name w:val="List Paragraph"/>
    <w:basedOn w:val="885"/>
    <w:uiPriority w:val="34"/>
    <w:qFormat/>
    <w:pPr>
      <w:pBdr/>
      <w:spacing/>
      <w:ind w:left="720"/>
      <w:contextualSpacing w:val="true"/>
    </w:pPr>
  </w:style>
  <w:style w:type="character" w:styleId="855">
    <w:name w:val="Intense Emphasis"/>
    <w:basedOn w:val="88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Intense Quote"/>
    <w:basedOn w:val="885"/>
    <w:next w:val="885"/>
    <w:link w:val="85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7">
    <w:name w:val="Intense Quote Char"/>
    <w:basedOn w:val="886"/>
    <w:link w:val="85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8">
    <w:name w:val="Intense Reference"/>
    <w:basedOn w:val="88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9">
    <w:name w:val="No Spacing"/>
    <w:basedOn w:val="885"/>
    <w:uiPriority w:val="1"/>
    <w:qFormat/>
    <w:pPr>
      <w:pBdr/>
      <w:spacing w:after="0" w:line="240" w:lineRule="auto"/>
      <w:ind/>
    </w:pPr>
  </w:style>
  <w:style w:type="character" w:styleId="860">
    <w:name w:val="Subtle Emphasis"/>
    <w:basedOn w:val="8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Emphasis"/>
    <w:basedOn w:val="886"/>
    <w:uiPriority w:val="20"/>
    <w:qFormat/>
    <w:pPr>
      <w:pBdr/>
      <w:spacing/>
      <w:ind/>
    </w:pPr>
    <w:rPr>
      <w:i/>
      <w:iCs/>
    </w:rPr>
  </w:style>
  <w:style w:type="character" w:styleId="862">
    <w:name w:val="Strong"/>
    <w:basedOn w:val="886"/>
    <w:uiPriority w:val="22"/>
    <w:qFormat/>
    <w:pPr>
      <w:pBdr/>
      <w:spacing/>
      <w:ind/>
    </w:pPr>
    <w:rPr>
      <w:b/>
      <w:bCs/>
    </w:rPr>
  </w:style>
  <w:style w:type="character" w:styleId="863">
    <w:name w:val="Subtle Reference"/>
    <w:basedOn w:val="8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4">
    <w:name w:val="Book Title"/>
    <w:basedOn w:val="88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65">
    <w:name w:val="Header Char"/>
    <w:basedOn w:val="886"/>
    <w:link w:val="904"/>
    <w:uiPriority w:val="99"/>
    <w:pPr>
      <w:pBdr/>
      <w:spacing/>
      <w:ind/>
    </w:pPr>
  </w:style>
  <w:style w:type="character" w:styleId="866">
    <w:name w:val="Footer Char"/>
    <w:basedOn w:val="886"/>
    <w:link w:val="906"/>
    <w:uiPriority w:val="99"/>
    <w:pPr>
      <w:pBdr/>
      <w:spacing/>
      <w:ind/>
    </w:pPr>
  </w:style>
  <w:style w:type="paragraph" w:styleId="867">
    <w:name w:val="Caption"/>
    <w:basedOn w:val="885"/>
    <w:next w:val="88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8">
    <w:name w:val="footnote text"/>
    <w:basedOn w:val="885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Footnote Text Char"/>
    <w:basedOn w:val="886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foot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character" w:styleId="871">
    <w:name w:val="Endnote Text Char"/>
    <w:basedOn w:val="886"/>
    <w:link w:val="89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FollowedHyperlink"/>
    <w:basedOn w:val="8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3">
    <w:name w:val="toc 1"/>
    <w:basedOn w:val="885"/>
    <w:next w:val="885"/>
    <w:uiPriority w:val="39"/>
    <w:unhideWhenUsed/>
    <w:pPr>
      <w:pBdr/>
      <w:spacing w:after="100"/>
      <w:ind/>
    </w:pPr>
  </w:style>
  <w:style w:type="paragraph" w:styleId="874">
    <w:name w:val="toc 2"/>
    <w:basedOn w:val="885"/>
    <w:next w:val="885"/>
    <w:uiPriority w:val="39"/>
    <w:unhideWhenUsed/>
    <w:pPr>
      <w:pBdr/>
      <w:spacing w:after="100"/>
      <w:ind w:left="220"/>
    </w:pPr>
  </w:style>
  <w:style w:type="paragraph" w:styleId="875">
    <w:name w:val="toc 3"/>
    <w:basedOn w:val="885"/>
    <w:next w:val="885"/>
    <w:uiPriority w:val="39"/>
    <w:unhideWhenUsed/>
    <w:pPr>
      <w:pBdr/>
      <w:spacing w:after="100"/>
      <w:ind w:left="440"/>
    </w:pPr>
  </w:style>
  <w:style w:type="paragraph" w:styleId="876">
    <w:name w:val="toc 4"/>
    <w:basedOn w:val="885"/>
    <w:next w:val="885"/>
    <w:uiPriority w:val="39"/>
    <w:unhideWhenUsed/>
    <w:pPr>
      <w:pBdr/>
      <w:spacing w:after="100"/>
      <w:ind w:left="660"/>
    </w:pPr>
  </w:style>
  <w:style w:type="paragraph" w:styleId="877">
    <w:name w:val="toc 5"/>
    <w:basedOn w:val="885"/>
    <w:next w:val="885"/>
    <w:uiPriority w:val="39"/>
    <w:unhideWhenUsed/>
    <w:pPr>
      <w:pBdr/>
      <w:spacing w:after="100"/>
      <w:ind w:left="880"/>
    </w:pPr>
  </w:style>
  <w:style w:type="paragraph" w:styleId="878">
    <w:name w:val="toc 6"/>
    <w:basedOn w:val="885"/>
    <w:next w:val="885"/>
    <w:uiPriority w:val="39"/>
    <w:unhideWhenUsed/>
    <w:pPr>
      <w:pBdr/>
      <w:spacing w:after="100"/>
      <w:ind w:left="1100"/>
    </w:pPr>
  </w:style>
  <w:style w:type="paragraph" w:styleId="879">
    <w:name w:val="toc 7"/>
    <w:basedOn w:val="885"/>
    <w:next w:val="885"/>
    <w:uiPriority w:val="39"/>
    <w:unhideWhenUsed/>
    <w:pPr>
      <w:pBdr/>
      <w:spacing w:after="100"/>
      <w:ind w:left="1320"/>
    </w:pPr>
  </w:style>
  <w:style w:type="paragraph" w:styleId="880">
    <w:name w:val="toc 8"/>
    <w:basedOn w:val="885"/>
    <w:next w:val="885"/>
    <w:uiPriority w:val="39"/>
    <w:unhideWhenUsed/>
    <w:pPr>
      <w:pBdr/>
      <w:spacing w:after="100"/>
      <w:ind w:left="1540"/>
    </w:pPr>
  </w:style>
  <w:style w:type="paragraph" w:styleId="881">
    <w:name w:val="toc 9"/>
    <w:basedOn w:val="885"/>
    <w:next w:val="885"/>
    <w:uiPriority w:val="39"/>
    <w:unhideWhenUsed/>
    <w:pPr>
      <w:pBdr/>
      <w:spacing w:after="100"/>
      <w:ind w:left="1760"/>
    </w:pPr>
  </w:style>
  <w:style w:type="character" w:styleId="882">
    <w:name w:val="Placeholder Text"/>
    <w:basedOn w:val="886"/>
    <w:uiPriority w:val="99"/>
    <w:semiHidden/>
    <w:pPr>
      <w:pBdr/>
      <w:spacing/>
      <w:ind/>
    </w:pPr>
    <w:rPr>
      <w:color w:val="666666"/>
    </w:rPr>
  </w:style>
  <w:style w:type="paragraph" w:styleId="883">
    <w:name w:val="TOC Heading"/>
    <w:uiPriority w:val="39"/>
    <w:unhideWhenUsed/>
    <w:pPr>
      <w:pBdr/>
      <w:spacing/>
      <w:ind/>
    </w:pPr>
  </w:style>
  <w:style w:type="paragraph" w:styleId="884">
    <w:name w:val="table of figures"/>
    <w:basedOn w:val="885"/>
    <w:next w:val="885"/>
    <w:uiPriority w:val="99"/>
    <w:unhideWhenUsed/>
    <w:pPr>
      <w:pBdr/>
      <w:spacing w:after="0" w:afterAutospacing="0"/>
      <w:ind/>
    </w:pPr>
  </w:style>
  <w:style w:type="paragraph" w:styleId="885" w:default="1">
    <w:name w:val="Normal"/>
    <w:qFormat/>
    <w:pPr>
      <w:pBdr/>
      <w:spacing/>
      <w:ind/>
    </w:pPr>
    <w:rPr>
      <w:sz w:val="24"/>
      <w:szCs w:val="24"/>
    </w:rPr>
  </w:style>
  <w:style w:type="character" w:styleId="886" w:default="1">
    <w:name w:val="Default Paragraph Font"/>
    <w:uiPriority w:val="1"/>
    <w:semiHidden/>
    <w:unhideWhenUsed/>
    <w:pPr>
      <w:pBdr/>
      <w:spacing/>
      <w:ind/>
    </w:pPr>
  </w:style>
  <w:style w:type="table" w:styleId="887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character" w:styleId="889" w:customStyle="1">
    <w:name w:val="Текст концевой сноски Знак"/>
    <w:link w:val="890"/>
    <w:semiHidden/>
    <w:pPr>
      <w:pBdr/>
      <w:spacing/>
      <w:ind/>
    </w:pPr>
    <w:rPr>
      <w:lang w:val="ru-RU" w:eastAsia="ru-RU" w:bidi="ar-SA"/>
    </w:rPr>
  </w:style>
  <w:style w:type="paragraph" w:styleId="890">
    <w:name w:val="endnote text"/>
    <w:basedOn w:val="885"/>
    <w:link w:val="889"/>
    <w:semiHidden/>
    <w:pPr>
      <w:pBdr/>
      <w:spacing/>
      <w:ind/>
    </w:pPr>
    <w:rPr>
      <w:sz w:val="20"/>
      <w:szCs w:val="20"/>
    </w:rPr>
  </w:style>
  <w:style w:type="character" w:styleId="891" w:customStyle="1">
    <w:name w:val="Название Знак"/>
    <w:link w:val="892"/>
    <w:pPr>
      <w:pBdr/>
      <w:spacing/>
      <w:ind/>
    </w:pPr>
    <w:rPr>
      <w:b/>
      <w:sz w:val="24"/>
      <w:szCs w:val="24"/>
      <w:lang w:val="ru-RU" w:eastAsia="ru-RU" w:bidi="ar-SA"/>
    </w:rPr>
  </w:style>
  <w:style w:type="paragraph" w:styleId="892" w:customStyle="1">
    <w:name w:val="Название1"/>
    <w:basedOn w:val="885"/>
    <w:link w:val="891"/>
    <w:qFormat/>
    <w:pPr>
      <w:pBdr/>
      <w:spacing/>
      <w:ind/>
      <w:jc w:val="center"/>
    </w:pPr>
    <w:rPr>
      <w:b/>
    </w:rPr>
  </w:style>
  <w:style w:type="paragraph" w:styleId="893" w:customStyle="1">
    <w:name w:val="Без интервала1"/>
    <w:pPr>
      <w:pBdr/>
      <w:spacing/>
      <w:ind/>
    </w:pPr>
    <w:rPr>
      <w:rFonts w:ascii="Calibri" w:hAnsi="Calibri"/>
      <w:sz w:val="22"/>
      <w:szCs w:val="22"/>
    </w:rPr>
  </w:style>
  <w:style w:type="character" w:styleId="894">
    <w:name w:val="endnote reference"/>
    <w:semiHidden/>
    <w:pPr>
      <w:pBdr/>
      <w:spacing/>
      <w:ind/>
    </w:pPr>
    <w:rPr>
      <w:rFonts w:hint="default" w:ascii="Times New Roman" w:hAnsi="Times New Roman" w:cs="Times New Roman"/>
      <w:vertAlign w:val="superscript"/>
    </w:rPr>
  </w:style>
  <w:style w:type="paragraph" w:styleId="895" w:customStyle="1">
    <w:name w:val="Знак Знак Знак"/>
    <w:basedOn w:val="885"/>
    <w:pPr>
      <w:pBdr/>
      <w:spacing w:after="160" w:line="240" w:lineRule="exact"/>
      <w:ind/>
    </w:pPr>
    <w:rPr>
      <w:rFonts w:ascii="Verdana" w:hAnsi="Verdana" w:cs="Verdana"/>
      <w:lang w:val="en-US" w:eastAsia="en-US"/>
    </w:rPr>
  </w:style>
  <w:style w:type="paragraph" w:styleId="896" w:customStyle="1">
    <w:name w:val="Heading"/>
    <w:uiPriority w:val="99"/>
    <w:pPr>
      <w:pBdr/>
      <w:spacing/>
      <w:ind/>
    </w:pPr>
    <w:rPr>
      <w:rFonts w:ascii="Arial" w:hAnsi="Arial" w:cs="Arial"/>
      <w:b/>
      <w:bCs/>
      <w:sz w:val="22"/>
      <w:szCs w:val="22"/>
    </w:rPr>
  </w:style>
  <w:style w:type="character" w:styleId="897">
    <w:name w:val="Hyperlink"/>
    <w:uiPriority w:val="99"/>
    <w:pPr>
      <w:pBdr/>
      <w:spacing/>
      <w:ind/>
    </w:pPr>
    <w:rPr>
      <w:rFonts w:cs="Times New Roman"/>
      <w:color w:val="0000ff"/>
      <w:u w:val="single"/>
    </w:rPr>
  </w:style>
  <w:style w:type="character" w:styleId="898" w:customStyle="1">
    <w:name w:val="Font Style14"/>
    <w:pPr>
      <w:pBdr/>
      <w:spacing/>
      <w:ind/>
    </w:pPr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899">
    <w:name w:val="Body Text"/>
    <w:basedOn w:val="885"/>
    <w:link w:val="900"/>
    <w:pPr>
      <w:pBdr/>
      <w:spacing/>
      <w:ind/>
      <w:jc w:val="both"/>
    </w:pPr>
  </w:style>
  <w:style w:type="character" w:styleId="900" w:customStyle="1">
    <w:name w:val="Основной текст Знак"/>
    <w:link w:val="899"/>
    <w:pPr>
      <w:pBdr/>
      <w:spacing/>
      <w:ind/>
    </w:pPr>
    <w:rPr>
      <w:sz w:val="24"/>
      <w:szCs w:val="24"/>
    </w:rPr>
  </w:style>
  <w:style w:type="paragraph" w:styleId="901">
    <w:name w:val="Plain Text"/>
    <w:basedOn w:val="885"/>
    <w:link w:val="902"/>
    <w:uiPriority w:val="99"/>
    <w:pPr>
      <w:pBdr/>
      <w:spacing/>
      <w:ind/>
    </w:pPr>
    <w:rPr>
      <w:rFonts w:ascii="Courier New" w:hAnsi="Courier New" w:cs="Courier New"/>
      <w:sz w:val="20"/>
      <w:szCs w:val="20"/>
    </w:rPr>
  </w:style>
  <w:style w:type="character" w:styleId="902" w:customStyle="1">
    <w:name w:val="Текст Знак"/>
    <w:link w:val="901"/>
    <w:uiPriority w:val="99"/>
    <w:pPr>
      <w:pBdr/>
      <w:spacing/>
      <w:ind/>
    </w:pPr>
    <w:rPr>
      <w:rFonts w:ascii="Courier New" w:hAnsi="Courier New" w:cs="Courier New"/>
    </w:rPr>
  </w:style>
  <w:style w:type="paragraph" w:styleId="903" w:customStyle="1">
    <w:name w:val="Style7"/>
    <w:basedOn w:val="885"/>
    <w:pPr>
      <w:widowControl w:val="false"/>
      <w:pBdr/>
      <w:spacing w:line="274" w:lineRule="exact"/>
      <w:ind w:firstLine="710"/>
    </w:pPr>
  </w:style>
  <w:style w:type="paragraph" w:styleId="904">
    <w:name w:val="Header"/>
    <w:basedOn w:val="885"/>
    <w:link w:val="905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5" w:customStyle="1">
    <w:name w:val="Верхний колонтитул Знак"/>
    <w:link w:val="904"/>
    <w:pPr>
      <w:pBdr/>
      <w:spacing/>
      <w:ind/>
    </w:pPr>
    <w:rPr>
      <w:sz w:val="24"/>
      <w:szCs w:val="24"/>
    </w:rPr>
  </w:style>
  <w:style w:type="paragraph" w:styleId="906">
    <w:name w:val="Footer"/>
    <w:basedOn w:val="885"/>
    <w:link w:val="907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7" w:customStyle="1">
    <w:name w:val="Нижний колонтитул Знак"/>
    <w:link w:val="906"/>
    <w:pPr>
      <w:pBdr/>
      <w:spacing/>
      <w:ind/>
    </w:pPr>
    <w:rPr>
      <w:sz w:val="24"/>
      <w:szCs w:val="24"/>
    </w:rPr>
  </w:style>
  <w:style w:type="paragraph" w:styleId="908">
    <w:name w:val="Balloon Text"/>
    <w:basedOn w:val="885"/>
    <w:link w:val="909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09" w:customStyle="1">
    <w:name w:val="Текст выноски Знак"/>
    <w:link w:val="908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10">
    <w:name w:val="Normal (Web)"/>
    <w:basedOn w:val="885"/>
    <w:uiPriority w:val="99"/>
    <w:unhideWhenUsed/>
    <w:pPr>
      <w:pBdr/>
      <w:spacing w:after="100" w:afterAutospacing="1" w:before="100" w:beforeAutospacing="1"/>
      <w:ind/>
    </w:pPr>
  </w:style>
  <w:style w:type="character" w:styleId="911" w:customStyle="1">
    <w:name w:val="js-phone-number"/>
    <w:pPr>
      <w:pBdr/>
      <w:spacing/>
      <w:ind/>
    </w:pPr>
  </w:style>
  <w:style w:type="table" w:styleId="912">
    <w:name w:val="Table Grid"/>
    <w:basedOn w:val="887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3" w:customStyle="1">
    <w:name w:val="apple-style-span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garantF1://10080094.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EC0BE4F6-A610-48EE-96A0-D171E0B51701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MKY ''CB MOY''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User113</dc:creator>
  <cp:revision>5</cp:revision>
  <dcterms:created xsi:type="dcterms:W3CDTF">2026-04-20T08:08:00Z</dcterms:created>
  <dcterms:modified xsi:type="dcterms:W3CDTF">2026-09-04T07:43:49Z</dcterms:modified>
</cp:coreProperties>
</file>