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9E7266">
      <w:pPr>
        <w:ind w:hanging="284"/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79608A" w:rsidRDefault="0079608A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79608A">
        <w:rPr>
          <w:b/>
          <w:bCs/>
          <w:sz w:val="22"/>
          <w:szCs w:val="22"/>
        </w:rPr>
        <w:t>Тележка для лодочного мотора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8737A3">
        <w:rPr>
          <w:b/>
          <w:bCs/>
          <w:color w:val="000000" w:themeColor="text1"/>
          <w:sz w:val="22"/>
          <w:szCs w:val="22"/>
        </w:rPr>
        <w:t>53</w:t>
      </w:r>
      <w:r w:rsidR="00FA0D9B">
        <w:rPr>
          <w:b/>
          <w:bCs/>
          <w:color w:val="000000" w:themeColor="text1"/>
          <w:sz w:val="22"/>
          <w:szCs w:val="22"/>
        </w:rPr>
        <w:t>224</w:t>
      </w:r>
      <w:r w:rsidR="003806F9">
        <w:rPr>
          <w:b/>
          <w:bCs/>
          <w:color w:val="000000" w:themeColor="text1"/>
          <w:sz w:val="22"/>
          <w:szCs w:val="22"/>
        </w:rPr>
        <w:t>3099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79608A">
        <w:rPr>
          <w:bCs/>
          <w:sz w:val="22"/>
          <w:szCs w:val="22"/>
        </w:rPr>
        <w:t xml:space="preserve"> </w:t>
      </w:r>
      <w:r w:rsidR="0079608A">
        <w:rPr>
          <w:b/>
          <w:bCs/>
          <w:sz w:val="22"/>
          <w:szCs w:val="22"/>
        </w:rPr>
        <w:t>т</w:t>
      </w:r>
      <w:r w:rsidR="00FA0D9B">
        <w:rPr>
          <w:b/>
          <w:bCs/>
          <w:sz w:val="22"/>
          <w:szCs w:val="22"/>
        </w:rPr>
        <w:t>ележку</w:t>
      </w:r>
      <w:r w:rsidR="0079608A" w:rsidRPr="0079608A">
        <w:rPr>
          <w:b/>
          <w:bCs/>
          <w:sz w:val="22"/>
          <w:szCs w:val="22"/>
        </w:rPr>
        <w:t xml:space="preserve"> для лодочного мотора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4058F">
        <w:rPr>
          <w:bCs/>
          <w:sz w:val="22"/>
          <w:szCs w:val="22"/>
        </w:rPr>
        <w:t>10</w:t>
      </w:r>
      <w:r w:rsidR="00572ABD">
        <w:rPr>
          <w:bCs/>
          <w:sz w:val="22"/>
          <w:szCs w:val="22"/>
        </w:rPr>
        <w:t xml:space="preserve"> (</w:t>
      </w:r>
      <w:r w:rsidR="00642B4D">
        <w:rPr>
          <w:bCs/>
          <w:sz w:val="22"/>
          <w:szCs w:val="22"/>
        </w:rPr>
        <w:t>десяти</w:t>
      </w:r>
      <w:r w:rsidR="00F63AC4">
        <w:rPr>
          <w:bCs/>
          <w:sz w:val="22"/>
          <w:szCs w:val="22"/>
        </w:rPr>
        <w:t xml:space="preserve">) </w:t>
      </w:r>
      <w:r w:rsidR="0079608A">
        <w:rPr>
          <w:bCs/>
          <w:sz w:val="22"/>
          <w:szCs w:val="22"/>
        </w:rPr>
        <w:t>календарных</w:t>
      </w:r>
      <w:r w:rsidR="000859BE">
        <w:rPr>
          <w:bCs/>
          <w:sz w:val="22"/>
          <w:szCs w:val="22"/>
        </w:rPr>
        <w:t xml:space="preserve"> дней </w:t>
      </w:r>
      <w:r w:rsidR="00642B4D">
        <w:rPr>
          <w:color w:val="000000"/>
          <w:sz w:val="22"/>
          <w:szCs w:val="22"/>
        </w:rPr>
        <w:t>после</w:t>
      </w:r>
      <w:r w:rsidR="006E7AFC" w:rsidRPr="006E7AFC">
        <w:rPr>
          <w:color w:val="000000"/>
          <w:sz w:val="22"/>
          <w:szCs w:val="22"/>
        </w:rPr>
        <w:t xml:space="preserve">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BD3287" w:rsidRPr="00BD3287">
        <w:rPr>
          <w:bCs/>
          <w:sz w:val="22"/>
          <w:szCs w:val="22"/>
        </w:rPr>
        <w:t>не менее 12 (двенадцати) месяцев с даты поставки товара.</w:t>
      </w:r>
      <w:bookmarkStart w:id="1" w:name="_GoBack"/>
      <w:bookmarkEnd w:id="1"/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642B4D" w:rsidRDefault="00642B4D" w:rsidP="00C9307C">
      <w:pPr>
        <w:jc w:val="center"/>
        <w:rPr>
          <w:b/>
          <w:bCs/>
          <w:sz w:val="22"/>
          <w:szCs w:val="22"/>
        </w:rPr>
      </w:pPr>
    </w:p>
    <w:tbl>
      <w:tblPr>
        <w:tblW w:w="529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901"/>
        <w:gridCol w:w="901"/>
        <w:gridCol w:w="2849"/>
        <w:gridCol w:w="2996"/>
      </w:tblGrid>
      <w:tr w:rsidR="00F40898" w:rsidRPr="0079608A" w:rsidTr="00D2324C">
        <w:trPr>
          <w:trHeight w:val="1293"/>
        </w:trPr>
        <w:tc>
          <w:tcPr>
            <w:tcW w:w="1460" w:type="pct"/>
            <w:vAlign w:val="center"/>
          </w:tcPr>
          <w:p w:rsidR="00F40898" w:rsidRPr="00F40898" w:rsidRDefault="00F40898" w:rsidP="0079608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9608A">
              <w:rPr>
                <w:b/>
              </w:rPr>
              <w:t>Предмет контракта</w:t>
            </w:r>
            <w:r w:rsidRPr="00F40898">
              <w:rPr>
                <w:b/>
              </w:rPr>
              <w:t>/</w:t>
            </w:r>
          </w:p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9608A">
              <w:rPr>
                <w:b/>
              </w:rPr>
              <w:t>Наименование характеристик товара</w:t>
            </w:r>
          </w:p>
        </w:tc>
        <w:tc>
          <w:tcPr>
            <w:tcW w:w="41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79608A">
              <w:rPr>
                <w:b/>
              </w:rPr>
              <w:t>Кол-во</w:t>
            </w:r>
          </w:p>
        </w:tc>
        <w:tc>
          <w:tcPr>
            <w:tcW w:w="41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79608A">
              <w:rPr>
                <w:b/>
              </w:rPr>
              <w:t>Ед. изм.</w:t>
            </w: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9608A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9608A">
              <w:rPr>
                <w:b/>
              </w:rPr>
              <w:t>Требования к значению показателя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 w:val="restart"/>
          </w:tcPr>
          <w:p w:rsidR="00F40898" w:rsidRPr="00D2324C" w:rsidRDefault="00F40898" w:rsidP="00D2324C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79608A">
              <w:rPr>
                <w:bCs/>
              </w:rPr>
              <w:t>Тележка для лодочного мотора</w:t>
            </w:r>
          </w:p>
        </w:tc>
        <w:tc>
          <w:tcPr>
            <w:tcW w:w="417" w:type="pct"/>
            <w:vMerge w:val="restart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2</w:t>
            </w:r>
          </w:p>
        </w:tc>
        <w:tc>
          <w:tcPr>
            <w:tcW w:w="417" w:type="pct"/>
            <w:vMerge w:val="restart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шт.</w:t>
            </w: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Грузоподъёмность, кг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Не менее 90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Материал каркаса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Алюминий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Вес, кг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Не более 11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Нижние колёса, тип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Пневматические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Верхние колёса, тип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Не пневматические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hanging="101"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Наличие багажника для топливной ёмкости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Да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hanging="101"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Диаметр нижних колёс, мм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Не менее 250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Наличие транцевой доски из ламинированной влагостойкой фанеры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  <w:r w:rsidRPr="0079608A">
              <w:t>Да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Совместимость с лодочным мотором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79608A">
              <w:rPr>
                <w:lang w:val="en-US"/>
              </w:rPr>
              <w:t>MERCURY 40</w:t>
            </w:r>
          </w:p>
        </w:tc>
      </w:tr>
      <w:tr w:rsidR="00F40898" w:rsidRPr="0079608A" w:rsidTr="00D2324C">
        <w:trPr>
          <w:trHeight w:val="649"/>
        </w:trPr>
        <w:tc>
          <w:tcPr>
            <w:tcW w:w="1460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417" w:type="pct"/>
            <w:vMerge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19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79608A">
              <w:rPr>
                <w:shd w:val="clear" w:color="auto" w:fill="FFFFFF"/>
              </w:rPr>
              <w:t>Страна происхождения</w:t>
            </w:r>
          </w:p>
        </w:tc>
        <w:tc>
          <w:tcPr>
            <w:tcW w:w="1387" w:type="pct"/>
            <w:vAlign w:val="center"/>
          </w:tcPr>
          <w:p w:rsidR="00F40898" w:rsidRPr="0079608A" w:rsidRDefault="00F40898" w:rsidP="0079608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642B4D" w:rsidRDefault="00642B4D" w:rsidP="009E7266">
      <w:pPr>
        <w:ind w:left="-284"/>
        <w:jc w:val="both"/>
        <w:rPr>
          <w:b/>
          <w:bCs/>
          <w:sz w:val="22"/>
          <w:szCs w:val="22"/>
        </w:rPr>
      </w:pPr>
    </w:p>
    <w:p w:rsidR="00BD3287" w:rsidRPr="00BD3287" w:rsidRDefault="00BD3287" w:rsidP="00BD3287">
      <w:pPr>
        <w:widowControl/>
        <w:autoSpaceDE/>
        <w:autoSpaceDN/>
        <w:adjustRightInd/>
        <w:ind w:hanging="567"/>
        <w:jc w:val="both"/>
      </w:pPr>
      <w:r w:rsidRPr="00BD3287">
        <w:rPr>
          <w:b/>
        </w:rPr>
        <w:t xml:space="preserve">Гарантийный срок: </w:t>
      </w:r>
      <w:r w:rsidRPr="00BD3287">
        <w:t>не менее 12 (двенадцати) месяцев с даты поставки товара.</w:t>
      </w:r>
    </w:p>
    <w:p w:rsidR="00642B4D" w:rsidRPr="00C9307C" w:rsidRDefault="00642B4D" w:rsidP="001844D0">
      <w:pPr>
        <w:rPr>
          <w:b/>
          <w:bCs/>
          <w:sz w:val="22"/>
          <w:szCs w:val="22"/>
        </w:rPr>
      </w:pPr>
    </w:p>
    <w:bookmarkEnd w:id="5"/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r w:rsidRPr="00AE0F5D">
        <w:rPr>
          <w:bCs/>
          <w:sz w:val="22"/>
          <w:szCs w:val="22"/>
        </w:rPr>
        <w:t xml:space="preserve">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79608A" w:rsidRDefault="0079608A" w:rsidP="000C2384">
      <w:pPr>
        <w:rPr>
          <w:bCs/>
          <w:sz w:val="22"/>
          <w:szCs w:val="22"/>
        </w:rPr>
      </w:pPr>
    </w:p>
    <w:p w:rsidR="008737A3" w:rsidRPr="00AE0F5D" w:rsidRDefault="008737A3" w:rsidP="000C2384">
      <w:pPr>
        <w:rPr>
          <w:bCs/>
          <w:sz w:val="22"/>
          <w:szCs w:val="22"/>
        </w:rPr>
        <w:sectPr w:rsidR="008737A3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B705E" w:rsidRDefault="00AB705E" w:rsidP="00D04996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1844D0" w:rsidRDefault="00F357EF" w:rsidP="001844D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1844D0" w:rsidRDefault="001844D0" w:rsidP="001844D0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-572" w:tblpY="9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997"/>
        <w:gridCol w:w="1843"/>
        <w:gridCol w:w="1984"/>
      </w:tblGrid>
      <w:tr w:rsidR="00F40898" w:rsidRPr="008737A3" w:rsidTr="00F40898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898" w:rsidRPr="00F40898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Предмет контракта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/</w:t>
            </w:r>
          </w:p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 за ед. изм.</w:t>
            </w:r>
          </w:p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НДС (руб.)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Всего </w:t>
            </w:r>
          </w:p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37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НДС (руб.)</w:t>
            </w:r>
          </w:p>
        </w:tc>
      </w:tr>
      <w:tr w:rsidR="00F40898" w:rsidRPr="008737A3" w:rsidTr="00F40898">
        <w:trPr>
          <w:trHeight w:val="418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40898">
              <w:rPr>
                <w:sz w:val="22"/>
                <w:szCs w:val="22"/>
              </w:rPr>
              <w:t>Тележка для лодочного мотора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37A3"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40898" w:rsidRPr="008737A3" w:rsidRDefault="00F40898" w:rsidP="00BB6A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B20C86" w:rsidRDefault="00B20C86" w:rsidP="006F1BFD">
      <w:pPr>
        <w:jc w:val="both"/>
        <w:rPr>
          <w:bCs/>
          <w:sz w:val="22"/>
          <w:szCs w:val="22"/>
        </w:rPr>
      </w:pPr>
    </w:p>
    <w:p w:rsidR="006F1BFD" w:rsidRPr="006F1BFD" w:rsidRDefault="00C9247F" w:rsidP="00BB6A4D">
      <w:pPr>
        <w:ind w:left="-567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BB6A4D">
      <w:pPr>
        <w:pStyle w:val="a9"/>
        <w:ind w:left="-567" w:firstLine="0"/>
        <w:rPr>
          <w:bCs/>
          <w:sz w:val="22"/>
          <w:szCs w:val="22"/>
        </w:rPr>
      </w:pPr>
    </w:p>
    <w:p w:rsidR="003A1257" w:rsidRPr="00AE0F5D" w:rsidRDefault="003A1257" w:rsidP="00BB6A4D">
      <w:pPr>
        <w:pStyle w:val="a9"/>
        <w:ind w:left="-567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BB6A4D">
      <w:pPr>
        <w:pStyle w:val="a9"/>
        <w:ind w:left="-567" w:firstLine="0"/>
        <w:rPr>
          <w:bCs/>
          <w:sz w:val="22"/>
          <w:szCs w:val="22"/>
        </w:rPr>
      </w:pPr>
    </w:p>
    <w:p w:rsidR="004832DA" w:rsidRPr="00AE0F5D" w:rsidRDefault="003A1257" w:rsidP="00BB6A4D">
      <w:pPr>
        <w:ind w:left="-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BB6A4D">
      <w:pPr>
        <w:ind w:left="-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BB6A4D">
      <w:pPr>
        <w:ind w:left="-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BB6A4D">
      <w:pPr>
        <w:tabs>
          <w:tab w:val="left" w:pos="8820"/>
          <w:tab w:val="left" w:pos="12060"/>
        </w:tabs>
        <w:ind w:left="-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F828B9" w:rsidRDefault="00F828B9" w:rsidP="006E7AFC">
      <w:pPr>
        <w:rPr>
          <w:bCs/>
          <w:sz w:val="22"/>
          <w:szCs w:val="22"/>
        </w:rPr>
      </w:pPr>
    </w:p>
    <w:p w:rsidR="00D04996" w:rsidRDefault="00D04996" w:rsidP="006E7AFC">
      <w:pPr>
        <w:rPr>
          <w:bCs/>
          <w:sz w:val="22"/>
          <w:szCs w:val="22"/>
        </w:rPr>
      </w:pPr>
    </w:p>
    <w:p w:rsidR="00F828B9" w:rsidRDefault="00F828B9" w:rsidP="006E7AFC">
      <w:pPr>
        <w:rPr>
          <w:bCs/>
          <w:sz w:val="22"/>
          <w:szCs w:val="22"/>
        </w:rPr>
      </w:pPr>
    </w:p>
    <w:p w:rsidR="00D2324C" w:rsidRDefault="00D2324C" w:rsidP="006E7AFC">
      <w:pPr>
        <w:rPr>
          <w:bCs/>
          <w:sz w:val="22"/>
          <w:szCs w:val="22"/>
        </w:rPr>
      </w:pPr>
    </w:p>
    <w:p w:rsidR="00D2324C" w:rsidRDefault="00D2324C" w:rsidP="006E7AFC">
      <w:pPr>
        <w:rPr>
          <w:bCs/>
          <w:sz w:val="22"/>
          <w:szCs w:val="22"/>
        </w:rPr>
      </w:pPr>
    </w:p>
    <w:p w:rsidR="00D2324C" w:rsidRDefault="00D2324C" w:rsidP="006E7AFC">
      <w:pPr>
        <w:rPr>
          <w:bCs/>
          <w:sz w:val="22"/>
          <w:szCs w:val="22"/>
        </w:rPr>
      </w:pPr>
    </w:p>
    <w:p w:rsidR="00D2324C" w:rsidRDefault="00D2324C" w:rsidP="006E7AFC">
      <w:pPr>
        <w:rPr>
          <w:bCs/>
          <w:sz w:val="22"/>
          <w:szCs w:val="22"/>
        </w:rPr>
      </w:pPr>
    </w:p>
    <w:p w:rsidR="002B1B7F" w:rsidRDefault="002B1B7F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A3" w:rsidRDefault="008737A3" w:rsidP="003A1257">
      <w:r>
        <w:separator/>
      </w:r>
    </w:p>
  </w:endnote>
  <w:endnote w:type="continuationSeparator" w:id="0">
    <w:p w:rsidR="008737A3" w:rsidRDefault="008737A3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A3" w:rsidRDefault="008737A3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BD3287">
      <w:rPr>
        <w:rFonts w:ascii="Liberation Serif" w:hAnsi="Liberation Serif"/>
        <w:noProof/>
      </w:rPr>
      <w:t>6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A3" w:rsidRDefault="008737A3" w:rsidP="003A1257">
      <w:r>
        <w:separator/>
      </w:r>
    </w:p>
  </w:footnote>
  <w:footnote w:type="continuationSeparator" w:id="0">
    <w:p w:rsidR="008737A3" w:rsidRDefault="008737A3" w:rsidP="003A1257">
      <w:r>
        <w:continuationSeparator/>
      </w:r>
    </w:p>
  </w:footnote>
  <w:footnote w:id="1">
    <w:p w:rsidR="008737A3" w:rsidRDefault="008737A3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8737A3" w:rsidRDefault="008737A3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8737A3" w:rsidRDefault="008737A3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3C124008"/>
    <w:multiLevelType w:val="hybridMultilevel"/>
    <w:tmpl w:val="E9E2436A"/>
    <w:lvl w:ilvl="0" w:tplc="C2583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8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6"/>
  </w:num>
  <w:num w:numId="5">
    <w:abstractNumId w:val="26"/>
  </w:num>
  <w:num w:numId="6">
    <w:abstractNumId w:val="1"/>
  </w:num>
  <w:num w:numId="7">
    <w:abstractNumId w:val="37"/>
  </w:num>
  <w:num w:numId="8">
    <w:abstractNumId w:val="40"/>
  </w:num>
  <w:num w:numId="9">
    <w:abstractNumId w:val="24"/>
  </w:num>
  <w:num w:numId="10">
    <w:abstractNumId w:val="25"/>
  </w:num>
  <w:num w:numId="11">
    <w:abstractNumId w:val="18"/>
  </w:num>
  <w:num w:numId="12">
    <w:abstractNumId w:val="34"/>
  </w:num>
  <w:num w:numId="13">
    <w:abstractNumId w:val="39"/>
  </w:num>
  <w:num w:numId="14">
    <w:abstractNumId w:val="15"/>
  </w:num>
  <w:num w:numId="15">
    <w:abstractNumId w:val="3"/>
  </w:num>
  <w:num w:numId="16">
    <w:abstractNumId w:val="35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</w:num>
  <w:num w:numId="21">
    <w:abstractNumId w:val="23"/>
  </w:num>
  <w:num w:numId="22">
    <w:abstractNumId w:val="31"/>
  </w:num>
  <w:num w:numId="23">
    <w:abstractNumId w:val="12"/>
  </w:num>
  <w:num w:numId="24">
    <w:abstractNumId w:val="16"/>
  </w:num>
  <w:num w:numId="25">
    <w:abstractNumId w:val="36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8"/>
  </w:num>
  <w:num w:numId="32">
    <w:abstractNumId w:val="21"/>
  </w:num>
  <w:num w:numId="33">
    <w:abstractNumId w:val="14"/>
  </w:num>
  <w:num w:numId="34">
    <w:abstractNumId w:val="33"/>
  </w:num>
  <w:num w:numId="35">
    <w:abstractNumId w:val="29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3"/>
  </w:num>
  <w:num w:numId="40">
    <w:abstractNumId w:val="41"/>
  </w:num>
  <w:num w:numId="41">
    <w:abstractNumId w:val="38"/>
  </w:num>
  <w:num w:numId="42">
    <w:abstractNumId w:val="7"/>
  </w:num>
  <w:num w:numId="43">
    <w:abstractNumId w:val="42"/>
  </w:num>
  <w:num w:numId="44">
    <w:abstractNumId w:val="30"/>
  </w:num>
  <w:num w:numId="45">
    <w:abstractNumId w:val="1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44D0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B1B7F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56318"/>
    <w:rsid w:val="003602A4"/>
    <w:rsid w:val="00372F1B"/>
    <w:rsid w:val="00373941"/>
    <w:rsid w:val="00374E9C"/>
    <w:rsid w:val="0037703E"/>
    <w:rsid w:val="003806F9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154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2B4D"/>
    <w:rsid w:val="00643831"/>
    <w:rsid w:val="00647F13"/>
    <w:rsid w:val="006528AA"/>
    <w:rsid w:val="0065558A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9608A"/>
    <w:rsid w:val="007A0AB0"/>
    <w:rsid w:val="007A200B"/>
    <w:rsid w:val="007A6C5A"/>
    <w:rsid w:val="007C0AD5"/>
    <w:rsid w:val="007D1CC0"/>
    <w:rsid w:val="007D3D74"/>
    <w:rsid w:val="007E1D07"/>
    <w:rsid w:val="007F37BC"/>
    <w:rsid w:val="007F68C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737A3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A684D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266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0C86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B6A4D"/>
    <w:rsid w:val="00BC4E4F"/>
    <w:rsid w:val="00BC553F"/>
    <w:rsid w:val="00BC7843"/>
    <w:rsid w:val="00BD3287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04996"/>
    <w:rsid w:val="00D22CAC"/>
    <w:rsid w:val="00D2324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2E1F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0898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28B9"/>
    <w:rsid w:val="00F84E4F"/>
    <w:rsid w:val="00F953B3"/>
    <w:rsid w:val="00F95818"/>
    <w:rsid w:val="00FA0D9B"/>
    <w:rsid w:val="00FA58C7"/>
    <w:rsid w:val="00FB004A"/>
    <w:rsid w:val="00FB6438"/>
    <w:rsid w:val="00FB7DB4"/>
    <w:rsid w:val="00FC68C7"/>
    <w:rsid w:val="00FD31D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146A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86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8727-F2A1-4F27-A8E9-29E42BFA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15</Pages>
  <Words>7049</Words>
  <Characters>40182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193</cp:revision>
  <cp:lastPrinted>2018-10-24T12:25:00Z</cp:lastPrinted>
  <dcterms:created xsi:type="dcterms:W3CDTF">2024-03-06T07:03:00Z</dcterms:created>
  <dcterms:modified xsi:type="dcterms:W3CDTF">2026-06-16T06:14:00Z</dcterms:modified>
</cp:coreProperties>
</file>