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tabs>
          <w:tab w:val="left" w:pos="284" w:leader="none"/>
        </w:tabs>
        <w:spacing w:after="0" w:line="240" w:lineRule="auto"/>
        <w:ind w:left="7087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Приложение к контракту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№ </w:t>
      </w:r>
    </w:p>
    <w:p>
      <w:pPr>
        <w:pStyle w:val="697"/>
        <w:tabs>
          <w:tab w:val="left" w:pos="284" w:leader="none"/>
        </w:tabs>
        <w:spacing w:after="0" w:line="240" w:lineRule="auto"/>
        <w:ind w:left="7087"/>
      </w:pPr>
    </w:p>
    <w:p>
      <w:pPr>
        <w:pStyle w:val="697"/>
        <w:tabs>
          <w:tab w:val="left" w:pos="284" w:leader="none"/>
        </w:tabs>
        <w:spacing w:after="0" w:line="240" w:lineRule="auto"/>
        <w:ind w:left="7087"/>
      </w:pPr>
    </w:p>
    <w:p>
      <w:pPr>
        <w:pStyle w:val="697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off"/>
        <w:tabs>
          <w:tab w:val="left" w:pos="16869" w:leader="none"/>
        </w:tabs>
        <w:spacing w:before="120"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Общие положения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97"/>
        <w:tabs>
          <w:tab w:val="left" w:pos="284" w:leader="none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Объект закупки – оказание услуг по поверке теплосчетчика – «МКТС» (далее-Услуга).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r>
    </w:p>
    <w:p>
      <w:pPr>
        <w:pStyle w:val="697"/>
        <w:tabs>
          <w:tab w:val="left" w:pos="284" w:leader="none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оказание Услуги – г. Москва, ул. Малая Бронная, д. 18, стр.1. (далее – Объект)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97"/>
        <w:tabs>
          <w:tab w:val="left" w:pos="284" w:leader="none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Срок оказания Услуги – в течение 25 (Двадцати пяти) календарных дней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даты подписания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контракта.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697"/>
        <w:tabs>
          <w:tab w:val="left" w:pos="284" w:leader="none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1.4. Наименование, характеристики и количество Услуг: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7222"/>
        <w:gridCol w:w="1263"/>
        <w:gridCol w:w="877"/>
      </w:tblGrid>
      <w:tr>
        <w:trPr>
          <w:trHeight w:val="1017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Демонтаж приборов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тепловычислителя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Демонтаж приборов (расходомеров) д. 50 мм.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Демонтаж приборов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термосопротивлений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Отсоединение приборов от системы электроснабжения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концов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0,24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Изготовление и монтаж временных вставок вместо расходомеров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Доставка всего оборудования до места поверки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Компл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Поверка приборов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тепловычислителя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расходомеров,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термосопротивлений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Компл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Доставка всего оборудования до места монтажа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Компл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  <w:vAlign w:val="center"/>
          </w:tcPr>
          <w:p>
            <w:pPr>
              <w:pStyle w:val="6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временных вставок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Монтаж электромагнитных расходомеров, д. 50 мм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Установка теплосчетчика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Установка датчиков температуры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Присоединение приборов к системе электроснабжения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концов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0,24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tcW w:w="55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22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Выдача бумажного свидетельства </w:t>
            </w:r>
            <w:bookmarkStart w:id="0" w:name="_GoBack"/>
            <w:bookmarkEnd w:id="0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поверке (извещения о непригодности)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87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Требования к оказанию Услуг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tLeast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2.1. Исполнитель обязан соответствовать требованиям законодательства Российской Федерации, предъявляемым к лицам, осуществляющим виды услуг, предусмотренные настоящим техническим заданием, в случае если такие требования установлены законодательством Россий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Исполнитель гарантирует качество и безопасность оказываемых Услуг в соответствии с действующими стандартами Российской Федерации.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2.3.</w:t>
      </w:r>
      <w:r>
        <w:rPr>
          <w:rFonts w:ascii="Times New Roman" w:hAnsi="Times New Roman" w:cs="Times New Roman"/>
          <w:sz w:val="24"/>
          <w:szCs w:val="24"/>
        </w:rPr>
        <w:t xml:space="preserve"> Сотрудники Исполнителя, привлекаемые к оказанию Услуг должны строго соблюдать требования инструкции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пропускном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внутриобъектовом</w:t>
      </w:r>
      <w:r>
        <w:rPr>
          <w:rFonts w:ascii="Times New Roman" w:hAnsi="Times New Roman" w:cs="Times New Roman"/>
          <w:sz w:val="24"/>
          <w:szCs w:val="24"/>
        </w:rPr>
        <w:t xml:space="preserve"> режимах Заказчика, правил по охране труда, техники безопасности и противопожарной безопасности. Сотрудники исполнителя должны обеспечиваться специальной одеждой, специальной обувью и средствами индивидуальной защиты.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2.4. И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сполнитель несет ответственность за все действия своего персонала, в том числе и за соблюдение персоналом законодательства Российской Федерации, а также за соблюдение правил техники безопасности и пожарной безопасности в соответствии с действующим законода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тельством. При оказании услуг должны использоваться оборудование, машины и механизмы, предназначенные для конкретных условий и допущенные к применению органами государственного надзора.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2.5. Система горячего водоснабжения должна оставаться работоспособной на весь период оказания Услуг.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widowControl w:val="off"/>
        <w:tabs>
          <w:tab w:val="left" w:pos="16869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2.6.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оказываемых  услуг: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2.6.1. Исполнитель своими силами производит демонтаж и монтаж приборов, их транспортировку к месту поверки и обратно.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2.6</w:t>
      </w:r>
      <w:r>
        <w:rPr>
          <w:rFonts w:ascii="Times New Roman" w:hAnsi="Times New Roman" w:eastAsia="Calibri" w:cs="Times New Roman"/>
          <w:sz w:val="24"/>
          <w:szCs w:val="24"/>
        </w:rPr>
        <w:t xml:space="preserve">.2. На период прохождения поверки, на место снятых приборов Исполнитель обязан установить монтажные катушки (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проставки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из собственных средств,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tabs>
          <w:tab w:val="left" w:pos="1276" w:leader="none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2.6.3. После оказания Услуг в случае признания средств измерения: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tabs>
          <w:tab w:val="left" w:pos="1276" w:leader="none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2.6.3.1.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ригодными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для последующей эксплуатации Исполнитель предъявляет свидетельство о поверке представителям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энергоснабжающей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организацией с составлением соответствующих документов по вводу объекта в эксплуатацию;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pStyle w:val="697"/>
        <w:tabs>
          <w:tab w:val="left" w:pos="284" w:leader="none"/>
        </w:tabs>
        <w:spacing w:after="0" w:line="240" w:lineRule="auto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2.6.3.2.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Непригодными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для последующей эксплуатации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выдается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извещение о непригодности средств измерений.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2.6.4. Организация, проводящая поверку, должна быть акк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редитована на право поверки средств измерений в соответствии с действующим законодательством; поверяемые средства измерений должны входить в область аккредитации данной организации.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2.6.5. Одновременно с передачей результатов оказанных услуг передать Заказ</w:t>
      </w:r>
      <w:r>
        <w:rPr>
          <w:rFonts w:ascii="Times New Roman" w:hAnsi="Times New Roman" w:eastAsia="Calibri" w:cs="Times New Roman"/>
          <w:sz w:val="24"/>
          <w:szCs w:val="24"/>
        </w:rPr>
        <w:t xml:space="preserve">чику всю информацию, касающуюся результатов услуг, а также все необходимые и относящиеся к результатам оказания Услуг документы.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2.6.6. В процессе оказания Услуг по мере необходимости, производить уборку мест оказания Услуг от мусора с последующим его выво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зом к месту утилизации.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2.6.7. Исполнитель должен обеспечить соблюдение правил привлечения и использования иностранных рабочих, установленных законодательством Российской Федерации и нормативными правовыми актами города Москвы.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Заказчик не гарантирует допу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ск на Объект лиц, привлекаемых Исполнителем для оказания услуг, и являющихся гражданами иностранных государств.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697"/>
        <w:tabs>
          <w:tab w:val="left" w:pos="284" w:leader="none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2.6.8. Персонал Исполнителя (собственный и/или привлеченный) должен иметь квалификацию, удостоверения и допуски к работам (при необходимости), 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оответствующие виду оказываемых услуг, согласно требованиям нормативно-технических документов и нормативных правовых актов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2.6.9. Результатом поверки является признание средств измерений пригодными или непригодными к применению.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Признание средств измерений непригодным к применению по результатам поверки не является причиной для отказа оплаты выполненных Работ/оказанных Услуг по поверке.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2.6.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10. Гарантийные обязательства предоставляются на все виды оказываемых Услуг в течение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hi-IN" w:bidi="hi-IN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hi-IN" w:bidi="hi-IN"/>
        </w:rPr>
        <w:t xml:space="preserve"> (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hi-IN" w:bidi="hi-IN"/>
        </w:rPr>
        <w:t xml:space="preserve">одного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hi-IN" w:bidi="hi-IN"/>
        </w:rPr>
        <w:t xml:space="preserve">) месяц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hi-IN" w:bidi="hi-IN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документов о приемке (Акта сдачи-приемки оказанных услуг). Если в период гарантийного срока, обнаружатся дефекты (недостатки) услуг,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ефекты (недостатки) изделий, делающие невозможным его нормальную эксплуатацию, Исполнитель обязан устранить дефекты (недостатки) услуг и изделий за свой счет в согласованные с Заказчиком сроки.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tabs>
          <w:tab w:val="left" w:pos="476" w:leader="none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2.7. Технические требования к материалам, используемым для ок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азания услуг.</w:t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2.7.1. Услуги оказываются из материалов Исполнителя, его силами и средствами. Материалы необходимые для оказания услуги технические средства, инструменты, оборудование, машины и механизмы, доставляются к месту оказания услуг Исполнителем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своими силами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его счет.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keepNext/>
        <w:tabs>
          <w:tab w:val="left" w:pos="142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.2.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 материалы, используемые Исполнителем для оказания услуг должны соответствовать стандартам Российской Федерации,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установленным ГОСТу, ТУ, санитарным нормам и техническим регламентам, утвержденными на территории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материалы и изделия, применяемые для оказания услуг, должны иметь действующие сертификаты соответствия, сертификаты качества, сертификаты пожарной безопасности, технические паспорта, протоколы испытаний и разрешены для использован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на территории РФ,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безопасными для здоровья человека и окружающей среды,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которые Исполнитель обязан предоставить Заказчику по окончании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2.7.3.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Все материалы должны быть новыми, не восстановленными, в технически исправном состоянии, приго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дными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использования по прямому назначению,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безопасными для здоровья человека и окружающей среды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не иметь повреждений (не прошедшие ремонт (в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т.ч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восстановление, замену составных частей), ранее не находившимися в использовании 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Исполнителя и (или) 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третьих лиц), все штатное оборудование должно быть в рабочем состоянии, не должно находиться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залоге, под арестом или под иным обременением.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2.7</w:t>
      </w:r>
      <w:r>
        <w:rPr>
          <w:rFonts w:ascii="Times New Roman" w:hAnsi="Times New Roman" w:cs="Times New Roman"/>
          <w:sz w:val="24"/>
          <w:szCs w:val="24"/>
        </w:rPr>
        <w:t xml:space="preserve">.4. В случае если в ходе приемки или эксплуатации Заказчиком будет выявлено, что материалы, не соответствуют вы</w:t>
      </w:r>
      <w:r>
        <w:rPr>
          <w:rFonts w:ascii="Times New Roman" w:hAnsi="Times New Roman" w:cs="Times New Roman"/>
          <w:sz w:val="24"/>
          <w:szCs w:val="24"/>
        </w:rPr>
        <w:t xml:space="preserve">шеуказанным требованиям (непригодные), Исполнитель за свой счет и своими силами производит замену непригодных материалов на материалы, соответствующие требованиям Заказчика, установленным настоящим техническим заданием.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highlight w:val="none"/>
        </w:rPr>
      </w:pP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Права и обязанности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.1. Исполнитель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Требовать своевременного подписания Заказчиком акта сдачи-приемки услуг (приложение № 1 к настоящему Техническому заданию) на основании представленных Исполнителем документов, предусмотренных пунктом 5.2 настоящего Техническо</w:t>
      </w:r>
      <w:r>
        <w:rPr>
          <w:rFonts w:ascii="Times New Roman" w:hAnsi="Times New Roman" w:cs="Times New Roman"/>
          <w:sz w:val="24"/>
          <w:szCs w:val="24"/>
        </w:rPr>
        <w:t xml:space="preserve">го задания.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Требовать своевременной оплаты оказанных Услуг в соответствии с условиями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Требовать уплаты неустоек (штрафов, пеней) в случае неисполнения или ненадлежащего исполнения (в том числе просрочки исполнения) Заказчиком обяза</w:t>
      </w:r>
      <w:r>
        <w:rPr>
          <w:rFonts w:ascii="Times New Roman" w:hAnsi="Times New Roman" w:cs="Times New Roman"/>
          <w:sz w:val="24"/>
          <w:szCs w:val="24"/>
        </w:rPr>
        <w:t xml:space="preserve">тельств, предусмотренных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Досрочно исполнить обязательства, установленные Контрактом с согласия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Исполнитель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Оказать Услуги в полном объеме в порядке, установленном Контрактом и настоящим Техническим заданием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За свой счет, не нарушая сроков оказания Услуг, устранять допущенные по своей вине несоответствия Услуг условиям Контракта и настоящего Технического задания.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Приостановить исполнение Контракта, письменно поставив об этом в известность Заказ</w:t>
      </w:r>
      <w:r>
        <w:rPr>
          <w:rFonts w:ascii="Times New Roman" w:hAnsi="Times New Roman" w:cs="Times New Roman"/>
          <w:sz w:val="24"/>
          <w:szCs w:val="24"/>
        </w:rPr>
        <w:t xml:space="preserve">чика за 5 (пять) дней до приостановления оказания Услуг в случае, если в процессе оказания Услуг выясняется неизбежность получения отрицательного результата, несоответствующего условиям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Гарантировать Заказчику оказание качественных Услуг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всех требований законодательства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В случае изменения банковских или иных реквизитов в течение 3 (трех) рабочих дней письменно известить Заказчика, в противном случае все риски, связанные с перечислением Заказчиком </w:t>
      </w:r>
      <w:r>
        <w:rPr>
          <w:rFonts w:ascii="Times New Roman" w:hAnsi="Times New Roman" w:cs="Times New Roman"/>
          <w:sz w:val="24"/>
          <w:szCs w:val="24"/>
        </w:rPr>
        <w:t xml:space="preserve">денежных средств на указанный в Контракте расчетный счет, несет Исполнитель.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Заказчик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.3.1. 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Требовать от Исполнителя представления надлежащим образом оформленных документов,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дусмотренных Техническим заданием и подтверждающих исполнение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Запрашивать у Исполнителя информацию о ходе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Отказаться от приемки Услуг в случаях, предусмотренных 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м Российской Федерации и Контрактом, в том числе в случае обнаружения неустранимых недостатков.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По соглашению с Исполнителем изменить существенные условия Контракта в случаях, установленных законодательством Российской Федерации и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</w:t>
      </w:r>
      <w:r>
        <w:rPr>
          <w:rFonts w:ascii="Times New Roman" w:hAnsi="Times New Roman" w:cs="Times New Roman"/>
          <w:sz w:val="24"/>
          <w:szCs w:val="24"/>
        </w:rPr>
        <w:t xml:space="preserve"> Осуществить оплату по Контракту только после уплаты Исполнителем неустойки (штрафа, пени), рассчитанной в порядке, предусмотренном частью 7 настоящего Технического задания.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3.3.7. Осуществить выплату Исполнителю суммы, уменьшенной на сумму неустойки (штра</w:t>
      </w:r>
      <w:r>
        <w:rPr>
          <w:rFonts w:ascii="Times New Roman" w:hAnsi="Times New Roman" w:cs="Times New Roman"/>
          <w:sz w:val="24"/>
          <w:szCs w:val="24"/>
        </w:rPr>
        <w:t xml:space="preserve">фа, пени), рассчитанной в порядке, предусмотренном частью 7 настоящего Технического задания.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3.3.8. 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Заказчик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Принять и оплатить оказанные Ус</w:t>
      </w:r>
      <w:r>
        <w:rPr>
          <w:rFonts w:ascii="Times New Roman" w:hAnsi="Times New Roman" w:cs="Times New Roman"/>
          <w:sz w:val="24"/>
          <w:szCs w:val="24"/>
        </w:rPr>
        <w:t xml:space="preserve">луги в соответствии с условиями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порядком оказания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Требовать уплаты неустоек (штрафов, пеней) в случае неисполнения или ненадлежащего исполнения (в том числе просрочки исполнения) Исполнителем обязате</w:t>
      </w:r>
      <w:r>
        <w:rPr>
          <w:rFonts w:ascii="Times New Roman" w:hAnsi="Times New Roman" w:cs="Times New Roman"/>
          <w:sz w:val="24"/>
          <w:szCs w:val="24"/>
        </w:rPr>
        <w:t xml:space="preserve">льств, предусмотренных Контрактом и настоящим Техническим заданием.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Стороны обязуются не уступать (не передавать) и не обременять каким-либо образом свои права и (или) обязанности по Контракту без предварительного письменного согласия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Порядок расчетов.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Цена Контракта является твердой и определяется на весь срок его исполнения.</w:t>
      </w:r>
      <w:r>
        <w:rPr>
          <w:rFonts w:ascii="Times New Roman" w:hAnsi="Times New Roman" w:cs="Times New Roman"/>
          <w:sz w:val="24"/>
          <w:szCs w:val="24"/>
        </w:rPr>
        <w:t xml:space="preserve"> Изменение цены Контракта в процессе его исполнения не допускается, за исключением следующих случаев, предусмотренных частью 1 статьи 95 Федерального закона от 05.04.2013 № 44-ФЗ.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Оплата по настоящему Контракту производится Заказчиком  по факту оказан</w:t>
      </w:r>
      <w:r>
        <w:rPr>
          <w:rFonts w:ascii="Times New Roman" w:hAnsi="Times New Roman" w:cs="Times New Roman"/>
          <w:sz w:val="24"/>
          <w:szCs w:val="24"/>
        </w:rPr>
        <w:t xml:space="preserve">ия Услуг путем перечисления денежных средств на расчетный счет Исполнителя.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Оплата Услуг, производится Заказчиком по факту оказания Услуг не позднее 10 (десяти)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Заказчиком акта сдачи-приемки услуг (приложение № 1 к наст</w:t>
      </w:r>
      <w:r>
        <w:rPr>
          <w:rFonts w:ascii="Times New Roman" w:hAnsi="Times New Roman" w:cs="Times New Roman"/>
          <w:sz w:val="24"/>
          <w:szCs w:val="24"/>
        </w:rPr>
        <w:t xml:space="preserve">оящему Техническому заданию). Датой оплаты Услуг считается дата списания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Оплата по Контракту осуществляется за счет и в пределах средств федерального бюджета, выделенных Заказчику в 2026 году.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Цена Кон</w:t>
      </w:r>
      <w:r>
        <w:rPr>
          <w:rFonts w:ascii="Times New Roman" w:hAnsi="Times New Roman" w:cs="Times New Roman"/>
          <w:sz w:val="24"/>
          <w:szCs w:val="24"/>
        </w:rPr>
        <w:t xml:space="preserve">тракта формируется с учетом всех расходов Исполнителя, связанных с оказанием Услуг, а также налогов, сборов и других обязательных платежей в соответствии с законодательством Российской Федерации и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3795" w:leader="none"/>
          <w:tab w:val="center" w:pos="5315" w:leader="none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3795" w:leader="none"/>
          <w:tab w:val="center" w:pos="5315" w:leader="none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Порядок оказания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3795" w:leader="none"/>
          <w:tab w:val="center" w:pos="5315" w:leader="none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.1. Порядок оказания Услуг по Контракту определяется настоящим Техническим заданием.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Исполнитель не позднее 5 (пяти)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окончания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с сопроводительным письмом передает Заказчику подписанные со своей стороны и заверенные п</w:t>
      </w:r>
      <w:r>
        <w:rPr>
          <w:rFonts w:ascii="Times New Roman" w:hAnsi="Times New Roman" w:cs="Times New Roman"/>
          <w:sz w:val="24"/>
          <w:szCs w:val="24"/>
        </w:rPr>
        <w:t xml:space="preserve">ечатью (при наличии) следующие документы: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 сдачи-приемки услуг (приложение № 1 к настоящему Техническому заданию) в 2 (двух) экземплярах;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счет в 1 (одном) экземпляре;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счет-фактуру в 1 (одном) экземпляре (в случае, если Исполнитель является плательщиком НДС);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иные документы, подтверждающие качество оказанных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Передаваемые документы должны соответствовать Контракту и настоящему Техническому заданию.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Услуги </w:t>
      </w:r>
      <w:r>
        <w:rPr>
          <w:rFonts w:ascii="Times New Roman" w:hAnsi="Times New Roman" w:cs="Times New Roman"/>
          <w:sz w:val="24"/>
          <w:szCs w:val="24"/>
        </w:rPr>
        <w:t xml:space="preserve">считаются оказанными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Заказчиком документов, указанных в пунктах 5.2.; 2.6.9, Технического задания, но не ранее фактического окончания оказания Услуг Заказчику.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Порядок приемки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В случае если Исполнитель некорректно оформил </w:t>
      </w:r>
      <w:r>
        <w:rPr>
          <w:rFonts w:ascii="Times New Roman" w:hAnsi="Times New Roman" w:cs="Times New Roman"/>
          <w:sz w:val="24"/>
          <w:szCs w:val="24"/>
        </w:rPr>
        <w:t xml:space="preserve">счет, счет-фактуру (при наличии) или акт сдачи-приемки услуг (приложение № 1 к настоящему Техническому заданию) в предоставляемом комплекте документов, Заказчик вправе приостановить приемку Услуг до устранения Исполнителем замечаний к оформлению указанных </w:t>
      </w:r>
      <w:r>
        <w:rPr>
          <w:rFonts w:ascii="Times New Roman" w:hAnsi="Times New Roman" w:cs="Times New Roman"/>
          <w:sz w:val="24"/>
          <w:szCs w:val="24"/>
        </w:rPr>
        <w:t xml:space="preserve">документов.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целях приемки оказанных Услуг по решению Заказчика может создаваться приемочная комиссия.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При приемке оказанных Услуг для проверки предоставленных Исполнителем результатов, предусмотренных Контрактом, в части их соответствия условия</w:t>
      </w:r>
      <w:r>
        <w:rPr>
          <w:rFonts w:ascii="Times New Roman" w:hAnsi="Times New Roman" w:cs="Times New Roman"/>
          <w:sz w:val="24"/>
          <w:szCs w:val="24"/>
        </w:rPr>
        <w:t xml:space="preserve">м Контракта и настоящего Технического задания, Заказчик проводит экспертизу.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Экспертиза результатов, предусмотренных Контрактом, может проводиться Заказчиком своими силами и (или) к ее проведению могут привлекаться эксперты, экспертные организации.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</w:t>
      </w:r>
      <w:r>
        <w:rPr>
          <w:rFonts w:ascii="Times New Roman" w:hAnsi="Times New Roman" w:cs="Times New Roman"/>
          <w:sz w:val="24"/>
          <w:szCs w:val="24"/>
        </w:rPr>
        <w:t xml:space="preserve">льтатам проведенной экспертизы эксперт (экспертная организация) готовит экспертное заключение и направляет его на рассмотрение Заказчику.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Заказчик проверяет оказанные Услуги на соответствие требованиям Контракта, в том числе настоящего Технического за</w:t>
      </w:r>
      <w:r>
        <w:rPr>
          <w:rFonts w:ascii="Times New Roman" w:hAnsi="Times New Roman" w:cs="Times New Roman"/>
          <w:sz w:val="24"/>
          <w:szCs w:val="24"/>
        </w:rPr>
        <w:t xml:space="preserve">дания.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В случае принятия Заказчиком решения о приемке Услуг акт сдачи-приемки услуг (приложение № 1 к настоящему Техническому заданию) подписывается Заказчиком не позднее 20 (двадцати)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 5.2 н</w:t>
      </w:r>
      <w:r>
        <w:rPr>
          <w:rFonts w:ascii="Times New Roman" w:hAnsi="Times New Roman" w:cs="Times New Roman"/>
          <w:sz w:val="24"/>
          <w:szCs w:val="24"/>
        </w:rPr>
        <w:t xml:space="preserve">астоящего Технического задания.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При выявлении несоответствия оказанных Услуг требованиям Контракта, в том числе настоящего Технического задания, препятствующего приемке Услуг Заказчиком, составляется акт, содержащий мотивированный отказ от приемки Усл</w:t>
      </w:r>
      <w:r>
        <w:rPr>
          <w:rFonts w:ascii="Times New Roman" w:hAnsi="Times New Roman" w:cs="Times New Roman"/>
          <w:sz w:val="24"/>
          <w:szCs w:val="24"/>
        </w:rPr>
        <w:t xml:space="preserve">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В течение 2 (двух) рабочих дней со дня составления </w:t>
      </w:r>
      <w:r>
        <w:rPr>
          <w:rFonts w:ascii="Times New Roman" w:hAnsi="Times New Roman" w:cs="Times New Roman"/>
          <w:sz w:val="24"/>
          <w:szCs w:val="24"/>
        </w:rPr>
        <w:t xml:space="preserve">акта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аказчиком</w:t>
      </w:r>
      <w:r>
        <w:rPr>
          <w:rFonts w:ascii="Times New Roman" w:hAnsi="Times New Roman" w:cs="Times New Roman"/>
          <w:sz w:val="24"/>
          <w:szCs w:val="24"/>
        </w:rPr>
        <w:t xml:space="preserve"> по адресу Исполнителя, указанному в Контракте, направляется мотивированный отказ от приемки Услуг с указанием выявленных несоответствий оказанных Услуг требованиям Контракта и срок</w:t>
      </w:r>
      <w:r>
        <w:rPr>
          <w:rFonts w:ascii="Times New Roman" w:hAnsi="Times New Roman" w:cs="Times New Roman"/>
          <w:sz w:val="24"/>
          <w:szCs w:val="24"/>
        </w:rPr>
        <w:t xml:space="preserve">ов их устранения с момента получения мотивированного отказа.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После устранения Исполнителем выявленных несоответствий осуществляется повторная приемка Услуг. В случае выявления при повторной приемке несоответствия Услуг требованиям Контракта, Услуги сч</w:t>
      </w:r>
      <w:r>
        <w:rPr>
          <w:rFonts w:ascii="Times New Roman" w:hAnsi="Times New Roman" w:cs="Times New Roman"/>
          <w:sz w:val="24"/>
          <w:szCs w:val="24"/>
        </w:rPr>
        <w:t xml:space="preserve">итаются </w:t>
      </w:r>
      <w:r>
        <w:rPr>
          <w:rFonts w:ascii="Times New Roman" w:hAnsi="Times New Roman" w:cs="Times New Roman"/>
          <w:sz w:val="24"/>
          <w:szCs w:val="24"/>
        </w:rPr>
        <w:t xml:space="preserve">неоказанными</w:t>
      </w:r>
      <w:r>
        <w:rPr>
          <w:rFonts w:ascii="Times New Roman" w:hAnsi="Times New Roman" w:cs="Times New Roman"/>
          <w:sz w:val="24"/>
          <w:szCs w:val="24"/>
        </w:rPr>
        <w:t xml:space="preserve">, а обязательства Исполнителя по их оказанию – невыполненными.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Услуги считаются принятым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Заказчиком акта сдачи-приемки Услуг (приложение № 1 к настоящему Техническому заданию) при условии исполнения Исполнителем всех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Ответственность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За неисполнение или ненадлежащее исполнение своих обязательств, ус</w:t>
      </w:r>
      <w:r>
        <w:rPr>
          <w:rFonts w:ascii="Times New Roman" w:hAnsi="Times New Roman" w:cs="Times New Roman"/>
          <w:sz w:val="24"/>
          <w:szCs w:val="24"/>
        </w:rPr>
        <w:t xml:space="preserve">тановленных Контрактом и настоящим Техническим заданием, Стороны несут ответственность в соответствии с законодательством Российской Федерации и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В случае просрочки исполнения Заказчиком обязательств, предусмотренных Контрактом, а также в и</w:t>
      </w:r>
      <w:r>
        <w:rPr>
          <w:rFonts w:ascii="Times New Roman" w:hAnsi="Times New Roman" w:cs="Times New Roman"/>
          <w:sz w:val="24"/>
          <w:szCs w:val="24"/>
        </w:rPr>
        <w:t xml:space="preserve">ных случаях неисполнения или ненадлежащего исполнения Заказчиком обязательств, предусмотренных Контрактом, Исполнитель вправе потребовать уплаты штрафов, пеней.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За каждый факт неисполнения Заказчиком обязательств, предусмотренных Контрактом, за исключ</w:t>
      </w:r>
      <w:r>
        <w:rPr>
          <w:rFonts w:ascii="Times New Roman" w:hAnsi="Times New Roman" w:cs="Times New Roman"/>
          <w:sz w:val="24"/>
          <w:szCs w:val="24"/>
        </w:rPr>
        <w:t xml:space="preserve">ением просрочки исполнения обязательств, предусмотренных Контрактом, размер штрафа составляет 1000 рублей (одна тысяча рублей 00 копеек).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Пеня начисляется за каждый день просрочки исполнения Заказчиком обязательства, предусмотренного Контрактом, начин</w:t>
      </w:r>
      <w:r>
        <w:rPr>
          <w:rFonts w:ascii="Times New Roman" w:hAnsi="Times New Roman" w:cs="Times New Roman"/>
          <w:sz w:val="24"/>
          <w:szCs w:val="24"/>
        </w:rPr>
        <w:t xml:space="preserve">ая со дня, следующего после дня истечения установленного Контрактом срока исполнения такого обязательства. Размер пени составляет одну трехсотую действующей на дату уплаты пеней ключевой ставки Центрального банка Российской Федерации от не уплаченной в сро</w:t>
      </w:r>
      <w:r>
        <w:rPr>
          <w:rFonts w:ascii="Times New Roman" w:hAnsi="Times New Roman" w:cs="Times New Roman"/>
          <w:sz w:val="24"/>
          <w:szCs w:val="24"/>
        </w:rPr>
        <w:t xml:space="preserve">к цены настоящего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 и настоящим Технич</w:t>
      </w:r>
      <w:r>
        <w:rPr>
          <w:rFonts w:ascii="Times New Roman" w:hAnsi="Times New Roman" w:cs="Times New Roman"/>
          <w:sz w:val="24"/>
          <w:szCs w:val="24"/>
        </w:rPr>
        <w:t xml:space="preserve">еским заданием, Заказчик направляет Исполнителю требование об уплате штрафов, пеней или осуществляет оплату оказанных Услуг в размере, уменьшенном на сумму неустойки (штрафа, пени).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За каждый факт неисполнения или ненадлежащего исполнения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и настоящим Техническим заданием, размер штрафа составляет 10% (десять процентов) от цены Контр</w:t>
      </w:r>
      <w:r>
        <w:rPr>
          <w:rFonts w:ascii="Times New Roman" w:hAnsi="Times New Roman" w:cs="Times New Roman"/>
          <w:sz w:val="24"/>
          <w:szCs w:val="24"/>
        </w:rPr>
        <w:t xml:space="preserve">акта (этапа).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За каждый факт неисполнения или ненадлежащего исполнения Исполнителем обязательства, предусмотренного Контрактом и настоящим Техническим заданием, которое не имеет стоимостного выражения, размер штрафа составляет (при наличии в Контракте</w:t>
      </w:r>
      <w:r>
        <w:rPr>
          <w:rFonts w:ascii="Times New Roman" w:hAnsi="Times New Roman" w:cs="Times New Roman"/>
          <w:sz w:val="24"/>
          <w:szCs w:val="24"/>
        </w:rPr>
        <w:t xml:space="preserve"> таких обязательств) 1000 рублей (одна тысяча рублей 00 копеек).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</w:t>
      </w: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Контрактом и настоящим Техническим заданием, начиная со дня, следующего после дня истече</w:t>
      </w:r>
      <w:r>
        <w:rPr>
          <w:rFonts w:ascii="Times New Roman" w:hAnsi="Times New Roman" w:cs="Times New Roman"/>
          <w:sz w:val="24"/>
          <w:szCs w:val="24"/>
        </w:rPr>
        <w:t xml:space="preserve">ния установленного Контрактом срока исполнения такого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</w:t>
      </w:r>
      <w:r>
        <w:rPr>
          <w:rFonts w:ascii="Times New Roman" w:hAnsi="Times New Roman" w:cs="Times New Roman"/>
          <w:sz w:val="24"/>
          <w:szCs w:val="24"/>
        </w:rPr>
        <w:t xml:space="preserve">ьств, предусмотренных настоящим Контрактом и фактически исполненных Исполнителем,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Общая сумма начисленных штрафов за неисполнение или ненадлеж</w:t>
      </w:r>
      <w:r>
        <w:rPr>
          <w:rFonts w:ascii="Times New Roman" w:hAnsi="Times New Roman" w:cs="Times New Roman"/>
          <w:sz w:val="24"/>
          <w:szCs w:val="24"/>
        </w:rPr>
        <w:t xml:space="preserve">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Общая сумма начисленных штрафов за ненадлежащее исполнение Заказчиком обязательств, предусмотренных Контрактом, не может превышать цену Контракт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7.11. Стороны настоящего Контракта освобождаются от уплаты штрафов, пени,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7.12. Уп</w:t>
      </w:r>
      <w:r>
        <w:rPr>
          <w:rFonts w:ascii="Times New Roman" w:hAnsi="Times New Roman" w:cs="Times New Roman"/>
          <w:sz w:val="24"/>
          <w:szCs w:val="24"/>
        </w:rPr>
        <w:t xml:space="preserve">лата Стороной штрафов, пени или применение иной формы ответственности не освобождает его от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7.13. Расторжение или прекращение срока действия Контракта не освобождает Стороны от уплаты неустоек, штрафов, пени.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Обсто</w:t>
      </w:r>
      <w:r>
        <w:rPr>
          <w:rFonts w:ascii="Times New Roman" w:hAnsi="Times New Roman" w:cs="Times New Roman"/>
          <w:sz w:val="24"/>
          <w:szCs w:val="24"/>
        </w:rPr>
        <w:t xml:space="preserve">ятельства непреодолимой силы.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Контракту, в случае если оно явилось следствием обстоятельств непреодолимой силы, а именно наводнения, пожара, землетряс</w:t>
      </w:r>
      <w:r>
        <w:rPr>
          <w:rFonts w:ascii="Times New Roman" w:hAnsi="Times New Roman" w:cs="Times New Roman"/>
          <w:sz w:val="24"/>
          <w:szCs w:val="24"/>
        </w:rPr>
        <w:t xml:space="preserve">ения, диверсии, военных действий, блокад, препятствующих надлежащему исполнению обязательств по Контракту, а также других чрезвычайных обстоятельств, в том числе решения органа государственной власти, государственных органов, уполномоченных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, которые возникли после заключения Контракта и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Сторона, подвергшаяся действию обстоятельств непреодолимой сил</w:t>
      </w:r>
      <w:r>
        <w:rPr>
          <w:rFonts w:ascii="Times New Roman" w:hAnsi="Times New Roman" w:cs="Times New Roman"/>
          <w:sz w:val="24"/>
          <w:szCs w:val="24"/>
        </w:rPr>
        <w:t xml:space="preserve">ы, не позднее 5 (пяти) рабочих дней с момента их наступления обязана в письменной форме уведомить другую Сторону о возникновении, виде и возможной продолжительности действия указанных обстоятель</w:t>
      </w:r>
      <w:r>
        <w:rPr>
          <w:rFonts w:ascii="Times New Roman" w:hAnsi="Times New Roman" w:cs="Times New Roman"/>
          <w:sz w:val="24"/>
          <w:szCs w:val="24"/>
        </w:rPr>
        <w:t xml:space="preserve">ств с пр</w:t>
      </w:r>
      <w:r>
        <w:rPr>
          <w:rFonts w:ascii="Times New Roman" w:hAnsi="Times New Roman" w:cs="Times New Roman"/>
          <w:sz w:val="24"/>
          <w:szCs w:val="24"/>
        </w:rPr>
        <w:t xml:space="preserve">иложением документов, удостоверяющих факт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указанных обстоятельств. Такие документы должны быть получены от компетентных органов территории, </w:t>
      </w:r>
      <w:r>
        <w:rPr>
          <w:rFonts w:ascii="Times New Roman" w:hAnsi="Times New Roman" w:cs="Times New Roman"/>
          <w:sz w:val="24"/>
          <w:szCs w:val="24"/>
        </w:rPr>
        <w:t xml:space="preserve">где данные обстоятельства имели место (в случае, если Исполнителем является нерезидент Российской Федерации – то торгово-промышленной палаты страны, где данны</w:t>
      </w:r>
      <w:r>
        <w:rPr>
          <w:rFonts w:ascii="Times New Roman" w:hAnsi="Times New Roman" w:cs="Times New Roman"/>
          <w:sz w:val="24"/>
          <w:szCs w:val="24"/>
        </w:rPr>
        <w:t xml:space="preserve">е обстоятельства имели место).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В случае своевременного уведомления Стороной, подвергшейся действию обстоятельств непреодолимой силы, другой Стороны о возникновении, виде и возможной продолжительности действия указанных обстоятель</w:t>
      </w:r>
      <w:r>
        <w:rPr>
          <w:rFonts w:ascii="Times New Roman" w:hAnsi="Times New Roman" w:cs="Times New Roman"/>
          <w:sz w:val="24"/>
          <w:szCs w:val="24"/>
        </w:rPr>
        <w:t xml:space="preserve">ств с пр</w:t>
      </w:r>
      <w:r>
        <w:rPr>
          <w:rFonts w:ascii="Times New Roman" w:hAnsi="Times New Roman" w:cs="Times New Roman"/>
          <w:sz w:val="24"/>
          <w:szCs w:val="24"/>
        </w:rPr>
        <w:t xml:space="preserve">иложением доку</w:t>
      </w:r>
      <w:r>
        <w:rPr>
          <w:rFonts w:ascii="Times New Roman" w:hAnsi="Times New Roman" w:cs="Times New Roman"/>
          <w:sz w:val="24"/>
          <w:szCs w:val="24"/>
        </w:rPr>
        <w:t xml:space="preserve">ментов, удостоверяющих факт наступления указанных обстоятельств, Стороны проводят переговоры о продлении или прекращении действия Контракта, либо об изменении его условий. В результате переговоров составляется двусторонний акт, подписанный лицами, уполномо</w:t>
      </w:r>
      <w:r>
        <w:rPr>
          <w:rFonts w:ascii="Times New Roman" w:hAnsi="Times New Roman" w:cs="Times New Roman"/>
          <w:sz w:val="24"/>
          <w:szCs w:val="24"/>
        </w:rPr>
        <w:t xml:space="preserve">ченными Сторонами подписывать такой документ.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Если обстоятельства непреодолимой силы будут действовать свыше 6 (шести) месяцев, то каждая из Сторон будет вправе требовать расторжения Контракта полностью или частично, и в таком случае ни одна из Сторон</w:t>
      </w:r>
      <w:r>
        <w:rPr>
          <w:rFonts w:ascii="Times New Roman" w:hAnsi="Times New Roman" w:cs="Times New Roman"/>
          <w:sz w:val="24"/>
          <w:szCs w:val="24"/>
        </w:rPr>
        <w:t xml:space="preserve"> не будет иметь права требовать от другой Стороны возмещения возможных убытков.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Порядок изменения и расторжения Контракта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При исполнении Контракта по согласованию Заказчика с Исполнителем доп</w:t>
      </w:r>
      <w:r>
        <w:rPr>
          <w:rFonts w:ascii="Times New Roman" w:hAnsi="Times New Roman" w:cs="Times New Roman"/>
          <w:sz w:val="24"/>
          <w:szCs w:val="24"/>
        </w:rPr>
        <w:t xml:space="preserve">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и настоящем Техническом задании.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Изменения и дополнения Контракта и настоящего Технического задания,  вносятся по соглашению Сторон, которое оформляется соответствующим дополнительным соглашением, которое является неотъемлемой частью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>
        <w:rPr>
          <w:rFonts w:ascii="Times New Roman" w:hAnsi="Times New Roman" w:cs="Times New Roman"/>
          <w:sz w:val="24"/>
          <w:szCs w:val="24"/>
        </w:rPr>
        <w:t xml:space="preserve">Расторжение Контракта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по соглашению Сторон, по решению суда или в связи с одностороннем отказом Стороны от исполнения Контракта в соответствии с гражданским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При этом факт подписания Сторонами соглашения о расторжении Контракта не освобож</w:t>
      </w:r>
      <w:r>
        <w:rPr>
          <w:rFonts w:ascii="Times New Roman" w:hAnsi="Times New Roman" w:cs="Times New Roman"/>
          <w:sz w:val="24"/>
          <w:szCs w:val="24"/>
        </w:rPr>
        <w:t xml:space="preserve">дает Стороны от обязанности урегулирования взаимных расчетов.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Порядок разрешения споров.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.1. Претензионный порядок рассмотрения споров по настоящему Контракту является для Сторон обязательным.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.2. Претензионные письма направляются Сторонами нарочным, либо заказным почтовым отправлением с уведомлением о вручении по адресам Сторон, указанным в Контракте.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Направление Сторонами претензионных писем иным способом, чем указано в пункте 10.2 насто</w:t>
      </w:r>
      <w:r>
        <w:rPr>
          <w:rFonts w:ascii="Times New Roman" w:hAnsi="Times New Roman" w:cs="Times New Roman"/>
          <w:sz w:val="24"/>
          <w:szCs w:val="24"/>
        </w:rPr>
        <w:t xml:space="preserve">ящего Технического задания, не допускается.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Срок рассмотрения претензионного письма составляет 10 (десять) рабочих дней со дня получения адресатом.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Споры, по которым не было достигнуто соглашение при соблюдении претензионного порядка, подлежат </w:t>
      </w:r>
      <w:r>
        <w:rPr>
          <w:rFonts w:ascii="Times New Roman" w:hAnsi="Times New Roman" w:cs="Times New Roman"/>
          <w:sz w:val="24"/>
          <w:szCs w:val="24"/>
        </w:rPr>
        <w:t xml:space="preserve">передаче в Арбитражный суд г. Москвы.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Заключительные положения.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Все изменения и дополнения к Контракту оформляются в письменном виде и согласовываются Сторонами.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В случае изменения реквизитов, указанных в Контракте, Сторона письменно изве</w:t>
      </w:r>
      <w:r>
        <w:rPr>
          <w:rFonts w:ascii="Times New Roman" w:hAnsi="Times New Roman" w:cs="Times New Roman"/>
          <w:sz w:val="24"/>
          <w:szCs w:val="24"/>
        </w:rPr>
        <w:t xml:space="preserve">щает об этом другую Сторону в течение 3 (трех)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</w:t>
      </w:r>
      <w:r>
        <w:rPr>
          <w:rFonts w:ascii="Times New Roman" w:hAnsi="Times New Roman" w:cs="Times New Roman"/>
          <w:sz w:val="24"/>
          <w:szCs w:val="24"/>
        </w:rPr>
        <w:t xml:space="preserve"> такого изменения.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Во всем остальном, что не предусмотрено Контрактом и настоящим Техническим заданием, Стороны руководствуются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Все измене</w:t>
      </w:r>
      <w:r>
        <w:rPr>
          <w:rFonts w:ascii="Times New Roman" w:hAnsi="Times New Roman" w:cs="Times New Roman"/>
          <w:sz w:val="24"/>
          <w:szCs w:val="24"/>
        </w:rPr>
        <w:t xml:space="preserve">ния и приложения к настоящему Техническому заданию являются неотъемлемой частью Контракта, в том числе: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к Техническому заданию - Форма акта сдачи-приемки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ageBreakBefore/>
        <w:widowControl w:val="off"/>
        <w:spacing w:after="0" w:line="240" w:lineRule="auto"/>
        <w:ind w:left="709"/>
        <w:jc w:val="right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40" w:lineRule="auto"/>
        <w:ind w:left="709"/>
        <w:jc w:val="right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к Техническому заданию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АКТ № 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сдачи-приемки услуг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12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 государственному контракту от «____» _________2026 г. № 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Федеральная пробирная палата, именуемая в дальнейшем «Заказчик», в лице _______________,__________________________________________ действующего на основании 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_________________, с одной стороны, и ____________________________, именуемое в дальнейшем «Исполнитель», в лице _________________________________________ действующего на основании ________________________, с другой стороны, совместно именуемые в дальнейше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 «Стороны», составили акт о нижеследующем: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 В соответствии с государственным контрактом от «____» _______2026 г. № __________________________________ (далее – Контракт) Исполнитель выполнил свои обязательства по оказанию услуг 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 (далее – Услуги).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2. Общая стоимость оказанных Услуг составляет _____________________ рублей (____________________________________________________ рублей ________ копеек).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 Услуги согласно Контракту должны быть оказаны с «__» ____ по «__» 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 2026 г., фактически Услуги оказаны «___» _______2026 г.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 Оказанные Услуги (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соответствуют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/ не соответствуют) по объему, составу, содержанию, срокам, качеству условиям Контракта.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5. Выявленные несоответствия оказанных Услуг условиям Контракта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6. В соответствии с пунктом ____ Контракта сумма неустойки (штрафа, пени) составляет _______________________________________________________________.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7. Итоговая сумма, подлежащая оплате Испол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нителю, составляет ________ рублей (____ рублей __ копеек).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8. К акту прилагаются следующие документы: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а) счет от «____» ___________ 2026 г. № ______;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б) счет-фактура от «____» _______ 2026 г. № _________ 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 xml:space="preserve">(в случае, если Исполнитель является плательщиком НДС)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в) </w:t>
      </w:r>
      <w:r>
        <w:rPr>
          <w:rFonts w:ascii="Times New Roman" w:hAnsi="Times New Roman" w:eastAsia="Times New Roman" w:cs="Times New Roman"/>
          <w:spacing w:val="-6"/>
          <w:sz w:val="26"/>
          <w:szCs w:val="26"/>
          <w:lang w:eastAsia="ru-RU"/>
        </w:rPr>
        <w:t xml:space="preserve">документы, подтверждающие качество оказанных услуг.</w:t>
      </w:r>
      <w:r>
        <w:rPr>
          <w:rFonts w:ascii="Times New Roman" w:hAnsi="Times New Roman" w:eastAsia="Times New Roman" w:cs="Times New Roman"/>
          <w:spacing w:val="-6"/>
          <w:sz w:val="26"/>
          <w:szCs w:val="26"/>
          <w:lang w:eastAsia="ru-RU"/>
        </w:rPr>
      </w:r>
    </w:p>
    <w:p>
      <w:pPr>
        <w:pStyle w:val="697"/>
        <w:tabs>
          <w:tab w:val="left" w:pos="284" w:leader="none"/>
        </w:tabs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102"/>
      </w:tblGrid>
      <w:tr>
        <w:trPr/>
        <w:tc>
          <w:tcPr>
            <w:tcW w:w="521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ЗАКАЗЧИК: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Федеральная пробирная палата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jc w:val="right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          «____»______________2026 г.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widowControl w:val="off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tcW w:w="510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ИСПОЛНИТЕЛЬ: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               «____»______________2026 г.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</w:r>
          </w:p>
          <w:p>
            <w:pPr>
              <w:widowControl w:val="off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5" w:right="567" w:bottom="68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  <w:b/>
        <w:sz w:val="21"/>
        <w:szCs w:val="2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668"/>
    <w:link w:val="711"/>
    <w:uiPriority w:val="35"/>
    <w:rPr>
      <w:b/>
      <w:bCs/>
      <w:color w:val="4f81bd" w:themeColor="accent1"/>
      <w:sz w:val="18"/>
      <w:szCs w:val="18"/>
    </w:rPr>
  </w:style>
  <w:style w:type="paragraph" w:styleId="658" w:default="1">
    <w:name w:val="Normal"/>
    <w:qFormat/>
  </w:style>
  <w:style w:type="paragraph" w:styleId="659">
    <w:name w:val="Heading 1"/>
    <w:basedOn w:val="658"/>
    <w:next w:val="658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8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69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69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69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link w:val="69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5">
    <w:name w:val="Heading 7"/>
    <w:basedOn w:val="658"/>
    <w:next w:val="658"/>
    <w:link w:val="69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6">
    <w:name w:val="Heading 8"/>
    <w:basedOn w:val="658"/>
    <w:next w:val="658"/>
    <w:link w:val="69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7">
    <w:name w:val="Heading 9"/>
    <w:basedOn w:val="658"/>
    <w:next w:val="658"/>
    <w:link w:val="69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Title Char"/>
    <w:basedOn w:val="668"/>
    <w:uiPriority w:val="10"/>
    <w:rPr>
      <w:sz w:val="48"/>
      <w:szCs w:val="48"/>
    </w:rPr>
  </w:style>
  <w:style w:type="character" w:styleId="681" w:customStyle="1">
    <w:name w:val="Subtitle Char"/>
    <w:basedOn w:val="668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character" w:styleId="684" w:customStyle="1">
    <w:name w:val="Header Char"/>
    <w:basedOn w:val="668"/>
    <w:uiPriority w:val="99"/>
  </w:style>
  <w:style w:type="character" w:styleId="685" w:customStyle="1">
    <w:name w:val="Название объекта Знак"/>
    <w:link w:val="711"/>
    <w:uiPriority w:val="99"/>
  </w:style>
  <w:style w:type="character" w:styleId="686" w:customStyle="1">
    <w:name w:val="Footnote Text Char"/>
    <w:uiPriority w:val="99"/>
    <w:rPr>
      <w:sz w:val="18"/>
    </w:rPr>
  </w:style>
  <w:style w:type="character" w:styleId="687" w:customStyle="1">
    <w:name w:val="Endnote Text Char"/>
    <w:uiPriority w:val="99"/>
    <w:rPr>
      <w:sz w:val="20"/>
    </w:rPr>
  </w:style>
  <w:style w:type="character" w:styleId="688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68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58"/>
    <w:uiPriority w:val="34"/>
    <w:qFormat/>
    <w:pPr>
      <w:ind w:left="720"/>
      <w:contextualSpacing/>
    </w:p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58"/>
    <w:next w:val="658"/>
    <w:link w:val="70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0" w:customStyle="1">
    <w:name w:val="Название Знак"/>
    <w:basedOn w:val="668"/>
    <w:link w:val="699"/>
    <w:uiPriority w:val="10"/>
    <w:rPr>
      <w:sz w:val="48"/>
      <w:szCs w:val="48"/>
    </w:rPr>
  </w:style>
  <w:style w:type="paragraph" w:styleId="701">
    <w:name w:val="Subtitle"/>
    <w:basedOn w:val="658"/>
    <w:next w:val="658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 w:customStyle="1">
    <w:name w:val="Подзаголовок Знак"/>
    <w:basedOn w:val="668"/>
    <w:link w:val="701"/>
    <w:uiPriority w:val="11"/>
    <w:rPr>
      <w:sz w:val="24"/>
      <w:szCs w:val="24"/>
    </w:rPr>
  </w:style>
  <w:style w:type="paragraph" w:styleId="703">
    <w:name w:val="Quote"/>
    <w:basedOn w:val="658"/>
    <w:next w:val="658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58"/>
    <w:next w:val="658"/>
    <w:link w:val="7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58"/>
    <w:link w:val="70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8" w:customStyle="1">
    <w:name w:val="Верхний колонтитул Знак"/>
    <w:basedOn w:val="668"/>
    <w:link w:val="707"/>
    <w:uiPriority w:val="99"/>
  </w:style>
  <w:style w:type="paragraph" w:styleId="709">
    <w:name w:val="Footer"/>
    <w:basedOn w:val="658"/>
    <w:link w:val="71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0" w:customStyle="1">
    <w:name w:val="Footer Char"/>
    <w:basedOn w:val="668"/>
    <w:uiPriority w:val="99"/>
  </w:style>
  <w:style w:type="paragraph" w:styleId="711">
    <w:name w:val="Caption"/>
    <w:basedOn w:val="658"/>
    <w:next w:val="658"/>
    <w:link w:val="68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 w:customStyle="1">
    <w:name w:val="Table Grid Light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 w:customStyle="1">
    <w:name w:val="Plain Table 1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6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9" w:customStyle="1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7" w:customStyle="1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 w:customStyle="1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9" w:customStyle="1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 w:customStyle="1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1" w:customStyle="1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 w:customStyle="1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 w:customStyle="1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 w:customStyle="1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7" w:customStyle="1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8" w:customStyle="1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9" w:customStyle="1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0" w:customStyle="1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2" w:customStyle="1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3" w:customStyle="1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5" w:customStyle="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48" w:customStyle="1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49" w:customStyle="1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50" w:customStyle="1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51" w:customStyle="1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52" w:customStyle="1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53" w:customStyle="1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54" w:customStyle="1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6" w:customStyle="1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7" w:customStyle="1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8" w:customStyle="1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9" w:customStyle="1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 w:customStyle="1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 w:customStyle="1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 w:customStyle="1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 w:customStyle="1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 w:customStyle="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 w:customStyle="1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 w:customStyle="1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 w:customStyle="1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 w:customStyle="1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 w:customStyle="1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 w:customStyle="1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 w:customStyle="1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 w:customStyle="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6" w:customStyle="1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 w:customStyle="1">
    <w:name w:val="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9" w:customStyle="1">
    <w:name w:val="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Bordered &amp; 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Bordered &amp; 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Bordered &amp; 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4" w:customStyle="1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6" w:customStyle="1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7" w:customStyle="1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563c1" w:themeColor="hyperlink"/>
      <w:u w:val="single"/>
    </w:rPr>
  </w:style>
  <w:style w:type="paragraph" w:styleId="839">
    <w:name w:val="footnote text"/>
    <w:basedOn w:val="658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68"/>
    <w:uiPriority w:val="99"/>
    <w:unhideWhenUsed/>
    <w:rPr>
      <w:vertAlign w:val="superscript"/>
    </w:rPr>
  </w:style>
  <w:style w:type="paragraph" w:styleId="842">
    <w:name w:val="endnote text"/>
    <w:basedOn w:val="658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68"/>
    <w:uiPriority w:val="99"/>
    <w:semiHidden/>
    <w:unhideWhenUsed/>
    <w:rPr>
      <w:vertAlign w:val="superscript"/>
    </w:rPr>
  </w:style>
  <w:style w:type="paragraph" w:styleId="845">
    <w:name w:val="toc 1"/>
    <w:basedOn w:val="658"/>
    <w:next w:val="658"/>
    <w:uiPriority w:val="39"/>
    <w:unhideWhenUsed/>
    <w:pPr>
      <w:spacing w:after="57"/>
    </w:pPr>
  </w:style>
  <w:style w:type="paragraph" w:styleId="846">
    <w:name w:val="toc 2"/>
    <w:basedOn w:val="658"/>
    <w:next w:val="658"/>
    <w:uiPriority w:val="39"/>
    <w:unhideWhenUsed/>
    <w:pPr>
      <w:spacing w:after="57"/>
      <w:ind w:left="283"/>
    </w:pPr>
  </w:style>
  <w:style w:type="paragraph" w:styleId="847">
    <w:name w:val="toc 3"/>
    <w:basedOn w:val="658"/>
    <w:next w:val="658"/>
    <w:uiPriority w:val="39"/>
    <w:unhideWhenUsed/>
    <w:pPr>
      <w:spacing w:after="57"/>
      <w:ind w:left="567"/>
    </w:pPr>
  </w:style>
  <w:style w:type="paragraph" w:styleId="848">
    <w:name w:val="toc 4"/>
    <w:basedOn w:val="658"/>
    <w:next w:val="658"/>
    <w:uiPriority w:val="39"/>
    <w:unhideWhenUsed/>
    <w:pPr>
      <w:spacing w:after="57"/>
      <w:ind w:left="850"/>
    </w:pPr>
  </w:style>
  <w:style w:type="paragraph" w:styleId="849">
    <w:name w:val="toc 5"/>
    <w:basedOn w:val="658"/>
    <w:next w:val="658"/>
    <w:uiPriority w:val="39"/>
    <w:unhideWhenUsed/>
    <w:pPr>
      <w:spacing w:after="57"/>
      <w:ind w:left="1134"/>
    </w:pPr>
  </w:style>
  <w:style w:type="paragraph" w:styleId="850">
    <w:name w:val="toc 6"/>
    <w:basedOn w:val="658"/>
    <w:next w:val="658"/>
    <w:uiPriority w:val="39"/>
    <w:unhideWhenUsed/>
    <w:pPr>
      <w:spacing w:after="57"/>
      <w:ind w:left="1417"/>
    </w:pPr>
  </w:style>
  <w:style w:type="paragraph" w:styleId="851">
    <w:name w:val="toc 7"/>
    <w:basedOn w:val="658"/>
    <w:next w:val="658"/>
    <w:uiPriority w:val="39"/>
    <w:unhideWhenUsed/>
    <w:pPr>
      <w:spacing w:after="57"/>
      <w:ind w:left="1701"/>
    </w:pPr>
  </w:style>
  <w:style w:type="paragraph" w:styleId="852">
    <w:name w:val="toc 8"/>
    <w:basedOn w:val="658"/>
    <w:next w:val="658"/>
    <w:uiPriority w:val="39"/>
    <w:unhideWhenUsed/>
    <w:pPr>
      <w:spacing w:after="57"/>
      <w:ind w:left="1984"/>
    </w:pPr>
  </w:style>
  <w:style w:type="paragraph" w:styleId="853">
    <w:name w:val="toc 9"/>
    <w:basedOn w:val="658"/>
    <w:next w:val="658"/>
    <w:uiPriority w:val="39"/>
    <w:unhideWhenUsed/>
    <w:pPr>
      <w:spacing w:after="57"/>
      <w:ind w:left="2268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658"/>
    <w:next w:val="658"/>
    <w:uiPriority w:val="99"/>
    <w:unhideWhenUsed/>
    <w:pPr>
      <w:spacing w:after="0"/>
    </w:pPr>
  </w:style>
  <w:style w:type="table" w:styleId="856">
    <w:name w:val="Table Grid"/>
    <w:basedOn w:val="669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2EB0-D1E1-4467-95A6-9ED873C7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Владимир</dc:creator>
  <cp:lastModifiedBy>Gbaluev</cp:lastModifiedBy>
  <cp:revision>3</cp:revision>
  <dcterms:created xsi:type="dcterms:W3CDTF">2026-05-21T19:03:00Z</dcterms:created>
  <dcterms:modified xsi:type="dcterms:W3CDTF">2026-05-22T07:59:54Z</dcterms:modified>
</cp:coreProperties>
</file>