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Государственный контракт № __________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 техническому обслуживанию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ремонту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МФУ</w:t>
      </w:r>
      <w:r>
        <w:rPr>
          <w:rFonts w:ascii="Times New Roman" w:hAnsi="Times New Roman" w:eastAsia="Times New Roman" w:cs="Times New Roman"/>
          <w:b/>
          <w:bCs/>
          <w14:ligatures w14:val="none"/>
        </w:rPr>
      </w:r>
      <w:r>
        <w:rPr>
          <w:rFonts w:ascii="Times New Roman" w:hAnsi="Times New Roman" w:eastAsia="Times New Roman" w:cs="Times New Roman"/>
          <w:b/>
          <w:bCs/>
          <w14:ligatures w14:val="none"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90112783129010100100060000000244</w:t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Архангельск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именуемое в дальнейшем «Заказчик», в лице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________________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с одной 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______________, в лице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действующая на основании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другой стороны, вместе именуемые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государственный 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оказа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ние услуг по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техническому обслуживанию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ремонту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МФУ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(далее –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) о нижеследующем: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 Предмет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873"/>
        <w:ind w:left="0" w:firstLine="709"/>
        <w:jc w:val="both"/>
        <w:shd w:val="clear" w:color="ffffff" w:themeColor="background1" w:fill="ffffff" w:themeFill="background1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1.1. Исполнитель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обязуется оказать услуги</w:t>
      </w:r>
      <w:r>
        <w:rPr>
          <w:rFonts w:ascii="Times New Roman" w:hAnsi="Times New Roman" w:eastAsia="Arial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 техническому обслуживанию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ремонту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МФУ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Заказчика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именуемые в дальнейшем Услуги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в соответствии с техническим заданием (Приложение № 1 к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у)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а Заказчик обязуется создать Исполнителю все необходимые условия для оказания Услуг, принять и оплатить эти Услуги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873"/>
        <w:ind w:left="0" w:firstLine="709"/>
        <w:jc w:val="both"/>
        <w:shd w:val="clear" w:color="ffffff" w:themeColor="background1" w:fill="ffffff" w:themeFill="background1"/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1.2. Оказание Услуг производится по месту нахождения Исполнителя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</w:r>
    </w:p>
    <w:p>
      <w:pPr>
        <w:pStyle w:val="873"/>
        <w:ind w:left="0" w:firstLine="709"/>
        <w:jc w:val="both"/>
        <w:shd w:val="clear" w:color="ffffff" w:themeColor="background1" w:fill="ffffff" w:themeFill="background1"/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Доставка МФУ к месту оказания услуг и обратно Заказчику осуществляется Исполнителем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Ад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рес Заказчика: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163000, Российская Федерация, Архангельская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область, город Архангельск, пр-т Троицкий, дом 14, с 09-00 до 16-00 в рабочие дни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(обед с 13.00 до 14.00)</w:t>
      </w:r>
      <w:r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r>
    </w:p>
    <w:p>
      <w:pPr>
        <w:pStyle w:val="873"/>
        <w:ind w:left="0" w:firstLine="709"/>
        <w:jc w:val="both"/>
        <w:shd w:val="clear" w:color="ffffff" w:themeColor="background1" w:fill="ffffff" w:themeFill="background1"/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1.3. Срок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оказания услуг: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с даты заключения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контракта по 13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.11.2026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14:ligatures w14:val="none"/>
        </w:rPr>
      </w:r>
    </w:p>
    <w:p>
      <w:pPr>
        <w:pStyle w:val="873"/>
        <w:ind w:left="0" w:firstLine="70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73"/>
        <w:ind w:left="0" w:firstLine="70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 Обязанности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Запрашивать у Исполнителя информацию о ходе оказываемых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всякое время осуществлять контроль за ходом оказания услуг и их качеством, соблюдением сроков оказания услуг, не вмешиваясь при этом в деятельность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Предоставить всю необходимую информацию для оказания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 оплатить оказанные услуги в соответствии с условиями, установленными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Представить Исполнителю оборудование, сведения, документы, необходимые для выполнения им своих обязател</w:t>
      </w:r>
      <w:r>
        <w:rPr>
          <w:rFonts w:ascii="Times New Roman" w:hAnsi="Times New Roman"/>
          <w:color w:val="000000"/>
          <w:sz w:val="24"/>
          <w:szCs w:val="24"/>
        </w:rPr>
        <w:t xml:space="preserve">ьств по контракту, в соответствии с письменными запросами уполномоченных представителей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Предоставлять по запросам Исполнителя разъяснения и уточнения в части оказания услуг в соответствии с условиями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 обнаружении в ходе осуществления контроля за оказанием услуг отступлений от условий контракта, которые могут ухудшить качество услуг, немедленно заявить об этом Исполнителю.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Требовать оплаты оказанных услуг на условиях, установленных настоящим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clear" w:pos="740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Получать от Заказчика содействие в оказании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clear" w:pos="740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Направлять Заказчику письменные запросы и получать от него сведения, документы, необходимые для выполнения обязательств по контракту, а также разъяснения и уточнения по вопросам оказания услуг в рамках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Оказать услуги на условиях,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Обеспечить соответствие результатов услуг требованиям качества, установленным законодательством Российской Федерации к услугам такого рода.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действующего законодательства Российской Федерации обеспечить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соответствующих разрешений (лицензий), иных документов, необходимых для исполнения обязательств по настоящему контракту (в случаях, предусмотренных законодательством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Своевременно предоставлять достоверну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ю информацию о ходе исполнения своих обязательств, в том числе о сложностях, возникающих при исполнении настоящего контракта. При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этом под своевременностью предоставления информации понимается ее предоставление в срок не более 2 рабочих дней со дня получения запроса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Заказчика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, 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также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иных случаях – по собственной инициативе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 Стоимость услуг и порядок расчетов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afterAutospacing="0" w:line="240" w:lineRule="auto"/>
        <w:tabs>
          <w:tab w:val="num" w:pos="-142" w:leader="none"/>
          <w:tab w:val="left" w:pos="0" w:leader="none"/>
          <w:tab w:val="num" w:pos="142" w:leader="none"/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Максимальное значение цены Контракта составляет 30 416 (Тридцать тысяч четыреста шестнадцать) рублей 67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том числе НДС 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(_________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НДС не облагается.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умма цен единиц услуг составляет _______________(_______________) руб.___ коп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(____________) руб. 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НДС не облагается.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единиц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услуги указывается в «Спецификации» (Приложение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Контракту)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3.2. Цена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включает все расходы Исполнителя, производимые им в процессе оказания Услуг, в том числе: стоимость расходных материалов, расходы на доставку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, хранение, погрузочно-разгрузочные работы,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а также расходы на страхование, уплату всех налогов, сборов, таможенных пошлин и других обязательных платежей.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3.3. Цена настоящего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рственных и муниципальных нужд» и настоящим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ом.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3.4. Источник финансирования настоящего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а – Федеральный бюджет.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оказанных услуг осуществляется по цене единиц услуг, установленной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«Спецификации» (Приложение № 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Контракту)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исходя из объёма фактически оказанных услуг, в размере, не превышающем максимального значения цены Контракта, указанного в пункте 3.1.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3.6.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Оплата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осуществляется по безналичному расчету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путем перечисления денежных средств на расчетный счет Исполнителя в срок не более 7 (Семи) рабочих дней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 даты подписания Заказчиком документа о приемке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en-US"/>
        </w:rPr>
        <w:t xml:space="preserve">(далее – док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en-US"/>
        </w:rPr>
        <w:t xml:space="preserve">умент о приемке)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3.7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. Оплата осуществляется в российских рублях по безналичному расчету путем перечисления Заказчиком денежных средств на расчетный счет Исполнителя, указанный в настоящем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е.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  <w:lang w:eastAsia="ar-SA"/>
        </w:rPr>
        <w:t xml:space="preserve">4. Порядок сдачи приемки оказанных услуг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</w:r>
    </w:p>
    <w:p>
      <w:pPr>
        <w:pStyle w:val="88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Заказчиком в соответствии с требованиями, указанными в Законе № 44-ФЗ и настоящем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по факту оказанных услуг и оформляется документом о приемке, который подписывается Заказчиком.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4.3. 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контрактов, заключенных в соответствии с Законом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 Для проведения экспертизы оказанной услуги эксперты,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 (в случае, если Контрактом предусмотрены отдельные этапы его исполнения)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В случае, если по результатам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в течение 5 рабочих дней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4.6. 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претензий к результатам оказанных Услуг Заказчик в срок, указанный в пункте 4.5 Контракта, подписывает документ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4.7. 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у Заказчика замечаний к оказанным Исполнителем Услугам Заказчик в срок, указанный в пункте 4.5 Контракта, направляет Исполнителю мотивированный отказ от подписания документа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4.8. В случае получ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ения мотивированного отказа Заказчика от подписания документа о приемке Исполнитель обязан рассмотреть мотивированный отказ и устранить замечания в срок, указанный Заказчиком в мотивированном отказе, после чего стороны возобновляют приемку оказанных Услуг.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4.9. 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Заказчиком будут обнаружены некачественно оказанные Услуги, то Исполнитель своими силами и без увеличения стоимости обязан устранить выявленные недостатки. Некачественно оказанные и непринятые Заказчиком Услуги оплате не подлежат.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4.10. Датой приемки оказанных услуг считается дата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За неисполнение или ненадлежащее исполнение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В случае просрочки исполнения Заказчиком обязательств, предусмотренных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Исполнитель вправе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срока исполнения обязательства.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 За каждый факт неисполнения Заказчиком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Исполнитель вправе потребовать уплату штрафа. Размер штрафа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поставщиком (подрядчиком, исполнителем) 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утвержденными постановлением Правительства Российской Федерации от 30.08.2017 № 1042  (далее – Правила) и равен 1 000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.4. В случае просрочки исполнения Исполнителем обязательств, предусмотренных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Заказчик направляет Исполнителю требование об уплате пеня. Пеня начисляется за каждый день просрочки исполнения Исполнителем обязательства, предусмотренного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срока исполнения обязательства, и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и фактически исполненных Исполнителем.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.5. За каждый факт неисполнения Исполнителем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Заказчик направляет Исполнителю требование об уплате штрафа. Размер штрафа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порядке, установленном Правилами и равен 10%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которое не имеет стоимостного выражения (при наличии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таких обязательств), размер штрафа составляет 1 000,00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.6. Применение неустойки (штрафов, пени) не освобождает Стороны от исполнения обязательств по настоящему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.7.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не может превышать цену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.8.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не может превышать цену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.9. Стороны освобождаются от уплаты неустойки, если докажут, что просрочка исполнения указанных обязательств произошла вследствие непреодолимой силы.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Срок действия, продление, изменение, расторжение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Контракт вступает в силу с момента его подписания обеими Сторонами и действует до полного исполнения Сторонами принятых на себя обязательств </w:t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 настоящему Контракту либо до его расторжения.</w:t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Любые изменения, дополнения и приложения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у, выполненные в письменной форме и подписанные каждой из Сторон, являются его неотъемлемой частью.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 Изменение условий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Расторжение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в соответствии с гражданским законодательством РФ, в порядке, предусмотренном ч.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23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ст. 95 Федерального закона от 05.04.2013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 44-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Заключительные условия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Стороны не несут ответственности, предусмотренной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а, если невозможность выполнения ими своих обязательств наступила в силу форс-мажорных обстоятельств.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составлен в двух экземплярах, каждый из которых имеет одинаковую юридическую силу.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Неотъемлемой частью настоящего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 являются следующие приложения: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(Приложение № 1);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пецификация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(Приложение № 2)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8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708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Юридические адреса и банковские реквизиты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70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>
        <w:tblPrEx/>
        <w:trPr>
          <w:trHeight w:val="2336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Северное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163069, Россия, Архангельская обл., г. Архангельск, пр-кт. Троицкий, д.14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Юридический адрес: 163000, Архангельская обл., г. Архангельск, пр-кт Троицкий, д. 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ИНН: 2901127831; КПП: 290101001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 03211643000000013244 в ОКЦ № 1 ВВГУ Банка России//УФК по Нижегородской области, г. Нижний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банковского счета, входящего в состав ЕКС: 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Лицевой счет 03241780320 в УФК по Архангельской области и Ненецкому автономному округу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012202102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Электронный адрес: rpn29@rpn.gov.ru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Контактный телефон: 8182288851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cantSplit/>
          <w:trHeight w:val="1509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/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br w:type="page" w:clear="all"/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</w:t>
      </w:r>
      <w:r>
        <w:rPr>
          <w:rFonts w:ascii="Times New Roman" w:hAnsi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и ремонту </w:t>
      </w:r>
      <w:r>
        <w:rPr>
          <w:rFonts w:ascii="Times New Roman" w:hAnsi="Times New Roman" w:cs="Times New Roman"/>
          <w:b/>
          <w:sz w:val="24"/>
          <w:szCs w:val="24"/>
        </w:rPr>
        <w:t xml:space="preserve">МФУ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709"/>
        <w:spacing w:after="0" w:line="240" w:lineRule="auto"/>
        <w:widowControl w:val="off"/>
        <w:tabs>
          <w:tab w:val="left" w:pos="0" w:leader="none"/>
          <w:tab w:val="left" w:pos="709" w:leader="none"/>
        </w:tabs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1. Общие сведения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Услуги п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техническому обслуживанию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ремонту МФУ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нужд Северного межрегионального управления Росприроднадзора.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 Порядок, условия и место оказания 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оказывает услуги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течение 7 (семи) рабочих дней со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дня направления Заказчиком заявки на оказание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техническому обслуживанию и ремонту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МФУ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одача заявки осуществляется по электронной почте или по телефону.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течение 2 (двух) рабочих дней,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 дня направления Заказчиком заявки,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получает МФУ, подлежащие техническому обслуживанию и ремонту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адресу Заказчика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Доставка МФУ после технического обслуживания и ремонта осуществляется по месту нахождения Заказчика: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163000, Российская Федерация, Архангельская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область, город Арханг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ельск, пр-т Троицкий, дом 14, с 09-00 до 16-00 в рабочие дни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(обед с 13.00 до 14.00).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обслуживание МФУ включает в себя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диагностику состояния аппарата, очистку оптической системы аппарата: зеркал, линз, датчиков и т.п., очистку блока подачи и транспорта бумаги; очистку роликов регистрации бумаги, очистку и смазку шестерен передаточного механизма, очистку бункеров отработ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анного тонера и проверку картриджей и драм юнитов, очистку лотков для бумаги и внешних панелей аппарата, очистку прижимного и тефлонового валов, лапок отделения копира или узла термозакрепления, тестирование аппарата, настройку необходимых параметров после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проведения техобслуживания, обновление программного обеспечения при необходимости.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Ремонт МФУ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комплекс работ по устранению отказов, неисправно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стей или отклонений в работе Оборудования и приведение его в работоспособное состояние с заменой запасных деталей, узлов и комплектующих.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 Наименование 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tbl>
      <w:tblPr>
        <w:tblStyle w:val="877"/>
        <w:tblW w:w="0" w:type="auto"/>
        <w:tblInd w:w="108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06"/>
        <w:gridCol w:w="4114"/>
        <w:gridCol w:w="1559"/>
        <w:gridCol w:w="2126"/>
      </w:tblGrid>
      <w:tr>
        <w:tblPrEx/>
        <w:trPr>
          <w:trHeight w:val="29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Calibri" w:hAnsi="Calibri" w:eastAsia="Calibri" w:cs="Calibri"/>
                <w:color w:val="000000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</w:t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Calibri" w:hAnsi="Calibri" w:eastAsia="Calibri" w:cs="Calibri"/>
                <w:color w:val="000000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оборудования </w:t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vMerge w:val="restart"/>
            <w:textDirection w:val="lrTb"/>
            <w:noWrap w:val="false"/>
          </w:tcPr>
          <w:p>
            <w:pPr>
              <w:ind w:left="145"/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Calibri" w:hAnsi="Calibri" w:eastAsia="Calibri" w:cs="Calibri"/>
                <w:color w:val="000000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right="140"/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МФУ Xerox B215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Техническое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Ремонт узла захвата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Ремонт узла термозакрепления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Ремонт модуля сканирования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Ремонт платы форматирования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Ремонт драм-картриджа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Замена ролика захвата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Замена тормозной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Замена тефлонового вала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Замена резинового вала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46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Замена комплекта подшипников тефлонового вала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3"/>
              </w:rPr>
            </w:r>
            <w:r>
              <w:rPr>
                <w:rFonts w:ascii="Times New Roman" w:hAnsi="Times New Roman" w:cs="Times New Roman"/>
                <w:sz w:val="23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Диагностика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усл.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ребования по сроку гарантий качества на результаты оказанных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гарантирует качество услуг: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Calibri" w:hAnsi="Calibri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для заменяемых запасных частей в течение 6 (Шести) месяцев с даты подписания Заказч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иком документов о приемке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Calibri" w:hAnsi="Calibri" w:eastAsia="Times New Roman" w:cs="Times New Roman"/>
          <w:sz w:val="24"/>
          <w:szCs w:val="24"/>
        </w:rPr>
      </w:r>
      <w:r>
        <w:rPr>
          <w:rFonts w:ascii="Calibri" w:hAnsi="Calibri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в период гарантийного срока обнаружатся недостатки или дефекты (скрытые недостатки или дефекты), то Исполнитель (в случае если не докажет отсутствие своей вины)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или дефектов.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cantSplit/>
          <w:trHeight w:val="154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Приложение № 2 к Контракту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«___»_____________20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tbl>
      <w:tblPr>
        <w:tblW w:w="9919" w:type="dxa"/>
        <w:jc w:val="center"/>
        <w:tblInd w:w="-1068" w:type="dxa"/>
        <w:tblLayout w:type="fixed"/>
        <w:tblLook w:val="04A0" w:firstRow="1" w:lastRow="0" w:firstColumn="1" w:lastColumn="0" w:noHBand="0" w:noVBand="1"/>
      </w:tblPr>
      <w:tblGrid>
        <w:gridCol w:w="942"/>
        <w:gridCol w:w="5637"/>
        <w:gridCol w:w="1128"/>
        <w:gridCol w:w="2213"/>
      </w:tblGrid>
      <w:tr>
        <w:tblPrEx/>
        <w:trPr>
          <w:jc w:val="center"/>
          <w:trHeight w:val="1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vAlign w:val="center"/>
            <w:textDirection w:val="lrTb"/>
            <w:noWrap w:val="false"/>
          </w:tcPr>
          <w:p>
            <w:pPr>
              <w:ind w:left="145"/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58575c"/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Calibri" w:hAnsi="Calibri" w:eastAsia="Calibri" w:cs="Calibri"/>
                <w:color w:val="000000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12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Цена за единицу услуги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6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Техническое обслуживание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spacing w:after="153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Ремонт узла захвата бумаги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Ремонт узла термозакрепления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Ремонт модуля сканирования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Ремонт платы форматирования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Ремонт драм-картриджа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Замена ролика захвата бумаги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Замена тормозной площадки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 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Замена тефлонового вала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Замена резинового вала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Замена комплекта подшипников тефлонового вала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Диагностика МФУ Xerox B215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усл.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widowControl w:val="off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Максимальное значение цены Контракта составляет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30 416 (Тридцать тысяч четыреста шестнадцать) рублей 67 копеек,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(_________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НДС не облагается.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jc w:val="both"/>
        <w:widowControl w:val="off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умма цен единиц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услуг составляет 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(_________) руб. 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копеек,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(_________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НДС не облагается.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750"/>
        <w:gridCol w:w="5173"/>
      </w:tblGrid>
      <w:tr>
        <w:tblPrEx/>
        <w:trPr>
          <w:trHeight w:val="2108"/>
        </w:trPr>
        <w:tc>
          <w:tcPr>
            <w:tcW w:w="4750" w:type="dxa"/>
            <w:textDirection w:val="lrTb"/>
            <w:noWrap w:val="false"/>
          </w:tcPr>
          <w:p>
            <w:pPr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 / 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1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07" w:right="566" w:bottom="426" w:left="1276" w:header="426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00603000000000000"/>
  </w:font>
  <w:font w:name="Calibri">
    <w:panose1 w:val="020F0502020204030204"/>
  </w:font>
  <w:font w:name="Times New Roman">
    <w:panose1 w:val="02020603050405020304"/>
  </w:font>
  <w:font w:name="Droid Sans Fallback">
    <w:panose1 w:val="020B0502000000000001"/>
  </w:font>
  <w:font w:name="Liberation Serif">
    <w:panose1 w:val="02020603050405020304"/>
  </w:font>
  <w:font w:name="Lucida Sans Unicode">
    <w:panose1 w:val="020B0604030504040204"/>
  </w:font>
  <w:font w:name="PT Serif">
    <w:panose1 w:val="020A0603040505020204"/>
  </w:font>
  <w:font w:name="Courier New">
    <w:panose1 w:val="02070309020205020404"/>
  </w:font>
  <w:font w:name="Mangal">
    <w:panose1 w:val="02040503050406030204"/>
  </w:font>
  <w:font w:name="Andale Sans UI">
    <w:panose1 w:val="02000603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3756657"/>
      <w:docPartObj>
        <w:docPartGallery w:val="Page Numbers (Top of Page)"/>
        <w:docPartUnique w:val="true"/>
      </w:docPartObj>
      <w:rPr/>
    </w:sdtPr>
    <w:sdtContent>
      <w:p>
        <w:pPr>
          <w:pStyle w:val="882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8" w:hanging="360"/>
        <w:tabs>
          <w:tab w:val="num" w:pos="9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02" w:hanging="360"/>
        <w:tabs>
          <w:tab w:val="left" w:pos="50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left" w:pos="360" w:leader="none"/>
        </w:tabs>
      </w:pPr>
      <w:rPr>
        <w:rFonts w:hint="default"/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40" w:hanging="720"/>
        <w:tabs>
          <w:tab w:val="left" w:pos="7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50" w:hanging="720"/>
        <w:tabs>
          <w:tab w:val="left" w:pos="75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0" w:hanging="1080"/>
        <w:tabs>
          <w:tab w:val="left" w:pos="11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0" w:hanging="1080"/>
        <w:tabs>
          <w:tab w:val="left" w:pos="113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500" w:hanging="1440"/>
        <w:tabs>
          <w:tab w:val="left" w:pos="15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10" w:hanging="1440"/>
        <w:tabs>
          <w:tab w:val="left" w:pos="151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80" w:hanging="1800"/>
        <w:tabs>
          <w:tab w:val="left" w:pos="188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66"/>
    <w:next w:val="866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1 Char"/>
    <w:basedOn w:val="867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66"/>
    <w:next w:val="866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basedOn w:val="867"/>
    <w:link w:val="697"/>
    <w:uiPriority w:val="9"/>
    <w:rPr>
      <w:rFonts w:ascii="Liberation Sans" w:hAnsi="Liberation Sans" w:eastAsia="Liberation Sans" w:cs="Liberation Sans"/>
      <w:sz w:val="34"/>
    </w:rPr>
  </w:style>
  <w:style w:type="paragraph" w:styleId="699">
    <w:name w:val="Heading 3"/>
    <w:basedOn w:val="866"/>
    <w:next w:val="866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3 Char"/>
    <w:basedOn w:val="867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1">
    <w:name w:val="Heading 4"/>
    <w:basedOn w:val="866"/>
    <w:next w:val="86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4 Char"/>
    <w:basedOn w:val="867"/>
    <w:link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866"/>
    <w:next w:val="866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>
    <w:name w:val="Heading 5 Char"/>
    <w:basedOn w:val="867"/>
    <w:link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66"/>
    <w:next w:val="866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basedOn w:val="867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66"/>
    <w:next w:val="866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basedOn w:val="867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66"/>
    <w:next w:val="866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basedOn w:val="867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66"/>
    <w:next w:val="866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basedOn w:val="867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No Spacing"/>
    <w:uiPriority w:val="1"/>
    <w:qFormat/>
    <w:pPr>
      <w:spacing w:before="0" w:after="0" w:line="240" w:lineRule="auto"/>
    </w:pPr>
  </w:style>
  <w:style w:type="character" w:styleId="714">
    <w:name w:val="Title Char"/>
    <w:basedOn w:val="867"/>
    <w:link w:val="870"/>
    <w:uiPriority w:val="10"/>
    <w:rPr>
      <w:sz w:val="48"/>
      <w:szCs w:val="48"/>
    </w:rPr>
  </w:style>
  <w:style w:type="paragraph" w:styleId="715">
    <w:name w:val="Subtitle"/>
    <w:basedOn w:val="866"/>
    <w:next w:val="866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67"/>
    <w:link w:val="715"/>
    <w:uiPriority w:val="11"/>
    <w:rPr>
      <w:sz w:val="24"/>
      <w:szCs w:val="24"/>
    </w:rPr>
  </w:style>
  <w:style w:type="paragraph" w:styleId="717">
    <w:name w:val="Quote"/>
    <w:basedOn w:val="866"/>
    <w:next w:val="866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6"/>
    <w:next w:val="866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67"/>
    <w:link w:val="882"/>
    <w:uiPriority w:val="99"/>
  </w:style>
  <w:style w:type="character" w:styleId="722">
    <w:name w:val="Footer Char"/>
    <w:basedOn w:val="867"/>
    <w:link w:val="884"/>
    <w:uiPriority w:val="99"/>
  </w:style>
  <w:style w:type="paragraph" w:styleId="723">
    <w:name w:val="Caption"/>
    <w:basedOn w:val="866"/>
    <w:next w:val="866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67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 Light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7">
    <w:name w:val="Plain Table 2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2">
    <w:name w:val="Grid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4">
    <w:name w:val="List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9">
    <w:name w:val="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character" w:styleId="851">
    <w:name w:val="Footnote Text Char"/>
    <w:link w:val="878"/>
    <w:uiPriority w:val="99"/>
    <w:rPr>
      <w:sz w:val="18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7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character" w:styleId="867" w:default="1">
    <w:name w:val="Default Paragraph Font"/>
    <w:uiPriority w:val="1"/>
    <w:semiHidden/>
    <w:unhideWhenUsed/>
  </w:style>
  <w:style w:type="table" w:styleId="86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9" w:default="1">
    <w:name w:val="No List"/>
    <w:uiPriority w:val="99"/>
    <w:semiHidden/>
    <w:unhideWhenUsed/>
  </w:style>
  <w:style w:type="paragraph" w:styleId="870">
    <w:name w:val="Title"/>
    <w:basedOn w:val="866"/>
    <w:next w:val="866"/>
    <w:link w:val="871"/>
    <w:qFormat/>
    <w:pPr>
      <w:keepNext/>
      <w:spacing w:before="240" w:after="120" w:line="240" w:lineRule="auto"/>
      <w:widowControl w:val="off"/>
    </w:pPr>
    <w:rPr>
      <w:rFonts w:ascii="Arial" w:hAnsi="Arial" w:eastAsia="Andale Sans UI" w:cs="Tahoma"/>
      <w:sz w:val="28"/>
      <w:szCs w:val="28"/>
      <w:lang w:eastAsia="hi-IN" w:bidi="hi-IN"/>
    </w:rPr>
  </w:style>
  <w:style w:type="character" w:styleId="871" w:customStyle="1">
    <w:name w:val="Название Знак"/>
    <w:basedOn w:val="867"/>
    <w:link w:val="870"/>
    <w:rPr>
      <w:rFonts w:ascii="Arial" w:hAnsi="Arial" w:eastAsia="Andale Sans UI" w:cs="Tahoma"/>
      <w:sz w:val="28"/>
      <w:szCs w:val="28"/>
      <w:lang w:eastAsia="hi-IN" w:bidi="hi-IN"/>
    </w:rPr>
  </w:style>
  <w:style w:type="paragraph" w:styleId="872" w:customStyle="1">
    <w:name w:val="Название объекта1"/>
    <w:basedOn w:val="866"/>
    <w:next w:val="866"/>
    <w:pPr>
      <w:ind w:left="426"/>
      <w:jc w:val="both"/>
      <w:spacing w:after="0" w:line="240" w:lineRule="auto"/>
      <w:widowControl w:val="off"/>
    </w:pPr>
    <w:rPr>
      <w:rFonts w:ascii="Arial" w:hAnsi="Arial" w:eastAsia="Lucida Sans Unicode" w:cs="Mangal"/>
      <w:b/>
      <w:sz w:val="24"/>
      <w:szCs w:val="24"/>
      <w:lang w:eastAsia="hi-IN" w:bidi="hi-IN"/>
    </w:rPr>
  </w:style>
  <w:style w:type="paragraph" w:styleId="873" w:customStyle="1">
    <w:name w:val="Абзац списка1"/>
    <w:uiPriority w:val="99"/>
    <w:pPr>
      <w:ind w:left="720"/>
      <w:spacing w:after="0" w:line="240" w:lineRule="auto"/>
    </w:pPr>
    <w:rPr>
      <w:rFonts w:ascii="Liberation Serif" w:hAnsi="Liberation Serif" w:eastAsia="Droid Sans Fallback" w:cs="Liberation Serif"/>
      <w:sz w:val="20"/>
      <w:szCs w:val="20"/>
      <w:lang w:eastAsia="ar-SA"/>
    </w:rPr>
  </w:style>
  <w:style w:type="paragraph" w:styleId="87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paragraph" w:styleId="875">
    <w:name w:val="List Paragraph"/>
    <w:basedOn w:val="866"/>
    <w:link w:val="876"/>
    <w:uiPriority w:val="34"/>
    <w:qFormat/>
    <w:pPr>
      <w:contextualSpacing/>
      <w:ind w:left="720"/>
    </w:pPr>
    <w:rPr>
      <w:rFonts w:ascii="Calibri" w:hAnsi="Calibri" w:eastAsia="Calibri" w:cs="Times New Roman"/>
      <w:lang w:eastAsia="en-US"/>
    </w:rPr>
  </w:style>
  <w:style w:type="character" w:styleId="876" w:customStyle="1">
    <w:name w:val="Абзац списка Знак"/>
    <w:link w:val="875"/>
    <w:uiPriority w:val="34"/>
    <w:qFormat/>
    <w:rPr>
      <w:rFonts w:ascii="Calibri" w:hAnsi="Calibri" w:eastAsia="Calibri" w:cs="Times New Roman"/>
      <w:lang w:eastAsia="en-US"/>
    </w:rPr>
  </w:style>
  <w:style w:type="table" w:styleId="877">
    <w:name w:val="Table Grid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8">
    <w:name w:val="footnote text"/>
    <w:basedOn w:val="866"/>
    <w:link w:val="87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9" w:customStyle="1">
    <w:name w:val="Текст сноски Знак"/>
    <w:basedOn w:val="867"/>
    <w:link w:val="878"/>
    <w:uiPriority w:val="99"/>
    <w:semiHidden/>
    <w:rPr>
      <w:sz w:val="20"/>
      <w:szCs w:val="20"/>
    </w:rPr>
  </w:style>
  <w:style w:type="character" w:styleId="880">
    <w:name w:val="footnote reference"/>
    <w:basedOn w:val="867"/>
    <w:uiPriority w:val="99"/>
    <w:semiHidden/>
    <w:unhideWhenUsed/>
    <w:rPr>
      <w:vertAlign w:val="superscript"/>
    </w:rPr>
  </w:style>
  <w:style w:type="paragraph" w:styleId="881" w:customStyle="1">
    <w:name w:val="Text body"/>
    <w:basedOn w:val="866"/>
    <w:qFormat/>
    <w:pPr>
      <w:jc w:val="center"/>
      <w:spacing w:after="120" w:line="100" w:lineRule="atLeast"/>
    </w:pPr>
    <w:rPr>
      <w:rFonts w:ascii="Calibri" w:hAnsi="Calibri" w:eastAsia="SimSun" w:cs="Calibri"/>
      <w:lang w:eastAsia="en-US"/>
    </w:rPr>
  </w:style>
  <w:style w:type="paragraph" w:styleId="882">
    <w:name w:val="Header"/>
    <w:basedOn w:val="866"/>
    <w:link w:val="8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3" w:customStyle="1">
    <w:name w:val="Верхний колонтитул Знак"/>
    <w:basedOn w:val="867"/>
    <w:link w:val="882"/>
    <w:uiPriority w:val="99"/>
  </w:style>
  <w:style w:type="paragraph" w:styleId="884">
    <w:name w:val="Footer"/>
    <w:basedOn w:val="866"/>
    <w:link w:val="88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5" w:customStyle="1">
    <w:name w:val="Нижний колонтитул Знак"/>
    <w:basedOn w:val="867"/>
    <w:link w:val="884"/>
    <w:uiPriority w:val="99"/>
    <w:semiHidden/>
  </w:style>
  <w:style w:type="paragraph" w:styleId="886">
    <w:name w:val="Balloon Text"/>
    <w:basedOn w:val="866"/>
    <w:link w:val="88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7" w:customStyle="1">
    <w:name w:val="Текст выноски Знак"/>
    <w:basedOn w:val="867"/>
    <w:link w:val="886"/>
    <w:uiPriority w:val="99"/>
    <w:semiHidden/>
    <w:rPr>
      <w:rFonts w:ascii="Tahoma" w:hAnsi="Tahoma" w:cs="Tahoma"/>
      <w:sz w:val="16"/>
      <w:szCs w:val="16"/>
    </w:rPr>
  </w:style>
  <w:style w:type="paragraph" w:styleId="888" w:customStyle="1">
    <w:name w:val="Без интервала1"/>
    <w:link w:val="83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BC51-AC2B-426E-94B9-52D3197B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gluhareva</dc:creator>
  <cp:lastModifiedBy>valkova.uv</cp:lastModifiedBy>
  <cp:revision>34</cp:revision>
  <dcterms:created xsi:type="dcterms:W3CDTF">2022-04-22T07:41:00Z</dcterms:created>
  <dcterms:modified xsi:type="dcterms:W3CDTF">2026-09-03T06:41:11Z</dcterms:modified>
</cp:coreProperties>
</file>