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ТЕХНИЧЕСКОЕ ЗАДАНИЕ </w:t>
      </w:r>
      <w:r>
        <w:rPr>
          <w:b/>
          <w:sz w:val="28"/>
          <w:szCs w:val="24"/>
        </w:rPr>
      </w:r>
    </w:p>
    <w:p>
      <w:pPr>
        <w:ind w:firstLine="709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на оказание </w:t>
      </w:r>
      <w:r>
        <w:rPr>
          <w:b/>
          <w:sz w:val="28"/>
          <w:szCs w:val="28"/>
        </w:rPr>
        <w:t xml:space="preserve">услуг </w:t>
      </w:r>
      <w:bookmarkStart w:id="0" w:name="_GoBack"/>
      <w:r>
        <w:rPr>
          <w:b/>
          <w:sz w:val="28"/>
          <w:szCs w:val="28"/>
        </w:rPr>
        <w:t xml:space="preserve">федеральной фельдъегерской </w:t>
      </w:r>
      <w:r>
        <w:rPr>
          <w:b/>
          <w:sz w:val="28"/>
          <w:szCs w:val="28"/>
        </w:rPr>
        <w:br/>
        <w:t xml:space="preserve">связи</w:t>
      </w:r>
      <w:bookmarkEnd w:id="0"/>
      <w:r/>
      <w:r>
        <w:rPr>
          <w:b/>
          <w:sz w:val="28"/>
          <w:szCs w:val="24"/>
        </w:rPr>
      </w:r>
    </w:p>
    <w:p>
      <w:pPr>
        <w:jc w:val="both"/>
        <w:tabs>
          <w:tab w:val="left" w:pos="1418" w:leader="none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</w:r>
      <w:r>
        <w:rPr>
          <w:rFonts w:eastAsia="Times New Roman"/>
          <w:sz w:val="28"/>
          <w:szCs w:val="28"/>
        </w:rPr>
      </w:r>
    </w:p>
    <w:p>
      <w:pPr>
        <w:ind w:firstLine="709"/>
        <w:jc w:val="both"/>
        <w:tabs>
          <w:tab w:val="left" w:pos="1418" w:leader="none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Исполнитель оказывает услуги федеральной фельдъегерской </w:t>
      </w:r>
      <w:r>
        <w:rPr>
          <w:rFonts w:eastAsia="Times New Roman"/>
          <w:sz w:val="28"/>
          <w:szCs w:val="28"/>
        </w:rPr>
        <w:br/>
        <w:t xml:space="preserve">связи – осуществляет прием и доставку корреспонденции Заказчика </w:t>
      </w:r>
      <w:r>
        <w:rPr>
          <w:rFonts w:eastAsia="Times New Roman"/>
          <w:sz w:val="28"/>
          <w:szCs w:val="28"/>
        </w:rPr>
        <w:br/>
        <w:t xml:space="preserve">по действующим маршрутам федеральной фельдъегерской связи, а Заказчик обязуется оплатить эти услуги.</w:t>
      </w:r>
      <w:r>
        <w:rPr>
          <w:rFonts w:eastAsia="Times New Roman"/>
          <w:sz w:val="28"/>
          <w:szCs w:val="28"/>
        </w:rPr>
      </w:r>
    </w:p>
    <w:p>
      <w:pPr>
        <w:ind w:firstLine="709"/>
        <w:jc w:val="both"/>
        <w:tabs>
          <w:tab w:val="left" w:pos="0" w:leader="none"/>
        </w:tabs>
        <w:rPr>
          <w:sz w:val="28"/>
          <w:szCs w:val="28"/>
          <w:u w:val="single"/>
        </w:rPr>
      </w:pPr>
      <w:r>
        <w:rPr>
          <w:spacing w:val="-4"/>
          <w:sz w:val="28"/>
          <w:szCs w:val="28"/>
        </w:rPr>
        <w:t xml:space="preserve">Корреспонденция – </w:t>
      </w:r>
      <w:r>
        <w:rPr>
          <w:sz w:val="28"/>
          <w:szCs w:val="28"/>
        </w:rPr>
        <w:t xml:space="preserve">отправления особой важности,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совершенно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секретные, секретные пакетные и грузовые отправления, несекретные пакетные, грузовые отправления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u w:val="single"/>
        </w:rPr>
      </w:r>
    </w:p>
    <w:p>
      <w:pPr>
        <w:ind w:firstLine="709"/>
        <w:jc w:val="both"/>
        <w:tabs>
          <w:tab w:val="left" w:pos="0" w:leader="none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Несекретная ко</w:t>
      </w:r>
      <w:r>
        <w:rPr>
          <w:rFonts w:eastAsia="Times New Roman"/>
          <w:sz w:val="28"/>
          <w:szCs w:val="28"/>
        </w:rPr>
        <w:t xml:space="preserve">рреспонденция принимается только в адрес органов государственной власти Российской Федерации, субъектов Российской Федерации, иных органов согласно перечню, утвержденному Президентом Российской Федерации (Указ Президента Российской Федерации от 10 декабря </w:t>
      </w:r>
      <w:r>
        <w:rPr>
          <w:rFonts w:eastAsia="Times New Roman"/>
          <w:sz w:val="28"/>
          <w:szCs w:val="28"/>
        </w:rPr>
        <w:t xml:space="preserve">2013 г</w:t>
      </w:r>
      <w:r>
        <w:rPr>
          <w:rFonts w:eastAsia="Times New Roman"/>
          <w:sz w:val="28"/>
          <w:szCs w:val="28"/>
        </w:rPr>
        <w:t xml:space="preserve">. № 897), а также территориальных органов федеральных органов исполнительной власти Российской Федерации и их подведомственных организаций, расположенных в городах федерального значения, столицах и административных центрах субъектов Российской Федерации.</w:t>
      </w:r>
      <w:r>
        <w:rPr>
          <w:rFonts w:eastAsia="Times New Roman"/>
          <w:sz w:val="28"/>
          <w:szCs w:val="28"/>
        </w:rPr>
      </w:r>
    </w:p>
    <w:p>
      <w:pPr>
        <w:ind w:firstLine="709"/>
        <w:jc w:val="both"/>
        <w:tabs>
          <w:tab w:val="left" w:pos="1418" w:leader="none"/>
          <w:tab w:val="left" w:pos="1985" w:leader="none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Услуги оказываются</w:t>
      </w:r>
      <w:r>
        <w:rPr>
          <w:rFonts w:eastAsia="Times New Roman"/>
          <w:sz w:val="28"/>
          <w:szCs w:val="28"/>
        </w:rPr>
        <w:t xml:space="preserve"> с </w:t>
      </w:r>
      <w:r>
        <w:rPr>
          <w:rFonts w:eastAsia="Times New Roman"/>
          <w:sz w:val="28"/>
          <w:szCs w:val="28"/>
        </w:rPr>
        <w:t xml:space="preserve">01.07.2026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по 30</w:t>
      </w:r>
      <w:r>
        <w:rPr>
          <w:rFonts w:eastAsia="Times New Roman"/>
          <w:sz w:val="28"/>
          <w:szCs w:val="28"/>
        </w:rPr>
        <w:t xml:space="preserve">.11.</w:t>
      </w:r>
      <w:r>
        <w:rPr>
          <w:rFonts w:eastAsia="Times New Roman"/>
          <w:sz w:val="28"/>
          <w:szCs w:val="28"/>
        </w:rPr>
        <w:t xml:space="preserve">20</w:t>
      </w:r>
      <w:r>
        <w:rPr>
          <w:rFonts w:eastAsia="Times New Roman"/>
          <w:sz w:val="28"/>
          <w:szCs w:val="28"/>
        </w:rPr>
        <w:t xml:space="preserve">2</w:t>
      </w:r>
      <w:r>
        <w:rPr>
          <w:rFonts w:eastAsia="Times New Roman"/>
          <w:sz w:val="28"/>
          <w:szCs w:val="28"/>
        </w:rPr>
        <w:t xml:space="preserve">6</w:t>
      </w:r>
      <w:r>
        <w:rPr>
          <w:rFonts w:eastAsia="Times New Roman"/>
          <w:sz w:val="28"/>
          <w:szCs w:val="28"/>
        </w:rPr>
        <w:t xml:space="preserve">.</w:t>
      </w:r>
      <w:r>
        <w:rPr>
          <w:rFonts w:eastAsia="Times New Roman"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Оплата услуг Исполнителя производится Заказчиком по действующим тарифам на услуги федеральной фельдъегерской связи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</w:p>
    <w:p>
      <w:pPr>
        <w:ind w:firstLine="709"/>
        <w:jc w:val="both"/>
        <w:tabs>
          <w:tab w:val="num" w:pos="127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За оказанные услуги</w:t>
      </w:r>
      <w:r>
        <w:rPr>
          <w:sz w:val="28"/>
          <w:szCs w:val="28"/>
        </w:rPr>
        <w:t xml:space="preserve"> Заказчик оплачивает </w:t>
      </w:r>
      <w:r>
        <w:rPr>
          <w:sz w:val="28"/>
          <w:szCs w:val="28"/>
        </w:rPr>
        <w:t xml:space="preserve">счет в течение </w:t>
      </w:r>
      <w:r>
        <w:rPr>
          <w:sz w:val="28"/>
          <w:szCs w:val="28"/>
        </w:rPr>
        <w:t xml:space="preserve">5</w:t>
      </w:r>
      <w:r>
        <w:rPr>
          <w:sz w:val="28"/>
          <w:szCs w:val="28"/>
        </w:rPr>
        <w:t xml:space="preserve"> (пят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)</w:t>
      </w:r>
      <w:r>
        <w:rPr>
          <w:sz w:val="28"/>
          <w:szCs w:val="28"/>
        </w:rPr>
        <w:t xml:space="preserve"> рабочих дней после </w:t>
      </w:r>
      <w:r>
        <w:rPr>
          <w:sz w:val="28"/>
          <w:szCs w:val="28"/>
        </w:rPr>
        <w:t xml:space="preserve">подписания</w:t>
      </w:r>
      <w:r>
        <w:rPr>
          <w:sz w:val="28"/>
          <w:szCs w:val="28"/>
        </w:rPr>
        <w:t xml:space="preserve"> акта </w:t>
      </w:r>
      <w:r>
        <w:rPr>
          <w:sz w:val="28"/>
          <w:szCs w:val="28"/>
        </w:rPr>
        <w:t xml:space="preserve">об оказании</w:t>
      </w:r>
      <w:r>
        <w:rPr>
          <w:sz w:val="28"/>
          <w:szCs w:val="28"/>
        </w:rPr>
        <w:t xml:space="preserve"> услуг.</w:t>
      </w:r>
      <w:r>
        <w:rPr>
          <w:sz w:val="28"/>
          <w:szCs w:val="28"/>
        </w:rPr>
      </w:r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4.%1."/>
      <w:lvlJc w:val="left"/>
      <w:pPr>
        <w:ind w:left="3052" w:hanging="363"/>
        <w:tabs>
          <w:tab w:val="num" w:pos="3052" w:leader="none"/>
        </w:tabs>
      </w:pPr>
      <w:rPr>
        <w:rFonts w:hint="default"/>
        <w:b/>
      </w:rPr>
    </w:lvl>
    <w:lvl w:ilvl="1">
      <w:start w:val="1"/>
      <w:numFmt w:val="decimal"/>
      <w:isLgl w:val="false"/>
      <w:suff w:val="tab"/>
      <w:lvlText w:val="4.%2."/>
      <w:lvlJc w:val="left"/>
      <w:pPr>
        <w:ind w:left="1443" w:hanging="363"/>
        <w:tabs>
          <w:tab w:val="num" w:pos="1443" w:leader="none"/>
        </w:tabs>
      </w:pPr>
      <w:rPr>
        <w:rFonts w:hint="default"/>
        <w:b w:val="0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35" w:hanging="435"/>
        <w:tabs>
          <w:tab w:val="num" w:pos="435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288" w:hanging="720"/>
        <w:tabs>
          <w:tab w:val="num" w:pos="1288" w:leader="none"/>
        </w:tabs>
      </w:pPr>
      <w:rPr>
        <w:rFonts w:hint="default"/>
        <w:i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880" w:hanging="720"/>
        <w:tabs>
          <w:tab w:val="num" w:pos="288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4320" w:hanging="1080"/>
        <w:tabs>
          <w:tab w:val="num" w:pos="432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5400" w:hanging="1080"/>
        <w:tabs>
          <w:tab w:val="num" w:pos="540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6840" w:hanging="1440"/>
        <w:tabs>
          <w:tab w:val="num" w:pos="68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8280" w:hanging="1800"/>
        <w:tabs>
          <w:tab w:val="num" w:pos="828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360" w:hanging="1800"/>
        <w:tabs>
          <w:tab w:val="num" w:pos="936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800" w:hanging="2160"/>
        <w:tabs>
          <w:tab w:val="num" w:pos="10800" w:leader="none"/>
        </w:tabs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1.1.%1."/>
      <w:lvlJc w:val="left"/>
      <w:pPr>
        <w:ind w:left="1429" w:hanging="360"/>
      </w:pPr>
      <w:rPr>
        <w:rFonts w:hint="default" w:ascii="Times New Roman" w:hAnsi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23"/>
    <w:next w:val="623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24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23"/>
    <w:next w:val="62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24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23"/>
    <w:next w:val="62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24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23"/>
    <w:next w:val="62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24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23"/>
    <w:next w:val="62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24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23"/>
    <w:next w:val="62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24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23"/>
    <w:next w:val="62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24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23"/>
    <w:next w:val="62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24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23"/>
    <w:next w:val="62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24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23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23"/>
    <w:next w:val="62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24"/>
    <w:link w:val="34"/>
    <w:uiPriority w:val="10"/>
    <w:rPr>
      <w:sz w:val="48"/>
      <w:szCs w:val="48"/>
    </w:rPr>
  </w:style>
  <w:style w:type="paragraph" w:styleId="36">
    <w:name w:val="Subtitle"/>
    <w:basedOn w:val="623"/>
    <w:next w:val="62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24"/>
    <w:link w:val="36"/>
    <w:uiPriority w:val="11"/>
    <w:rPr>
      <w:sz w:val="24"/>
      <w:szCs w:val="24"/>
    </w:rPr>
  </w:style>
  <w:style w:type="paragraph" w:styleId="38">
    <w:name w:val="Quote"/>
    <w:basedOn w:val="623"/>
    <w:next w:val="62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23"/>
    <w:next w:val="62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2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24"/>
    <w:link w:val="42"/>
    <w:uiPriority w:val="99"/>
  </w:style>
  <w:style w:type="paragraph" w:styleId="44">
    <w:name w:val="Footer"/>
    <w:basedOn w:val="623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24"/>
    <w:link w:val="44"/>
    <w:uiPriority w:val="99"/>
  </w:style>
  <w:style w:type="paragraph" w:styleId="46">
    <w:name w:val="Caption"/>
    <w:basedOn w:val="623"/>
    <w:next w:val="62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2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2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24"/>
    <w:uiPriority w:val="99"/>
    <w:unhideWhenUsed/>
    <w:rPr>
      <w:vertAlign w:val="superscript"/>
    </w:rPr>
  </w:style>
  <w:style w:type="paragraph" w:styleId="178">
    <w:name w:val="endnote text"/>
    <w:basedOn w:val="62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24"/>
    <w:uiPriority w:val="99"/>
    <w:semiHidden/>
    <w:unhideWhenUsed/>
    <w:rPr>
      <w:vertAlign w:val="superscript"/>
    </w:rPr>
  </w:style>
  <w:style w:type="paragraph" w:styleId="181">
    <w:name w:val="toc 1"/>
    <w:basedOn w:val="623"/>
    <w:next w:val="62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23"/>
    <w:next w:val="62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23"/>
    <w:next w:val="62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23"/>
    <w:next w:val="62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23"/>
    <w:next w:val="62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23"/>
    <w:next w:val="62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23"/>
    <w:next w:val="62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23"/>
    <w:next w:val="62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23"/>
    <w:next w:val="62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23"/>
    <w:next w:val="623"/>
    <w:uiPriority w:val="99"/>
    <w:unhideWhenUsed/>
    <w:pPr>
      <w:spacing w:after="0" w:afterAutospacing="0"/>
    </w:pPr>
  </w:style>
  <w:style w:type="paragraph" w:styleId="623" w:default="1">
    <w:name w:val="Normal"/>
    <w:qFormat/>
    <w:pPr>
      <w:spacing w:after="0" w:line="240" w:lineRule="auto"/>
    </w:pPr>
    <w:rPr>
      <w:rFonts w:ascii="Times New Roman" w:hAnsi="Times New Roman" w:eastAsia="Calibri" w:cs="Times New Roman"/>
      <w:sz w:val="20"/>
      <w:szCs w:val="20"/>
      <w:lang w:eastAsia="ru-RU"/>
    </w:rPr>
  </w:style>
  <w:style w:type="character" w:styleId="624" w:default="1">
    <w:name w:val="Default Paragraph Font"/>
    <w:uiPriority w:val="1"/>
    <w:semiHidden/>
    <w:unhideWhenUsed/>
  </w:style>
  <w:style w:type="table" w:styleId="62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6" w:default="1">
    <w:name w:val="No List"/>
    <w:uiPriority w:val="99"/>
    <w:semiHidden/>
    <w:unhideWhenUsed/>
  </w:style>
  <w:style w:type="paragraph" w:styleId="627">
    <w:name w:val="Balloon Text"/>
    <w:basedOn w:val="623"/>
    <w:link w:val="628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628" w:customStyle="1">
    <w:name w:val="Текст выноски Знак"/>
    <w:basedOn w:val="624"/>
    <w:link w:val="627"/>
    <w:uiPriority w:val="99"/>
    <w:semiHidden/>
    <w:rPr>
      <w:rFonts w:ascii="Segoe UI" w:hAnsi="Segoe UI" w:eastAsia="Calibri" w:cs="Segoe UI"/>
      <w:sz w:val="18"/>
      <w:szCs w:val="18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konovalchik</cp:lastModifiedBy>
  <cp:revision>10</cp:revision>
  <dcterms:created xsi:type="dcterms:W3CDTF">2024-11-14T13:56:00Z</dcterms:created>
  <dcterms:modified xsi:type="dcterms:W3CDTF">2026-08-13T06:37:48Z</dcterms:modified>
</cp:coreProperties>
</file>