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A7" w:rsidRDefault="009D3DA7">
      <w:pPr>
        <w:tabs>
          <w:tab w:val="left" w:pos="563"/>
          <w:tab w:val="right" w:pos="10064"/>
        </w:tabs>
        <w:spacing w:after="0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-245110</wp:posOffset>
            </wp:positionV>
            <wp:extent cx="917575" cy="866775"/>
            <wp:effectExtent l="0" t="0" r="0" b="9525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2ED">
        <w:rPr>
          <w:rFonts w:ascii="Liberation Sans" w:hAnsi="Liberation Sans" w:cs="Liberation Sans"/>
        </w:rPr>
        <w:t xml:space="preserve">                           </w:t>
      </w:r>
    </w:p>
    <w:p w:rsidR="009D3DA7" w:rsidRDefault="009D3DA7">
      <w:pPr>
        <w:tabs>
          <w:tab w:val="left" w:pos="563"/>
          <w:tab w:val="right" w:pos="10064"/>
        </w:tabs>
        <w:spacing w:after="0"/>
        <w:rPr>
          <w:rFonts w:ascii="Liberation Sans" w:hAnsi="Liberation Sans" w:cs="Liberation Sans"/>
        </w:rPr>
      </w:pPr>
    </w:p>
    <w:p w:rsidR="009D3DA7" w:rsidRDefault="009D3DA7">
      <w:pPr>
        <w:tabs>
          <w:tab w:val="left" w:pos="563"/>
          <w:tab w:val="right" w:pos="10064"/>
        </w:tabs>
        <w:spacing w:after="0"/>
        <w:rPr>
          <w:rFonts w:ascii="Liberation Sans" w:hAnsi="Liberation Sans" w:cs="Liberation Sans"/>
        </w:rPr>
      </w:pPr>
    </w:p>
    <w:p w:rsidR="009D3DA7" w:rsidRDefault="009D3DA7">
      <w:pPr>
        <w:tabs>
          <w:tab w:val="left" w:pos="563"/>
          <w:tab w:val="right" w:pos="10064"/>
        </w:tabs>
        <w:spacing w:after="0"/>
        <w:rPr>
          <w:rFonts w:ascii="Liberation Sans" w:hAnsi="Liberation Sans" w:cs="Liberation Sans"/>
        </w:rPr>
      </w:pPr>
    </w:p>
    <w:p w:rsidR="009D3DA7" w:rsidRPr="009D3DA7" w:rsidRDefault="009D3DA7" w:rsidP="009D3DA7">
      <w:pPr>
        <w:spacing w:after="0" w:line="240" w:lineRule="auto"/>
        <w:ind w:right="34"/>
        <w:jc w:val="center"/>
        <w:rPr>
          <w:rFonts w:ascii="Times New Roman" w:hAnsi="Times New Roman" w:cs="Times New Roman"/>
        </w:rPr>
      </w:pPr>
      <w:r w:rsidRPr="009D3DA7">
        <w:rPr>
          <w:rFonts w:ascii="Times New Roman" w:hAnsi="Times New Roman" w:cs="Times New Roman"/>
        </w:rPr>
        <w:t>Тюменская больница Федерального государственного бюджетного учреждения здравоохранения</w:t>
      </w:r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</w:rPr>
      </w:pPr>
      <w:r w:rsidRPr="009D3DA7">
        <w:rPr>
          <w:rFonts w:ascii="Times New Roman" w:hAnsi="Times New Roman" w:cs="Times New Roman"/>
          <w:b/>
          <w:bCs/>
        </w:rPr>
        <w:t>Западно-Сибирский медицинский центр</w:t>
      </w:r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bCs/>
        </w:rPr>
      </w:pPr>
      <w:r w:rsidRPr="009D3DA7">
        <w:rPr>
          <w:rFonts w:ascii="Times New Roman" w:hAnsi="Times New Roman" w:cs="Times New Roman"/>
          <w:b/>
          <w:bCs/>
        </w:rPr>
        <w:t>Федерального медико-биологического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9D3DA7">
        <w:rPr>
          <w:rFonts w:ascii="Times New Roman" w:hAnsi="Times New Roman" w:cs="Times New Roman"/>
          <w:b/>
          <w:bCs/>
        </w:rPr>
        <w:t>Агентства</w:t>
      </w:r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bCs/>
        </w:rPr>
      </w:pPr>
      <w:r w:rsidRPr="009D3DA7">
        <w:rPr>
          <w:rFonts w:ascii="Times New Roman" w:hAnsi="Times New Roman" w:cs="Times New Roman"/>
          <w:b/>
          <w:bCs/>
        </w:rPr>
        <w:t>Тюменская больница ФГБУЗ ЗСМЦ ФМБА России</w:t>
      </w:r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</w:rPr>
      </w:pPr>
      <w:r w:rsidRPr="009D3DA7">
        <w:rPr>
          <w:rFonts w:ascii="Times New Roman" w:hAnsi="Times New Roman" w:cs="Times New Roman"/>
        </w:rPr>
        <w:t>Беляева, ул., д. 1, Тюмень, 625015</w:t>
      </w:r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</w:rPr>
      </w:pPr>
      <w:r w:rsidRPr="009D3DA7">
        <w:rPr>
          <w:rFonts w:ascii="Times New Roman" w:hAnsi="Times New Roman" w:cs="Times New Roman"/>
        </w:rPr>
        <w:t>Тел.: 8 (3452) 45-94-61,</w:t>
      </w:r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  <w:lang w:val="en-US"/>
        </w:rPr>
      </w:pPr>
      <w:r w:rsidRPr="009D3DA7">
        <w:rPr>
          <w:rFonts w:ascii="Times New Roman" w:hAnsi="Times New Roman" w:cs="Times New Roman"/>
          <w:lang w:val="en-US"/>
        </w:rPr>
        <w:t xml:space="preserve">E-mail </w:t>
      </w:r>
      <w:hyperlink r:id="rId8" w:history="1">
        <w:r w:rsidRPr="009D3DA7">
          <w:rPr>
            <w:rStyle w:val="af1"/>
            <w:rFonts w:ascii="Times New Roman" w:hAnsi="Times New Roman" w:cs="Times New Roman"/>
            <w:lang w:val="en-US"/>
          </w:rPr>
          <w:t>info-zsmc@yandex.ru</w:t>
        </w:r>
      </w:hyperlink>
    </w:p>
    <w:p w:rsidR="009D3DA7" w:rsidRPr="009D3DA7" w:rsidRDefault="009D3DA7" w:rsidP="009D3DA7">
      <w:pPr>
        <w:spacing w:after="0" w:line="240" w:lineRule="auto"/>
        <w:ind w:right="-55"/>
        <w:jc w:val="center"/>
        <w:rPr>
          <w:rFonts w:ascii="Times New Roman" w:hAnsi="Times New Roman" w:cs="Times New Roman"/>
        </w:rPr>
      </w:pPr>
      <w:r w:rsidRPr="009D3DA7">
        <w:rPr>
          <w:rFonts w:ascii="Times New Roman" w:hAnsi="Times New Roman" w:cs="Times New Roman"/>
        </w:rPr>
        <w:t>ОКПО 39341680 / ОГРН 1025500510826</w:t>
      </w:r>
    </w:p>
    <w:p w:rsidR="009D3DA7" w:rsidRPr="009D3DA7" w:rsidRDefault="009D3DA7" w:rsidP="009D3DA7">
      <w:pPr>
        <w:tabs>
          <w:tab w:val="left" w:pos="563"/>
          <w:tab w:val="right" w:pos="1006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D3DA7">
        <w:rPr>
          <w:rFonts w:ascii="Times New Roman" w:hAnsi="Times New Roman" w:cs="Times New Roman"/>
        </w:rPr>
        <w:t>ИНН 5502018378</w:t>
      </w:r>
    </w:p>
    <w:p w:rsidR="00A56283" w:rsidRDefault="00A56283">
      <w:pPr>
        <w:spacing w:after="0"/>
        <w:jc w:val="both"/>
        <w:rPr>
          <w:rFonts w:ascii="Liberation Serif" w:hAnsi="Liberation Serif" w:cs="Liberation Serif"/>
          <w:sz w:val="20"/>
          <w:szCs w:val="24"/>
          <w:u w:val="single"/>
        </w:rPr>
      </w:pPr>
    </w:p>
    <w:p w:rsidR="00A56283" w:rsidRDefault="002D62ED">
      <w:pPr>
        <w:tabs>
          <w:tab w:val="left" w:pos="3650"/>
          <w:tab w:val="center" w:pos="5031"/>
        </w:tabs>
        <w:spacing w:after="0" w:line="240" w:lineRule="auto"/>
        <w:contextualSpacing/>
        <w:jc w:val="center"/>
        <w:rPr>
          <w:rStyle w:val="FontStyle14"/>
          <w:rFonts w:ascii="Liberation Serif" w:hAnsi="Liberation Serif" w:cs="Liberation Serif"/>
          <w:sz w:val="24"/>
          <w:szCs w:val="24"/>
        </w:rPr>
      </w:pPr>
      <w:r>
        <w:rPr>
          <w:rStyle w:val="FontStyle14"/>
          <w:rFonts w:ascii="Liberation Serif" w:hAnsi="Liberation Serif" w:cs="Liberation Serif"/>
          <w:sz w:val="24"/>
          <w:szCs w:val="24"/>
        </w:rPr>
        <w:t>Обоснование начальной (максимальной) цены контракта</w:t>
      </w:r>
    </w:p>
    <w:p w:rsidR="00D45F6D" w:rsidRPr="00DE1496" w:rsidRDefault="00E659D0" w:rsidP="00DE1496">
      <w:pPr>
        <w:spacing w:after="0" w:line="240" w:lineRule="auto"/>
        <w:ind w:right="34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на </w:t>
      </w:r>
      <w:r w:rsidR="00DE1496" w:rsidRPr="00DE1496">
        <w:rPr>
          <w:rFonts w:ascii="PT Astra Serif" w:hAnsi="PT Astra Serif"/>
          <w:b/>
        </w:rPr>
        <w:t>поставку лекарственных препаратов для медицинского применения</w:t>
      </w:r>
    </w:p>
    <w:p w:rsidR="00DE1496" w:rsidRPr="00D45F6D" w:rsidRDefault="00DE1496" w:rsidP="00DE1496">
      <w:pPr>
        <w:spacing w:after="0" w:line="240" w:lineRule="auto"/>
        <w:ind w:right="34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3522"/>
        <w:gridCol w:w="3532"/>
        <w:gridCol w:w="3686"/>
      </w:tblGrid>
      <w:tr w:rsidR="00A56283" w:rsidRPr="00EA4769" w:rsidTr="0096486D">
        <w:trPr>
          <w:trHeight w:val="809"/>
        </w:trPr>
        <w:tc>
          <w:tcPr>
            <w:tcW w:w="7054" w:type="dxa"/>
            <w:gridSpan w:val="2"/>
          </w:tcPr>
          <w:p w:rsidR="00A56283" w:rsidRPr="00EA4769" w:rsidRDefault="002D62ED">
            <w:pPr>
              <w:pStyle w:val="Style1"/>
              <w:spacing w:line="240" w:lineRule="auto"/>
              <w:rPr>
                <w:rStyle w:val="FontStyle14"/>
                <w:color w:val="000000" w:themeColor="text1"/>
              </w:rPr>
            </w:pPr>
            <w:r w:rsidRPr="00EA4769">
              <w:rPr>
                <w:rStyle w:val="FontStyle14"/>
                <w:color w:val="000000" w:themeColor="text1"/>
              </w:rPr>
              <w:t>Обоснование невозможности или нецелесообразности использования методов для расчета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3686" w:type="dxa"/>
          </w:tcPr>
          <w:p w:rsidR="00A56283" w:rsidRPr="00EA4769" w:rsidRDefault="002D62ED">
            <w:pPr>
              <w:pStyle w:val="Style1"/>
              <w:spacing w:line="240" w:lineRule="auto"/>
              <w:rPr>
                <w:rStyle w:val="FontStyle14"/>
                <w:color w:val="000000" w:themeColor="text1"/>
              </w:rPr>
            </w:pPr>
            <w:r w:rsidRPr="00EA4769">
              <w:rPr>
                <w:rStyle w:val="FontStyle14"/>
                <w:color w:val="000000" w:themeColor="text1"/>
              </w:rPr>
              <w:t>Обоснование цены контракта</w:t>
            </w:r>
          </w:p>
        </w:tc>
      </w:tr>
      <w:tr w:rsidR="00A56283" w:rsidRPr="00EA4769" w:rsidTr="0096486D">
        <w:trPr>
          <w:trHeight w:val="551"/>
        </w:trPr>
        <w:tc>
          <w:tcPr>
            <w:tcW w:w="7054" w:type="dxa"/>
            <w:gridSpan w:val="2"/>
          </w:tcPr>
          <w:p w:rsidR="00A56283" w:rsidRPr="00EA4769" w:rsidRDefault="002D62ED" w:rsidP="00E659D0">
            <w:pPr>
              <w:spacing w:after="0" w:line="240" w:lineRule="auto"/>
              <w:ind w:right="34"/>
              <w:jc w:val="both"/>
              <w:rPr>
                <w:rStyle w:val="FontStyle14"/>
                <w:rFonts w:eastAsia="Times New Roman"/>
                <w:kern w:val="2"/>
                <w:lang w:eastAsia="zh-CN"/>
              </w:rPr>
            </w:pP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Метод сопоставимых рыночных цен. Учреждением направлены запросы коммерческого предложения </w:t>
            </w:r>
            <w:r w:rsidR="007425B7">
              <w:rPr>
                <w:rFonts w:ascii="PT Astra Serif" w:hAnsi="PT Astra Serif"/>
                <w:b/>
              </w:rPr>
              <w:t xml:space="preserve">на </w:t>
            </w:r>
            <w:r w:rsidR="007425B7" w:rsidRPr="00DE1496">
              <w:rPr>
                <w:rFonts w:ascii="PT Astra Serif" w:hAnsi="PT Astra Serif"/>
                <w:b/>
              </w:rPr>
              <w:t>поставку лекарственных препаратов для медицинского применения</w:t>
            </w:r>
            <w:r w:rsidR="00D45F6D" w:rsidRPr="00EA4769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.</w:t>
            </w:r>
            <w:r w:rsidRPr="00EA4769">
              <w:rPr>
                <w:rStyle w:val="FontStyle15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В ответ были получены </w:t>
            </w:r>
            <w:r w:rsidR="00800DD6" w:rsidRPr="00EA4769">
              <w:rPr>
                <w:rStyle w:val="FontStyle15"/>
                <w:color w:val="000000" w:themeColor="text1"/>
                <w:sz w:val="22"/>
                <w:szCs w:val="22"/>
              </w:rPr>
              <w:t>1</w:t>
            </w: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>коммерческ</w:t>
            </w:r>
            <w:r w:rsidR="00800DD6" w:rsidRPr="00EA4769">
              <w:rPr>
                <w:rStyle w:val="FontStyle15"/>
                <w:color w:val="000000" w:themeColor="text1"/>
                <w:sz w:val="22"/>
                <w:szCs w:val="22"/>
              </w:rPr>
              <w:t>ое</w:t>
            </w:r>
            <w:proofErr w:type="gramEnd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предложения от </w:t>
            </w:r>
            <w:r w:rsidR="001D1D7B" w:rsidRPr="001D1D7B">
              <w:rPr>
                <w:rStyle w:val="FontStyle15"/>
                <w:color w:val="000000" w:themeColor="text1"/>
                <w:sz w:val="22"/>
                <w:szCs w:val="22"/>
              </w:rPr>
              <w:t>Поставщика</w:t>
            </w: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>. Следовательно, применение данного метода невозможно.</w:t>
            </w:r>
          </w:p>
        </w:tc>
        <w:tc>
          <w:tcPr>
            <w:tcW w:w="3686" w:type="dxa"/>
            <w:vMerge w:val="restart"/>
          </w:tcPr>
          <w:p w:rsidR="00A56283" w:rsidRPr="00EA4769" w:rsidRDefault="00A56283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A56283" w:rsidRPr="00EA4769" w:rsidRDefault="00A56283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A56283" w:rsidRDefault="00A56283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8C372B" w:rsidRPr="00EA4769" w:rsidRDefault="008C372B">
            <w:pPr>
              <w:widowControl w:val="0"/>
              <w:spacing w:after="0" w:line="240" w:lineRule="auto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A56283" w:rsidRPr="00EA4769" w:rsidRDefault="002D62ED" w:rsidP="00163381">
            <w:pPr>
              <w:widowControl w:val="0"/>
              <w:spacing w:after="0" w:line="240" w:lineRule="auto"/>
              <w:jc w:val="both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  <w:r w:rsidRPr="00EA4769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>Расчет произведен иным методом.</w:t>
            </w:r>
          </w:p>
          <w:p w:rsidR="00A56283" w:rsidRPr="00EA4769" w:rsidRDefault="00A56283" w:rsidP="00163381">
            <w:pPr>
              <w:widowControl w:val="0"/>
              <w:spacing w:after="0" w:line="240" w:lineRule="auto"/>
              <w:jc w:val="both"/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</w:pPr>
          </w:p>
          <w:p w:rsidR="00A56283" w:rsidRPr="00EA4769" w:rsidRDefault="00D45F6D" w:rsidP="00163381">
            <w:pPr>
              <w:widowControl w:val="0"/>
              <w:spacing w:after="0" w:line="240" w:lineRule="auto"/>
              <w:jc w:val="both"/>
              <w:rPr>
                <w:rStyle w:val="FontStyle15"/>
                <w:rFonts w:eastAsia="Times New Roman"/>
                <w:b/>
                <w:bCs/>
                <w:kern w:val="2"/>
                <w:sz w:val="22"/>
                <w:szCs w:val="22"/>
                <w:lang w:eastAsia="zh-CN"/>
              </w:rPr>
            </w:pPr>
            <w:r w:rsidRPr="00EA4769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 xml:space="preserve">От </w:t>
            </w:r>
            <w:r w:rsidR="00E93CCC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>ФГБУ</w:t>
            </w:r>
            <w:r w:rsidR="001D1D7B" w:rsidRPr="0035532D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="00E93CCC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>Спецмедснаб</w:t>
            </w:r>
            <w:proofErr w:type="spellEnd"/>
            <w:r w:rsidR="00E93CCC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 xml:space="preserve"> ФМБА России</w:t>
            </w:r>
            <w:r w:rsidR="001D1D7B" w:rsidRPr="0035532D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>»</w:t>
            </w:r>
            <w:r w:rsidRPr="0035532D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00EA4769">
              <w:rPr>
                <w:rStyle w:val="FontStyle15"/>
                <w:rFonts w:eastAsia="Times New Roman"/>
                <w:color w:val="000000" w:themeColor="text1"/>
                <w:sz w:val="22"/>
                <w:szCs w:val="22"/>
              </w:rPr>
              <w:t xml:space="preserve"> получены планово-расчетные цены</w:t>
            </w:r>
            <w:r w:rsidRPr="00EA4769">
              <w:rPr>
                <w:rFonts w:ascii="Times New Roman" w:eastAsia="Times New Roman" w:hAnsi="Times New Roman" w:cs="Times New Roman"/>
                <w:b/>
                <w:bCs/>
                <w:kern w:val="2"/>
                <w:lang w:val="ru" w:eastAsia="zh-CN"/>
              </w:rPr>
              <w:t xml:space="preserve"> </w:t>
            </w:r>
            <w:r w:rsidR="001D1D7B">
              <w:rPr>
                <w:rFonts w:ascii="PT Astra Serif" w:hAnsi="PT Astra Serif"/>
                <w:b/>
              </w:rPr>
              <w:t xml:space="preserve">на </w:t>
            </w:r>
            <w:r w:rsidR="001D1D7B" w:rsidRPr="00DE1496">
              <w:rPr>
                <w:rFonts w:ascii="PT Astra Serif" w:hAnsi="PT Astra Serif"/>
                <w:b/>
              </w:rPr>
              <w:t>поставку лекарственных препаратов для медицинского применения</w:t>
            </w:r>
            <w:r w:rsidRPr="00EA4769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.</w:t>
            </w:r>
            <w:r w:rsidR="001D1D7B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 xml:space="preserve"> </w:t>
            </w:r>
            <w:r w:rsidR="002D62ED" w:rsidRPr="00EA4769">
              <w:rPr>
                <w:rStyle w:val="FontStyle15"/>
                <w:rFonts w:eastAsia="Times New Roman"/>
                <w:sz w:val="22"/>
                <w:szCs w:val="22"/>
              </w:rPr>
              <w:t>Заказчиком было принято решение о применении иного метода определения НМЦК - использовано единственное ценовое предложение.</w:t>
            </w:r>
          </w:p>
          <w:p w:rsidR="00A56283" w:rsidRPr="00EA4769" w:rsidRDefault="00A56283">
            <w:pPr>
              <w:pStyle w:val="Style1"/>
              <w:spacing w:line="240" w:lineRule="auto"/>
              <w:jc w:val="both"/>
              <w:rPr>
                <w:rStyle w:val="FontStyle15"/>
                <w:bCs/>
                <w:color w:val="000000" w:themeColor="text1"/>
                <w:sz w:val="22"/>
                <w:szCs w:val="22"/>
              </w:rPr>
            </w:pPr>
          </w:p>
        </w:tc>
      </w:tr>
      <w:tr w:rsidR="00A56283" w:rsidRPr="00EA4769" w:rsidTr="0096486D">
        <w:trPr>
          <w:trHeight w:val="2396"/>
        </w:trPr>
        <w:tc>
          <w:tcPr>
            <w:tcW w:w="7054" w:type="dxa"/>
            <w:gridSpan w:val="2"/>
          </w:tcPr>
          <w:p w:rsidR="00A56283" w:rsidRPr="00EA4769" w:rsidRDefault="00EA4769" w:rsidP="00EA47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Style w:val="FontStyle14"/>
                <w:bCs w:val="0"/>
              </w:rPr>
            </w:pPr>
            <w:proofErr w:type="gramStart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Нормативный метод </w:t>
            </w:r>
            <w:r w:rsidR="002D62ED" w:rsidRPr="00EA4769">
              <w:rPr>
                <w:rStyle w:val="FontStyle15"/>
                <w:color w:val="000000" w:themeColor="text1"/>
                <w:sz w:val="22"/>
                <w:szCs w:val="22"/>
              </w:rPr>
              <w:t>(ст.22 Федерального Закона № 44-ФЗ от 05.04.2013) заключается в расчете начальной (максимальной) цены контракта, цены контракта, заключаемого с единственным поставщиком (подрядчиком, исполнителем), на основании требований к закупаемым товарам, работам, услугам, установленных в соответствии со ст.19 №44-ФЗ от 05.04.2013 в случае, если такие требования предусматривают установление предельных цен товаров, работ, услуг.</w:t>
            </w:r>
            <w:proofErr w:type="gramEnd"/>
            <w:r w:rsidR="002D62ED"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Правительство РФ не устанавливает общие правила нормирования в сфере закупок </w:t>
            </w:r>
            <w:r w:rsidR="007425B7">
              <w:rPr>
                <w:rFonts w:ascii="PT Astra Serif" w:hAnsi="PT Astra Serif"/>
                <w:b/>
              </w:rPr>
              <w:t xml:space="preserve">на </w:t>
            </w:r>
            <w:r w:rsidR="007425B7" w:rsidRPr="00DE1496">
              <w:rPr>
                <w:rFonts w:ascii="PT Astra Serif" w:hAnsi="PT Astra Serif"/>
                <w:b/>
              </w:rPr>
              <w:t>поставку лекарственных препаратов для медицинского применения</w:t>
            </w:r>
            <w:r w:rsidRPr="00EA4769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.</w:t>
            </w:r>
          </w:p>
        </w:tc>
        <w:tc>
          <w:tcPr>
            <w:tcW w:w="3686" w:type="dxa"/>
            <w:vMerge/>
            <w:tcBorders>
              <w:top w:val="nil"/>
              <w:bottom w:val="nil"/>
            </w:tcBorders>
          </w:tcPr>
          <w:p w:rsidR="00A56283" w:rsidRPr="00EA4769" w:rsidRDefault="00A56283">
            <w:pPr>
              <w:pStyle w:val="Style1"/>
              <w:spacing w:line="240" w:lineRule="auto"/>
              <w:jc w:val="both"/>
              <w:rPr>
                <w:rStyle w:val="FontStyle15"/>
                <w:bCs/>
                <w:color w:val="000000" w:themeColor="text1"/>
                <w:sz w:val="22"/>
                <w:szCs w:val="22"/>
              </w:rPr>
            </w:pPr>
          </w:p>
        </w:tc>
      </w:tr>
      <w:tr w:rsidR="00A56283" w:rsidRPr="00EA4769" w:rsidTr="0096486D">
        <w:trPr>
          <w:trHeight w:val="1136"/>
        </w:trPr>
        <w:tc>
          <w:tcPr>
            <w:tcW w:w="7054" w:type="dxa"/>
            <w:gridSpan w:val="2"/>
          </w:tcPr>
          <w:p w:rsidR="00A56283" w:rsidRPr="00EA4769" w:rsidRDefault="002D62ED" w:rsidP="00EA476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Тарифный метод (ст.22 Федерального Закона № 44-ФЗ от 05.04.2013) применяется заказчиком, если в соответствии с законодательством РФ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актами. </w:t>
            </w:r>
            <w:proofErr w:type="gramStart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>В этом случае начальная (максимальная) цена контракта, цены контракта, заключаемого с единственным поставщиком (подрядчиком, исполнителем), определяются в соответствии с установленным тарифом (ценой) на товары, работы, услуги.</w:t>
            </w:r>
            <w:proofErr w:type="gramEnd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Тариф </w:t>
            </w:r>
            <w:r w:rsidR="001D1D7B">
              <w:rPr>
                <w:rFonts w:ascii="PT Astra Serif" w:hAnsi="PT Astra Serif"/>
                <w:b/>
              </w:rPr>
              <w:t xml:space="preserve">на </w:t>
            </w:r>
            <w:r w:rsidR="001D1D7B" w:rsidRPr="00DE1496">
              <w:rPr>
                <w:rFonts w:ascii="PT Astra Serif" w:hAnsi="PT Astra Serif"/>
                <w:b/>
              </w:rPr>
              <w:t>поставку лекарственных препаратов для медицинского применения</w:t>
            </w:r>
            <w:r w:rsidR="001D1D7B" w:rsidRPr="00EA4769">
              <w:rPr>
                <w:rStyle w:val="FontStyle14"/>
                <w:b w:val="0"/>
                <w:bCs w:val="0"/>
                <w:color w:val="000000" w:themeColor="text1"/>
              </w:rPr>
              <w:t xml:space="preserve"> </w:t>
            </w:r>
            <w:r w:rsidRPr="00EA4769">
              <w:rPr>
                <w:rStyle w:val="FontStyle14"/>
                <w:b w:val="0"/>
                <w:bCs w:val="0"/>
                <w:color w:val="000000" w:themeColor="text1"/>
              </w:rPr>
              <w:t>отсутствует.</w:t>
            </w:r>
          </w:p>
        </w:tc>
        <w:tc>
          <w:tcPr>
            <w:tcW w:w="3686" w:type="dxa"/>
            <w:vMerge/>
            <w:tcBorders>
              <w:top w:val="nil"/>
              <w:bottom w:val="nil"/>
            </w:tcBorders>
          </w:tcPr>
          <w:p w:rsidR="00A56283" w:rsidRPr="00EA4769" w:rsidRDefault="00A56283">
            <w:pPr>
              <w:pStyle w:val="Style1"/>
              <w:spacing w:line="240" w:lineRule="auto"/>
              <w:jc w:val="both"/>
              <w:rPr>
                <w:rStyle w:val="FontStyle15"/>
                <w:bCs/>
                <w:color w:val="000000" w:themeColor="text1"/>
                <w:sz w:val="22"/>
                <w:szCs w:val="22"/>
              </w:rPr>
            </w:pPr>
          </w:p>
        </w:tc>
      </w:tr>
      <w:tr w:rsidR="00A56283" w:rsidRPr="00EA4769" w:rsidTr="0096486D">
        <w:trPr>
          <w:trHeight w:val="2819"/>
        </w:trPr>
        <w:tc>
          <w:tcPr>
            <w:tcW w:w="7054" w:type="dxa"/>
            <w:gridSpan w:val="2"/>
          </w:tcPr>
          <w:p w:rsidR="00A56283" w:rsidRPr="00EA4769" w:rsidRDefault="002D62ED" w:rsidP="0096486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Style w:val="FontStyle15"/>
                <w:color w:val="000000" w:themeColor="text1"/>
                <w:sz w:val="22"/>
                <w:szCs w:val="22"/>
              </w:rPr>
            </w:pPr>
            <w:proofErr w:type="gramStart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>Проектно-сметный метод (ст.22 Федерального Закона № 44-ФЗ от 05.04.2013) заключается в определении начальной (максимальной) цены контракта, цены контракта, заключаемого с единственным поставщиком (подрядчиком, исполнителем), на 1) 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</w:t>
            </w:r>
            <w:proofErr w:type="gramEnd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по выработке государственной политики и нормативно-правовому регулированию в сфере строительства;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A56283" w:rsidRPr="00EA4769" w:rsidRDefault="00A56283">
            <w:pPr>
              <w:pStyle w:val="Style1"/>
              <w:spacing w:line="240" w:lineRule="auto"/>
              <w:jc w:val="both"/>
              <w:rPr>
                <w:rStyle w:val="FontStyle15"/>
                <w:bCs/>
                <w:color w:val="000000" w:themeColor="text1"/>
                <w:sz w:val="22"/>
                <w:szCs w:val="22"/>
              </w:rPr>
            </w:pPr>
          </w:p>
        </w:tc>
      </w:tr>
      <w:tr w:rsidR="00A56283" w:rsidRPr="00EA4769" w:rsidTr="0096486D">
        <w:trPr>
          <w:trHeight w:val="3185"/>
        </w:trPr>
        <w:tc>
          <w:tcPr>
            <w:tcW w:w="7054" w:type="dxa"/>
            <w:gridSpan w:val="2"/>
          </w:tcPr>
          <w:p w:rsidR="00A56283" w:rsidRPr="00EA4769" w:rsidRDefault="002D62ED" w:rsidP="00EA4769">
            <w:pPr>
              <w:widowControl w:val="0"/>
              <w:tabs>
                <w:tab w:val="left" w:pos="3650"/>
                <w:tab w:val="center" w:pos="5031"/>
              </w:tabs>
              <w:spacing w:after="0" w:line="240" w:lineRule="auto"/>
              <w:contextualSpacing/>
              <w:jc w:val="both"/>
              <w:rPr>
                <w:rStyle w:val="FontStyle14"/>
                <w:rFonts w:eastAsia="Times New Roman"/>
                <w:kern w:val="2"/>
                <w:lang w:eastAsia="zh-CN"/>
              </w:rPr>
            </w:pP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lastRenderedPageBreak/>
              <w:t xml:space="preserve"> </w:t>
            </w:r>
            <w:proofErr w:type="gramStart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>2) проведение работ по сохранению объектов культурного наследия (памятников истории и культуры) народов Российской Федерации, за исключением научно-методического руководства, технического и авторского надзора, на основании согласованной в порядке, установленном законодательством Российской Федерации, проектной документации на проведение работ по сохранению объектов культурного наследия и в соответствии с реставрационными нормами и правилами, утвержденными федеральным органом исполнительной власти, уполномоченным Правительством Российской Федерации в</w:t>
            </w:r>
            <w:proofErr w:type="gramEnd"/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области государственной охраны объектов культурного наследия. Таким образом, проектно-сметный метод не применяется при определении стоимости</w:t>
            </w:r>
            <w:r w:rsidR="00D45F6D" w:rsidRPr="00EA4769">
              <w:rPr>
                <w:rStyle w:val="FontStyle15"/>
                <w:color w:val="000000" w:themeColor="text1"/>
                <w:sz w:val="22"/>
                <w:szCs w:val="22"/>
              </w:rPr>
              <w:t xml:space="preserve"> </w:t>
            </w:r>
            <w:r w:rsidR="001D1D7B">
              <w:rPr>
                <w:rFonts w:ascii="PT Astra Serif" w:hAnsi="PT Astra Serif"/>
                <w:b/>
              </w:rPr>
              <w:t xml:space="preserve">на </w:t>
            </w:r>
            <w:r w:rsidR="001D1D7B" w:rsidRPr="00DE1496">
              <w:rPr>
                <w:rFonts w:ascii="PT Astra Serif" w:hAnsi="PT Astra Serif"/>
                <w:b/>
              </w:rPr>
              <w:t>поставку лекарственных препаратов для медицинского применения</w:t>
            </w:r>
            <w:r w:rsidR="00EA4769" w:rsidRPr="00EA4769">
              <w:rPr>
                <w:rFonts w:ascii="Times New Roman" w:eastAsia="Times New Roman" w:hAnsi="Times New Roman" w:cs="Times New Roman"/>
                <w:b/>
                <w:bCs/>
                <w:kern w:val="2"/>
                <w:lang w:eastAsia="zh-CN"/>
              </w:rPr>
              <w:t>.</w:t>
            </w:r>
          </w:p>
        </w:tc>
        <w:tc>
          <w:tcPr>
            <w:tcW w:w="3686" w:type="dxa"/>
            <w:vMerge/>
          </w:tcPr>
          <w:p w:rsidR="00A56283" w:rsidRPr="00EA4769" w:rsidRDefault="00A56283">
            <w:pPr>
              <w:pStyle w:val="Style1"/>
              <w:spacing w:line="240" w:lineRule="auto"/>
              <w:jc w:val="both"/>
              <w:rPr>
                <w:rStyle w:val="FontStyle15"/>
                <w:bCs/>
                <w:color w:val="000000" w:themeColor="text1"/>
                <w:sz w:val="22"/>
                <w:szCs w:val="22"/>
              </w:rPr>
            </w:pPr>
          </w:p>
        </w:tc>
      </w:tr>
      <w:tr w:rsidR="00A56283" w:rsidRPr="00EA4769" w:rsidTr="0096486D">
        <w:trPr>
          <w:trHeight w:val="2511"/>
        </w:trPr>
        <w:tc>
          <w:tcPr>
            <w:tcW w:w="7054" w:type="dxa"/>
            <w:gridSpan w:val="2"/>
          </w:tcPr>
          <w:p w:rsidR="00A56283" w:rsidRPr="00EA4769" w:rsidRDefault="002D62ED">
            <w:pPr>
              <w:widowControl w:val="0"/>
              <w:spacing w:after="0" w:line="240" w:lineRule="auto"/>
              <w:jc w:val="both"/>
              <w:rPr>
                <w:rStyle w:val="FontStyle14"/>
                <w:b w:val="0"/>
                <w:color w:val="000000" w:themeColor="text1"/>
              </w:rPr>
            </w:pPr>
            <w:r w:rsidRPr="00EA4769">
              <w:rPr>
                <w:rStyle w:val="FontStyle15"/>
                <w:color w:val="000000" w:themeColor="text1"/>
                <w:sz w:val="22"/>
                <w:szCs w:val="22"/>
              </w:rPr>
              <w:t>Затратный метод применяется в случае невозможности применения вышеуказанных методов или в дополнение к иным методам. Данный метод заключается в определении начальной (максимальной) цены контракта, цена контракта, заключаемого с единственным поставщиком (подрядчиком, исполнителем), как суммы произведенных затрат и обычной для определенной сферы деятельности прибыли. При этом учитываются обычные в подобных случаях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затраты. Следовательно, применение затратного метода нецелесообразно.</w:t>
            </w:r>
          </w:p>
        </w:tc>
        <w:tc>
          <w:tcPr>
            <w:tcW w:w="3686" w:type="dxa"/>
            <w:vMerge/>
          </w:tcPr>
          <w:p w:rsidR="00A56283" w:rsidRPr="00EA4769" w:rsidRDefault="00A56283">
            <w:pPr>
              <w:pStyle w:val="Style1"/>
              <w:spacing w:line="240" w:lineRule="auto"/>
              <w:jc w:val="both"/>
              <w:rPr>
                <w:rStyle w:val="FontStyle14"/>
                <w:b w:val="0"/>
                <w:color w:val="000000" w:themeColor="text1"/>
              </w:rPr>
            </w:pPr>
          </w:p>
        </w:tc>
      </w:tr>
      <w:tr w:rsidR="00A56283" w:rsidRPr="00EA4769" w:rsidTr="0096486D">
        <w:trPr>
          <w:trHeight w:val="537"/>
        </w:trPr>
        <w:tc>
          <w:tcPr>
            <w:tcW w:w="3522" w:type="dxa"/>
          </w:tcPr>
          <w:p w:rsidR="00A56283" w:rsidRPr="00EA4769" w:rsidRDefault="002D62ED">
            <w:pPr>
              <w:pStyle w:val="Style11"/>
              <w:spacing w:line="240" w:lineRule="auto"/>
              <w:rPr>
                <w:rStyle w:val="FontStyle15"/>
                <w:b/>
                <w:sz w:val="22"/>
                <w:szCs w:val="22"/>
              </w:rPr>
            </w:pPr>
            <w:r w:rsidRPr="00EA4769">
              <w:rPr>
                <w:rStyle w:val="FontStyle15"/>
                <w:b/>
                <w:sz w:val="22"/>
                <w:szCs w:val="22"/>
              </w:rPr>
              <w:t>Начальная (максимальная) цена контракта</w:t>
            </w:r>
          </w:p>
        </w:tc>
        <w:tc>
          <w:tcPr>
            <w:tcW w:w="7218" w:type="dxa"/>
            <w:gridSpan w:val="2"/>
          </w:tcPr>
          <w:p w:rsidR="00A56283" w:rsidRPr="00EA4769" w:rsidRDefault="004240F0">
            <w:pPr>
              <w:rPr>
                <w:rStyle w:val="FontStyle15"/>
                <w:rFonts w:eastAsia="Times New Roman"/>
                <w:sz w:val="22"/>
                <w:szCs w:val="22"/>
              </w:rPr>
            </w:pPr>
            <w:r>
              <w:rPr>
                <w:rStyle w:val="FontStyle15"/>
                <w:rFonts w:eastAsia="Times New Roman"/>
                <w:sz w:val="22"/>
                <w:szCs w:val="22"/>
              </w:rPr>
              <w:t>95 001</w:t>
            </w:r>
            <w:r w:rsidR="002D62ED" w:rsidRPr="00EA4769">
              <w:rPr>
                <w:rStyle w:val="FontStyle15"/>
                <w:rFonts w:eastAsia="Times New Roman"/>
                <w:sz w:val="22"/>
                <w:szCs w:val="22"/>
              </w:rPr>
              <w:t xml:space="preserve"> </w:t>
            </w:r>
            <w:r w:rsidR="00EA4769" w:rsidRPr="00EA4769">
              <w:rPr>
                <w:rStyle w:val="FontStyle15"/>
                <w:rFonts w:eastAsia="Times New Roman"/>
                <w:sz w:val="22"/>
                <w:szCs w:val="22"/>
              </w:rPr>
              <w:t>рубл</w:t>
            </w:r>
            <w:r w:rsidR="00EF2E39">
              <w:rPr>
                <w:rStyle w:val="FontStyle15"/>
                <w:rFonts w:eastAsia="Times New Roman"/>
                <w:sz w:val="22"/>
                <w:szCs w:val="22"/>
              </w:rPr>
              <w:t>я</w:t>
            </w:r>
            <w:r w:rsidR="002D62ED" w:rsidRPr="00EA4769">
              <w:rPr>
                <w:rStyle w:val="FontStyle15"/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Style w:val="FontStyle15"/>
                <w:rFonts w:eastAsia="Times New Roman"/>
                <w:sz w:val="22"/>
                <w:szCs w:val="22"/>
              </w:rPr>
              <w:t>50</w:t>
            </w:r>
            <w:r w:rsidR="00D45F6D" w:rsidRPr="00EA4769">
              <w:rPr>
                <w:rStyle w:val="FontStyle15"/>
                <w:rFonts w:eastAsia="Times New Roman"/>
                <w:sz w:val="22"/>
                <w:szCs w:val="22"/>
              </w:rPr>
              <w:t xml:space="preserve"> копеек</w:t>
            </w:r>
            <w:r w:rsidR="00EA4769" w:rsidRPr="00EA4769">
              <w:rPr>
                <w:rStyle w:val="FontStyle15"/>
                <w:rFonts w:eastAsia="Times New Roman"/>
                <w:sz w:val="22"/>
                <w:szCs w:val="22"/>
              </w:rPr>
              <w:t xml:space="preserve"> </w:t>
            </w:r>
          </w:p>
          <w:p w:rsidR="00A56283" w:rsidRPr="00EA4769" w:rsidRDefault="002D62ED">
            <w:pPr>
              <w:pStyle w:val="Style1"/>
              <w:spacing w:line="240" w:lineRule="auto"/>
              <w:jc w:val="both"/>
              <w:rPr>
                <w:rStyle w:val="FontStyle15"/>
                <w:bCs/>
                <w:sz w:val="22"/>
                <w:szCs w:val="22"/>
              </w:rPr>
            </w:pPr>
            <w:r w:rsidRPr="00EA4769">
              <w:rPr>
                <w:rStyle w:val="FontStyle15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A56283" w:rsidRPr="00EA4769" w:rsidTr="0096486D">
        <w:trPr>
          <w:trHeight w:val="1068"/>
        </w:trPr>
        <w:tc>
          <w:tcPr>
            <w:tcW w:w="3522" w:type="dxa"/>
            <w:vAlign w:val="center"/>
          </w:tcPr>
          <w:p w:rsidR="00A56283" w:rsidRPr="00EA4769" w:rsidRDefault="002D62ED">
            <w:pPr>
              <w:pStyle w:val="Style11"/>
              <w:spacing w:line="240" w:lineRule="auto"/>
              <w:rPr>
                <w:rStyle w:val="FontStyle15"/>
                <w:b/>
                <w:sz w:val="22"/>
                <w:szCs w:val="22"/>
              </w:rPr>
            </w:pPr>
            <w:r w:rsidRPr="00EA4769">
              <w:rPr>
                <w:rStyle w:val="FontStyle15"/>
                <w:b/>
                <w:sz w:val="22"/>
                <w:szCs w:val="22"/>
              </w:rPr>
              <w:t>Порядок формирования начальной (максимальной) цены контракта</w:t>
            </w:r>
          </w:p>
        </w:tc>
        <w:tc>
          <w:tcPr>
            <w:tcW w:w="7218" w:type="dxa"/>
            <w:gridSpan w:val="2"/>
          </w:tcPr>
          <w:p w:rsidR="00A56283" w:rsidRPr="00EA4769" w:rsidRDefault="002D62ED" w:rsidP="001D1D7B">
            <w:pPr>
              <w:pStyle w:val="Style1"/>
              <w:spacing w:line="240" w:lineRule="auto"/>
              <w:jc w:val="both"/>
              <w:rPr>
                <w:rStyle w:val="FontStyle15"/>
                <w:bCs/>
                <w:sz w:val="22"/>
                <w:szCs w:val="22"/>
              </w:rPr>
            </w:pPr>
            <w:r w:rsidRPr="00EA4769">
              <w:rPr>
                <w:rStyle w:val="FontStyle15"/>
                <w:sz w:val="22"/>
                <w:szCs w:val="22"/>
              </w:rPr>
              <w:t xml:space="preserve">Цена контракта включает все затраты </w:t>
            </w:r>
            <w:r w:rsidR="001D1D7B" w:rsidRPr="001D1D7B">
              <w:rPr>
                <w:rStyle w:val="FontStyle15"/>
                <w:sz w:val="22"/>
                <w:szCs w:val="22"/>
              </w:rPr>
              <w:t>Поставщика</w:t>
            </w:r>
            <w:r w:rsidRPr="00EA4769">
              <w:rPr>
                <w:rStyle w:val="FontStyle15"/>
                <w:sz w:val="22"/>
                <w:szCs w:val="22"/>
              </w:rPr>
              <w:t xml:space="preserve">, связанные с выполнением обязательств по </w:t>
            </w:r>
            <w:r w:rsidR="001D1D7B">
              <w:rPr>
                <w:rStyle w:val="FontStyle15"/>
                <w:sz w:val="22"/>
                <w:szCs w:val="22"/>
              </w:rPr>
              <w:t xml:space="preserve">контракту в том числе расходы на </w:t>
            </w:r>
            <w:r w:rsidRPr="00EA4769">
              <w:rPr>
                <w:rStyle w:val="FontStyle15"/>
                <w:sz w:val="22"/>
                <w:szCs w:val="22"/>
              </w:rPr>
              <w:t>страхование, уплату таможенных пошлин, налогов и других обязательных платежей</w:t>
            </w:r>
          </w:p>
        </w:tc>
      </w:tr>
      <w:tr w:rsidR="00A56283" w:rsidRPr="00EA4769" w:rsidTr="0096486D">
        <w:trPr>
          <w:trHeight w:val="809"/>
        </w:trPr>
        <w:tc>
          <w:tcPr>
            <w:tcW w:w="3522" w:type="dxa"/>
          </w:tcPr>
          <w:p w:rsidR="00A56283" w:rsidRPr="00EA4769" w:rsidRDefault="002D62ED">
            <w:pPr>
              <w:pStyle w:val="Style11"/>
              <w:spacing w:line="240" w:lineRule="auto"/>
              <w:rPr>
                <w:rStyle w:val="FontStyle15"/>
                <w:b/>
                <w:sz w:val="22"/>
                <w:szCs w:val="22"/>
              </w:rPr>
            </w:pPr>
            <w:r w:rsidRPr="00EA4769">
              <w:rPr>
                <w:rStyle w:val="FontStyle15"/>
                <w:b/>
                <w:sz w:val="22"/>
                <w:szCs w:val="22"/>
              </w:rPr>
              <w:t>Дата подготовки обоснования начальной (максимальной) цены контракта</w:t>
            </w:r>
          </w:p>
        </w:tc>
        <w:tc>
          <w:tcPr>
            <w:tcW w:w="7218" w:type="dxa"/>
            <w:gridSpan w:val="2"/>
          </w:tcPr>
          <w:p w:rsidR="00A56283" w:rsidRPr="00EA4769" w:rsidRDefault="004240F0" w:rsidP="004240F0">
            <w:pPr>
              <w:pStyle w:val="Style1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Style w:val="FontStyle15"/>
                <w:bCs/>
                <w:color w:val="000000"/>
                <w:sz w:val="22"/>
                <w:szCs w:val="22"/>
              </w:rPr>
              <w:t>26</w:t>
            </w:r>
            <w:r w:rsidR="00D45F6D" w:rsidRPr="00EA4769">
              <w:rPr>
                <w:rStyle w:val="FontStyle15"/>
                <w:bCs/>
                <w:color w:val="000000"/>
                <w:sz w:val="22"/>
                <w:szCs w:val="22"/>
              </w:rPr>
              <w:t>.</w:t>
            </w:r>
            <w:r w:rsidR="00562E08">
              <w:rPr>
                <w:rStyle w:val="FontStyle15"/>
                <w:bCs/>
                <w:color w:val="000000"/>
                <w:sz w:val="22"/>
                <w:szCs w:val="22"/>
              </w:rPr>
              <w:t>0</w:t>
            </w:r>
            <w:r>
              <w:rPr>
                <w:rStyle w:val="FontStyle15"/>
                <w:bCs/>
                <w:color w:val="000000"/>
                <w:sz w:val="22"/>
                <w:szCs w:val="22"/>
              </w:rPr>
              <w:t>5</w:t>
            </w:r>
            <w:bookmarkStart w:id="0" w:name="_GoBack"/>
            <w:bookmarkEnd w:id="0"/>
            <w:r w:rsidR="00562E08">
              <w:rPr>
                <w:rStyle w:val="FontStyle15"/>
                <w:bCs/>
                <w:color w:val="000000"/>
                <w:sz w:val="22"/>
                <w:szCs w:val="22"/>
              </w:rPr>
              <w:t>.2026</w:t>
            </w:r>
            <w:r w:rsidR="002D62ED" w:rsidRPr="00EA4769">
              <w:rPr>
                <w:rStyle w:val="FontStyle15"/>
                <w:bCs/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A56283" w:rsidRDefault="002D62ED">
      <w:pPr>
        <w:tabs>
          <w:tab w:val="left" w:pos="3650"/>
          <w:tab w:val="center" w:pos="5031"/>
        </w:tabs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0"/>
          <w:szCs w:val="20"/>
        </w:rPr>
      </w:pPr>
      <w:r>
        <w:rPr>
          <w:rStyle w:val="FontStyle15"/>
          <w:rFonts w:ascii="Liberation Serif" w:hAnsi="Liberation Serif" w:cs="Liberation Serif"/>
          <w:b/>
          <w:color w:val="000000" w:themeColor="text1"/>
        </w:rPr>
        <w:t xml:space="preserve"> </w:t>
      </w:r>
    </w:p>
    <w:p w:rsidR="00A56283" w:rsidRDefault="00751A97">
      <w:pPr>
        <w:spacing w:after="0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</w:p>
    <w:p w:rsidR="00A56283" w:rsidRDefault="00A56283">
      <w:pPr>
        <w:spacing w:after="0"/>
        <w:rPr>
          <w:rFonts w:ascii="Liberation Sans" w:hAnsi="Liberation Sans" w:cs="Liberation Sans"/>
          <w:b/>
          <w:sz w:val="24"/>
          <w:szCs w:val="24"/>
        </w:rPr>
      </w:pPr>
    </w:p>
    <w:p w:rsidR="00A56283" w:rsidRDefault="00A56283">
      <w:pPr>
        <w:spacing w:after="0"/>
        <w:rPr>
          <w:rFonts w:ascii="Liberation Serif" w:hAnsi="Liberation Serif" w:cs="Liberation Serif"/>
          <w:sz w:val="23"/>
          <w:szCs w:val="23"/>
          <w:lang w:eastAsia="en-US"/>
        </w:rPr>
      </w:pPr>
    </w:p>
    <w:sectPr w:rsidR="00A56283" w:rsidSect="0096486D">
      <w:pgSz w:w="11906" w:h="16838"/>
      <w:pgMar w:top="567" w:right="424" w:bottom="567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FF" w:rsidRDefault="00126EFF">
      <w:pPr>
        <w:spacing w:line="240" w:lineRule="auto"/>
      </w:pPr>
      <w:r>
        <w:separator/>
      </w:r>
    </w:p>
  </w:endnote>
  <w:endnote w:type="continuationSeparator" w:id="0">
    <w:p w:rsidR="00126EFF" w:rsidRDefault="00126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Yu Gothic"/>
    <w:charset w:val="80"/>
    <w:family w:val="roman"/>
    <w:pitch w:val="default"/>
    <w:sig w:usb0="00000000" w:usb1="00000000" w:usb2="00000010" w:usb3="00000000" w:csb0="00020000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</w:font>
  <w:font w:name="WenQuanYi Micro Hei">
    <w:altName w:val="Segoe Print"/>
    <w:charset w:val="00"/>
    <w:family w:val="auto"/>
    <w:pitch w:val="default"/>
  </w:font>
  <w:font w:name="Liberation Sans">
    <w:altName w:val="Arial"/>
    <w:charset w:val="01"/>
    <w:family w:val="roman"/>
    <w:pitch w:val="default"/>
    <w:sig w:usb0="00000000" w:usb1="00000000" w:usb2="00000000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FF" w:rsidRDefault="00126EFF">
      <w:pPr>
        <w:spacing w:after="0"/>
      </w:pPr>
      <w:r>
        <w:separator/>
      </w:r>
    </w:p>
  </w:footnote>
  <w:footnote w:type="continuationSeparator" w:id="0">
    <w:p w:rsidR="00126EFF" w:rsidRDefault="00126E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283"/>
    <w:rsid w:val="00090F71"/>
    <w:rsid w:val="000F3A45"/>
    <w:rsid w:val="00126EFF"/>
    <w:rsid w:val="00163381"/>
    <w:rsid w:val="001D1D7B"/>
    <w:rsid w:val="001D43E9"/>
    <w:rsid w:val="002414E8"/>
    <w:rsid w:val="002D62ED"/>
    <w:rsid w:val="0035532D"/>
    <w:rsid w:val="004240F0"/>
    <w:rsid w:val="00440BB0"/>
    <w:rsid w:val="00444146"/>
    <w:rsid w:val="00447CA9"/>
    <w:rsid w:val="00562E08"/>
    <w:rsid w:val="005655A6"/>
    <w:rsid w:val="00570B52"/>
    <w:rsid w:val="00597621"/>
    <w:rsid w:val="006C3112"/>
    <w:rsid w:val="007425B7"/>
    <w:rsid w:val="00751A97"/>
    <w:rsid w:val="00800DD6"/>
    <w:rsid w:val="00857C3D"/>
    <w:rsid w:val="00863EB6"/>
    <w:rsid w:val="008814DC"/>
    <w:rsid w:val="00894E04"/>
    <w:rsid w:val="008C372B"/>
    <w:rsid w:val="00954996"/>
    <w:rsid w:val="009600E3"/>
    <w:rsid w:val="0096486D"/>
    <w:rsid w:val="009950E2"/>
    <w:rsid w:val="009D3DA7"/>
    <w:rsid w:val="00A56283"/>
    <w:rsid w:val="00A741E0"/>
    <w:rsid w:val="00C3238E"/>
    <w:rsid w:val="00CB6548"/>
    <w:rsid w:val="00CD1DF6"/>
    <w:rsid w:val="00D45F6D"/>
    <w:rsid w:val="00DE1496"/>
    <w:rsid w:val="00E006F6"/>
    <w:rsid w:val="00E02C4C"/>
    <w:rsid w:val="00E659D0"/>
    <w:rsid w:val="00E93CCC"/>
    <w:rsid w:val="00EA4769"/>
    <w:rsid w:val="00EF2E39"/>
    <w:rsid w:val="00EF517F"/>
    <w:rsid w:val="03A5687F"/>
    <w:rsid w:val="09B02F92"/>
    <w:rsid w:val="3A28282F"/>
    <w:rsid w:val="6A644542"/>
    <w:rsid w:val="78F6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E3"/>
    <w:pPr>
      <w:suppressAutoHyphen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qFormat/>
    <w:pPr>
      <w:keepNext/>
      <w:spacing w:after="0" w:line="240" w:lineRule="auto"/>
    </w:pPr>
    <w:rPr>
      <w:rFonts w:ascii="Arial" w:eastAsia="Times New Roman" w:hAnsi="Arial" w:cs="Arial"/>
      <w:sz w:val="24"/>
      <w:szCs w:val="18"/>
    </w:rPr>
  </w:style>
  <w:style w:type="paragraph" w:styleId="a7">
    <w:name w:val="foot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"/>
    <w:basedOn w:val="a6"/>
    <w:qFormat/>
    <w:rPr>
      <w:rFonts w:cs="Lohit Devanagari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0"/>
    <w:qFormat/>
    <w:rPr>
      <w:rFonts w:ascii="Arial" w:eastAsia="Times New Roman" w:hAnsi="Arial" w:cs="Arial"/>
      <w:sz w:val="24"/>
      <w:szCs w:val="18"/>
    </w:rPr>
  </w:style>
  <w:style w:type="character" w:customStyle="1" w:styleId="ac">
    <w:name w:val="Верхний колонтитул Знак"/>
    <w:basedOn w:val="a0"/>
    <w:uiPriority w:val="99"/>
    <w:semiHidden/>
    <w:qFormat/>
  </w:style>
  <w:style w:type="character" w:customStyle="1" w:styleId="ad">
    <w:name w:val="Нижний колонтитул Знак"/>
    <w:basedOn w:val="a0"/>
    <w:uiPriority w:val="99"/>
    <w:semiHidden/>
    <w:qFormat/>
  </w:style>
  <w:style w:type="character" w:customStyle="1" w:styleId="-">
    <w:name w:val="Интернет-ссылка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ae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  <w:lang w:val="zh-CN" w:eastAsia="zh-CN" w:bidi="zh-CN"/>
    </w:rPr>
  </w:style>
  <w:style w:type="paragraph" w:customStyle="1" w:styleId="Style1">
    <w:name w:val="Style1"/>
    <w:basedOn w:val="a"/>
    <w:uiPriority w:val="99"/>
    <w:qFormat/>
    <w:pPr>
      <w:widowControl w:val="0"/>
      <w:spacing w:after="0" w:line="5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character" w:customStyle="1" w:styleId="10">
    <w:name w:val="Гиперссылка1"/>
    <w:uiPriority w:val="99"/>
    <w:unhideWhenUsed/>
    <w:qFormat/>
    <w:rPr>
      <w:color w:val="0000FF"/>
      <w:u w:val="single"/>
    </w:rPr>
  </w:style>
  <w:style w:type="character" w:styleId="af1">
    <w:name w:val="Hyperlink"/>
    <w:rsid w:val="009D3D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E3"/>
    <w:pPr>
      <w:suppressAutoHyphen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ody Text"/>
    <w:basedOn w:val="a"/>
    <w:qFormat/>
    <w:pPr>
      <w:keepNext/>
      <w:spacing w:after="0" w:line="240" w:lineRule="auto"/>
    </w:pPr>
    <w:rPr>
      <w:rFonts w:ascii="Arial" w:eastAsia="Times New Roman" w:hAnsi="Arial" w:cs="Arial"/>
      <w:sz w:val="24"/>
      <w:szCs w:val="18"/>
    </w:rPr>
  </w:style>
  <w:style w:type="paragraph" w:styleId="a7">
    <w:name w:val="footer"/>
    <w:basedOn w:val="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"/>
    <w:basedOn w:val="a6"/>
    <w:qFormat/>
    <w:rPr>
      <w:rFonts w:cs="Lohit Devanagari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0"/>
    <w:qFormat/>
    <w:rPr>
      <w:rFonts w:ascii="Arial" w:eastAsia="Times New Roman" w:hAnsi="Arial" w:cs="Arial"/>
      <w:sz w:val="24"/>
      <w:szCs w:val="18"/>
    </w:rPr>
  </w:style>
  <w:style w:type="character" w:customStyle="1" w:styleId="ac">
    <w:name w:val="Верхний колонтитул Знак"/>
    <w:basedOn w:val="a0"/>
    <w:uiPriority w:val="99"/>
    <w:semiHidden/>
    <w:qFormat/>
  </w:style>
  <w:style w:type="character" w:customStyle="1" w:styleId="ad">
    <w:name w:val="Нижний колонтитул Знак"/>
    <w:basedOn w:val="a0"/>
    <w:uiPriority w:val="99"/>
    <w:semiHidden/>
    <w:qFormat/>
  </w:style>
  <w:style w:type="character" w:customStyle="1" w:styleId="-">
    <w:name w:val="Интернет-ссылка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ae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  <w:lang w:val="zh-CN" w:eastAsia="zh-CN" w:bidi="zh-CN"/>
    </w:rPr>
  </w:style>
  <w:style w:type="paragraph" w:customStyle="1" w:styleId="Style1">
    <w:name w:val="Style1"/>
    <w:basedOn w:val="a"/>
    <w:uiPriority w:val="99"/>
    <w:qFormat/>
    <w:pPr>
      <w:widowControl w:val="0"/>
      <w:spacing w:after="0" w:line="51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character" w:customStyle="1" w:styleId="10">
    <w:name w:val="Гиперссылка1"/>
    <w:uiPriority w:val="99"/>
    <w:unhideWhenUsed/>
    <w:qFormat/>
    <w:rPr>
      <w:color w:val="0000FF"/>
      <w:u w:val="single"/>
    </w:rPr>
  </w:style>
  <w:style w:type="character" w:styleId="af1">
    <w:name w:val="Hyperlink"/>
    <w:rsid w:val="009D3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zsmc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Nigmatullin</dc:creator>
  <cp:lastModifiedBy>Договорной отдел 2</cp:lastModifiedBy>
  <cp:revision>5</cp:revision>
  <cp:lastPrinted>2025-03-07T10:33:00Z</cp:lastPrinted>
  <dcterms:created xsi:type="dcterms:W3CDTF">2026-02-18T05:01:00Z</dcterms:created>
  <dcterms:modified xsi:type="dcterms:W3CDTF">2026-05-29T05:45:00Z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80FDD09A0C8C424ABB2FEAF4FEBC0F70_12</vt:lpwstr>
  </property>
</Properties>
</file>