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lang w:eastAsia="ar-SA"/>
        </w:rPr>
      </w:pPr>
      <w:r>
        <w:rPr>
          <w:b/>
          <w:bCs/>
        </w:rPr>
        <w:t>ТЕХНИЧЕСКОЕ ЗАДАНИЕ</w:t>
      </w:r>
    </w:p>
    <w:p>
      <w:pPr>
        <w:pStyle w:val="Normal"/>
        <w:jc w:val="center"/>
        <w:rPr/>
      </w:pPr>
      <w:r>
        <w:rPr>
          <w:b/>
          <w:lang w:eastAsia="ar-SA"/>
        </w:rPr>
        <w:t xml:space="preserve">Выполнение работ по разработке локальной сметы  по текущему ремонту в помещениях Отделения судебных приставов по г. Воркуте </w:t>
      </w:r>
      <w:r>
        <w:rPr>
          <w:b/>
        </w:rPr>
        <w:t>УФССП России</w:t>
        <w:br/>
        <w:t xml:space="preserve"> по Республике Коми</w:t>
      </w:r>
      <w:r>
        <w:rPr>
          <w:b/>
          <w:lang w:eastAsia="ar-SA"/>
        </w:rPr>
        <w:t xml:space="preserve">  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ИКЗ: </w:t>
      </w:r>
      <w:r>
        <w:rPr>
          <w:rFonts w:cs="Liberation Serif;Times New Roman" w:ascii="Liberation Serif;Times New Roman" w:hAnsi="Liberation Serif;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261110148623711010100100290000000000</w:t>
      </w:r>
    </w:p>
    <w:p>
      <w:pPr>
        <w:pStyle w:val="Normal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W w:w="10486" w:type="dxa"/>
        <w:jc w:val="left"/>
        <w:tblInd w:w="10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2410"/>
        <w:gridCol w:w="142"/>
        <w:gridCol w:w="7934"/>
      </w:tblGrid>
      <w:tr>
        <w:trPr/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hd w:val="clear" w:fill="FFFFFF"/>
              <w:spacing w:lineRule="atLeast" w:line="102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Срок выполнения работ:</w:t>
            </w:r>
          </w:p>
        </w:tc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Услуги оказываются в течение 30 (тридцати) календарных дней с даты заключения государственного контракта.</w:t>
            </w:r>
          </w:p>
        </w:tc>
      </w:tr>
      <w:tr>
        <w:trPr/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tLeast" w:line="10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выполнения работ: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По месту нахождения Подрядчика.</w:t>
            </w:r>
          </w:p>
        </w:tc>
      </w:tr>
      <w:tr>
        <w:trPr/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tLeast" w:line="10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Адрес объекта: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 Коми, г. Воркута, ул. Яновского, д. 1</w:t>
            </w:r>
          </w:p>
        </w:tc>
      </w:tr>
      <w:tr>
        <w:trPr/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tLeast" w:line="10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Характеристики объекта: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lang w:eastAsia="ru-RU"/>
              </w:rPr>
              <w:t>А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дминистративные помещения находятся на 3-м этаже здания 1968 года постройки, литер А-I,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площадь помещений  — 611,7 м2,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фундаменты — ленточные железобетонные,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стены и перегородки — кирпичные, оштукатуренные, из бетонных или гипсовых плит,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перекрытия — железобетонные,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полы — дощатые по лагам, окрашены, линолеумовые, плиточные.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Внутренняя отделка стен — штукатурка, побелка, покраска,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>водопровод — стальные трубы,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cs="Liberation Serif;Times New Roman"/>
                <w:color w:val="000000"/>
                <w:kern w:val="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lang w:eastAsia="ru-RU"/>
              </w:rPr>
              <w:t xml:space="preserve">канализация — чугунные трубы. </w:t>
            </w:r>
          </w:p>
        </w:tc>
      </w:tr>
      <w:tr>
        <w:trPr/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lineRule="atLeast" w:line="10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Предполагаемые виды работ: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замене напольного покрытия;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замене дверей межкомнатных;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подготовке стен под окраску;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по окраске стен;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работ в санузлах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(перечень видов работ может быть расширен после осмотра и обследования помещений Подрядчиком)</w:t>
            </w:r>
          </w:p>
        </w:tc>
      </w:tr>
      <w:tr>
        <w:trPr/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Время работы Заказчика (время московское), условия допуска: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время работы 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тделения: с 8:30 до 18:00; </w:t>
              <w:br/>
              <w:t>выходные дни: суббота, воскресенье.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Допуск лиц подрядной организации на объект будет производиться только по предварительно согласованным спискам и при наличии документов, подтверждающих их личность.</w:t>
            </w:r>
          </w:p>
        </w:tc>
      </w:tr>
      <w:tr>
        <w:trPr/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Срок выполнения работ: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right="-1"/>
              <w:jc w:val="both"/>
              <w:rPr/>
            </w:pPr>
            <w:r>
              <w:rPr>
                <w:rStyle w:val="FontStyle28"/>
                <w:lang w:eastAsia="ru-RU"/>
              </w:rPr>
              <w:t>В течение 30 календарных дней с даты</w:t>
            </w:r>
            <w:r>
              <w:rPr>
                <w:rStyle w:val="FontStyle28"/>
                <w:lang w:val="de-DE" w:eastAsia="ru-RU"/>
              </w:rPr>
              <w:t xml:space="preserve"> подписания </w:t>
            </w:r>
            <w:r>
              <w:rPr>
                <w:rStyle w:val="FontStyle28"/>
                <w:lang w:eastAsia="ru-RU"/>
              </w:rPr>
              <w:t>контракта.</w:t>
            </w:r>
          </w:p>
        </w:tc>
      </w:tr>
      <w:tr>
        <w:trPr>
          <w:trHeight w:val="929" w:hRule="atLeast"/>
        </w:trPr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Целесообразность выполнения работ:</w:t>
            </w:r>
          </w:p>
        </w:tc>
        <w:tc>
          <w:tcPr>
            <w:tcW w:w="7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 xml:space="preserve">Результат выполненной работы будет использован при подготовке закупочной документации для </w:t>
            </w:r>
            <w:r>
              <w:rPr>
                <w:bCs/>
                <w:sz w:val="26"/>
                <w:szCs w:val="26"/>
              </w:rPr>
              <w:t xml:space="preserve">выполнения работ по текущему ремонту </w:t>
            </w:r>
            <w:r>
              <w:rPr>
                <w:sz w:val="26"/>
                <w:szCs w:val="26"/>
              </w:rPr>
              <w:t>помещений</w:t>
            </w:r>
            <w:r>
              <w:rPr>
                <w:sz w:val="26"/>
                <w:szCs w:val="26"/>
                <w:lang w:eastAsia="ru-RU"/>
              </w:rPr>
              <w:t xml:space="preserve"> Заказчика</w:t>
            </w:r>
          </w:p>
        </w:tc>
      </w:tr>
      <w:tr>
        <w:trPr/>
        <w:tc>
          <w:tcPr>
            <w:tcW w:w="104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Основные требования:</w:t>
            </w:r>
          </w:p>
        </w:tc>
      </w:tr>
      <w:tr>
        <w:trPr>
          <w:trHeight w:val="1923" w:hRule="atLeast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hd w:val="clear" w:fill="FFFFFF"/>
              <w:suppressAutoHyphens w:val="false"/>
              <w:spacing w:lineRule="atLeast" w:line="102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Требования</w:t>
            </w:r>
          </w:p>
          <w:p>
            <w:pPr>
              <w:pStyle w:val="Normal"/>
              <w:shd w:val="clear" w:fill="FFFFFF"/>
              <w:suppressAutoHyphens w:val="false"/>
              <w:spacing w:lineRule="atLeast" w:line="102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к качеству выполненных работ:</w:t>
            </w:r>
          </w:p>
        </w:tc>
        <w:tc>
          <w:tcPr>
            <w:tcW w:w="8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процессе проведения обмерных работ, составления дефектных ведомостей и локальных сметных расчётов Исполнитель обязан придерживаться нормативных документов: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Постановление Правительства Российской Федерации от 16.02.2008 № 87 «О составе разделов проектной документации и требованиях к их содержанию»;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Федеральный закон от 30.12.2009 № 384-ФЗ «Технический регламент о безопасности зданий и сооружений»;</w:t>
            </w:r>
          </w:p>
          <w:p>
            <w:pPr>
              <w:pStyle w:val="Normal"/>
              <w:spacing w:lineRule="atLeast" w: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локальные сметные расчеты (сметы) должны соответствовать требованиям действующих нормативных документов, регулирующих выполнение данного вида работ, а также регулирующих выполнение работ по ремонту помещений;</w:t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локальные сметные расчеты (сметы) должны предусматривать весь комплекс работ по </w:t>
            </w:r>
            <w:r>
              <w:rPr>
                <w:bCs/>
                <w:sz w:val="26"/>
                <w:szCs w:val="26"/>
              </w:rPr>
              <w:t>ремонту помещений</w:t>
            </w:r>
            <w:r>
              <w:rPr>
                <w:sz w:val="26"/>
                <w:szCs w:val="26"/>
              </w:rPr>
              <w:t>, должны быть учтены все затраты по предстоящим работам, включая вывоз и утилизацию мусора;</w:t>
            </w:r>
          </w:p>
          <w:p>
            <w:pPr>
              <w:pStyle w:val="Normal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работы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государственным контрактом для данного вида работ.</w:t>
            </w:r>
          </w:p>
          <w:p>
            <w:pPr>
              <w:pStyle w:val="Normal"/>
              <w:suppressAutoHyphens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материалов, применяемых при расчёте, применяется с учетом программных расценок. В случае необходимости применения расценок по цене поставщика/прайсу и т.д. провести мониторинг цен с приложением прайс-листов на оборудование и материалы, неучтенные в Федеральных сборниках сметных цен (не менее 3-х на один материал, оборудование, изделие).</w:t>
            </w:r>
          </w:p>
        </w:tc>
      </w:tr>
      <w:tr>
        <w:trPr/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Style w:val="14"/>
                <w:b/>
                <w:sz w:val="26"/>
                <w:szCs w:val="26"/>
              </w:rPr>
              <w:t>Требования к безопасности:</w:t>
            </w:r>
          </w:p>
        </w:tc>
        <w:tc>
          <w:tcPr>
            <w:tcW w:w="8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both"/>
              <w:rPr/>
            </w:pPr>
            <w:r>
              <w:rPr>
                <w:rStyle w:val="14"/>
                <w:sz w:val="26"/>
                <w:szCs w:val="26"/>
                <w:lang w:eastAsia="ru-RU"/>
              </w:rPr>
              <w:t>В соответствии с Правилами техники безопасности для требуемого вида работ.</w:t>
            </w:r>
          </w:p>
        </w:tc>
      </w:tr>
      <w:tr>
        <w:trPr/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hd w:val="clear" w:fill="FFFFFF"/>
              <w:tabs>
                <w:tab w:val="clear" w:pos="708"/>
                <w:tab w:val="left" w:pos="437" w:leader="none"/>
              </w:tabs>
              <w:suppressAutoHyphens w:val="false"/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b/>
                <w:bCs/>
                <w:sz w:val="26"/>
                <w:szCs w:val="26"/>
                <w:lang w:eastAsia="en-US"/>
              </w:rPr>
              <w:t>Требования к составу и содержанию работ:</w:t>
            </w:r>
          </w:p>
        </w:tc>
        <w:tc>
          <w:tcPr>
            <w:tcW w:w="8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 дефектной ведомости и локального сметного расчёта  на выполнение работ по текущему ремонту помещений включают в себя:</w:t>
            </w:r>
          </w:p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Осмотр помещений с участием представителей Подрядчика и Заказчика с применением средств фотофиксации.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2. Проведение обмерных работ с составлением Подрядчиком Акта осмотра помещений, который должен содержать: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hanging="360" w:left="720" w:righ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Пояснительную записку (краткое описание), отражающее расположение, реальное техническое состояние помещений с приложением цветных фотографий элементов состояния помещений в количестве не менее 4 по каждому разделу дефектной ведомости;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hanging="360" w:left="720" w:right="0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сведения о выявленных недостатках (дефектах, повреждениях) стен, полов, дверных блоков, оконных конструкций;</w:t>
            </w:r>
          </w:p>
          <w:p>
            <w:pPr>
              <w:pStyle w:val="Normal"/>
              <w:numPr>
                <w:ilvl w:val="0"/>
                <w:numId w:val="1"/>
              </w:numPr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 осмотра помещений подписывается представителями Заказчика и Подрядчика, участвующими в осмотре;</w:t>
            </w:r>
          </w:p>
          <w:p>
            <w:pPr>
              <w:pStyle w:val="Normal"/>
              <w:numPr>
                <w:ilvl w:val="0"/>
                <w:numId w:val="1"/>
              </w:numPr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Акт осмотра помещений согласовывается Заказчиком в течение 3 (трех) рабочих дней после проведения обмерных работ.</w:t>
            </w:r>
          </w:p>
          <w:p>
            <w:pPr>
              <w:pStyle w:val="ListParagraph"/>
              <w:shd w:val="clear" w:fill="FFFFFF"/>
              <w:tabs>
                <w:tab w:val="clear" w:pos="708"/>
                <w:tab w:val="left" w:pos="437" w:leader="none"/>
              </w:tabs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3. После согласования Заказчиком Акта осмотра помещений Подрядчик определяет объем работ и состав материалов, необходимых для устранения выявленных недостатков и приведения Объекта в состояние, соответствующее требованиям действующих норм и правил в области строительства. Наименования всех видов работ, необходимых для проведения ремонта Объекта, заносятся в дефектную ведомость. При составлении дефектной ведомости подробно описываются все предполагаемые виды работ с указанием объемов работ и материалов, если необходимо применение материалов.</w:t>
            </w:r>
          </w:p>
          <w:p>
            <w:pPr>
              <w:pStyle w:val="ListParagraph"/>
              <w:shd w:val="clear" w:fill="FFFFFF"/>
              <w:tabs>
                <w:tab w:val="clear" w:pos="708"/>
                <w:tab w:val="left" w:pos="437" w:leader="none"/>
              </w:tabs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4. Составление дефектной ведомости на ремонт помещений выполняется в соответствии с требованиями действующих норм и правил в области строительства, действующих не территории Российской Федерации.</w:t>
            </w:r>
          </w:p>
          <w:p>
            <w:pPr>
              <w:pStyle w:val="ListParagraph"/>
              <w:shd w:val="clear" w:fill="FFFFFF"/>
              <w:tabs>
                <w:tab w:val="clear" w:pos="708"/>
                <w:tab w:val="left" w:pos="437" w:leader="none"/>
              </w:tabs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5. Дефектная ведомость подписывается лицом, их составившим и проверившим специалистом Подрядчика. Дефектная ведомость согласовывается Заказчиком в течение 3 (трех) рабочих дней и утверждаются руководителем Подрядчика.</w:t>
            </w:r>
          </w:p>
          <w:p>
            <w:pPr>
              <w:pStyle w:val="ListParagraph"/>
              <w:shd w:val="clear" w:fill="FFFFFF"/>
              <w:tabs>
                <w:tab w:val="clear" w:pos="708"/>
                <w:tab w:val="left" w:pos="437" w:leader="none"/>
              </w:tabs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6. Локальный сметный расчёт составляется с учетом всего комплекса работ, отраженного в дефектной ведомости.</w:t>
            </w:r>
          </w:p>
          <w:p>
            <w:pPr>
              <w:pStyle w:val="ListParagraph"/>
              <w:shd w:val="clear" w:fill="FFFFFF"/>
              <w:tabs>
                <w:tab w:val="clear" w:pos="708"/>
                <w:tab w:val="left" w:pos="437" w:leader="none"/>
              </w:tabs>
              <w:spacing w:lineRule="auto" w:line="240" w:before="0" w:after="0"/>
              <w:ind w:hanging="0" w:left="0" w:right="0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7. Подрядчик, выполняющий работы по составлению дефектной ведомости и разработку локального сметного расчета представляет Заказчику документы, подтверждающие квалификацию исполнителей в течении 2 рабочих дней с момента заключения Договора на выполнение работ.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360" w:leader="none"/>
              </w:tabs>
              <w:snapToGrid w:val="false"/>
              <w:jc w:val="both"/>
              <w:rPr/>
            </w:pPr>
            <w:r>
              <w:rPr>
                <w:sz w:val="26"/>
                <w:szCs w:val="26"/>
              </w:rPr>
              <w:t xml:space="preserve">8. </w:t>
            </w:r>
            <w:r>
              <w:rPr>
                <w:rFonts w:eastAsia="SimSun;宋体" w:cs="Arial"/>
                <w:bCs/>
                <w:sz w:val="26"/>
                <w:szCs w:val="26"/>
              </w:rPr>
              <w:t xml:space="preserve">Расчет локальной сметы выполнить ресурсно-индексным методом в текущих ценах 2026 года. </w:t>
            </w:r>
          </w:p>
        </w:tc>
      </w:tr>
      <w:tr>
        <w:trPr/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hd w:val="clear" w:fill="FFFFFF"/>
              <w:tabs>
                <w:tab w:val="clear" w:pos="708"/>
                <w:tab w:val="left" w:pos="437" w:leader="none"/>
              </w:tabs>
              <w:spacing w:lineRule="atLeast" w:line="102"/>
              <w:jc w:val="both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Требования к оформлению, количеству и виду передаваемой Заказчику документации:</w:t>
            </w:r>
          </w:p>
        </w:tc>
        <w:tc>
          <w:tcPr>
            <w:tcW w:w="8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31"/>
              <w:shd w:val="clear" w:fill="FFFFFF"/>
              <w:spacing w:lineRule="auto" w:line="240" w:before="0" w:after="0"/>
              <w:ind w:hanging="0" w:left="0" w:right="0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Исполнитель предоставляет Заказчику материалы разработки</w:t>
            </w:r>
          </w:p>
          <w:p>
            <w:pPr>
              <w:pStyle w:val="31"/>
              <w:shd w:val="clear" w:fill="FFFFFF"/>
              <w:spacing w:lineRule="auto" w:line="240" w:before="0" w:after="0"/>
              <w:ind w:hanging="0" w:left="0" w:right="0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на бумажных носителях:</w:t>
            </w:r>
          </w:p>
          <w:p>
            <w:pPr>
              <w:pStyle w:val="31"/>
              <w:shd w:val="clear" w:fill="FFFFFF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- сметная документация — по 1 экз. в бумажном варианте,   в электронном виде (в программном комплексе «ГРАНД смета» в универсальном формате *xml* и в формате Excel (XLSX)</w:t>
            </w:r>
          </w:p>
          <w:p>
            <w:pPr>
              <w:pStyle w:val="1"/>
              <w:widowControl/>
              <w:suppressAutoHyphens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дефектная ведомость – по 1 экз. в бумажном варианте и в электронном виде (в формате </w:t>
            </w:r>
            <w:r>
              <w:rPr>
                <w:rFonts w:cs="Times New Roman" w:ascii="Times New Roman" w:hAnsi="Times New Roman"/>
                <w:sz w:val="26"/>
                <w:szCs w:val="26"/>
                <w:lang w:val="en-US" w:eastAsia="ru-RU"/>
              </w:rPr>
              <w:t>Excel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 xml:space="preserve"> (</w:t>
            </w:r>
            <w:r>
              <w:rPr>
                <w:rFonts w:cs="Times New Roman" w:ascii="Times New Roman" w:hAnsi="Times New Roman"/>
                <w:sz w:val="26"/>
                <w:szCs w:val="26"/>
                <w:lang w:val="en-US" w:eastAsia="ru-RU"/>
              </w:rPr>
              <w:t>XLSX</w:t>
            </w: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)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;</w:t>
            </w:r>
          </w:p>
          <w:p>
            <w:pPr>
              <w:pStyle w:val="1"/>
              <w:widowControl/>
              <w:suppressAutoHyphens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акт осмотра – в бумажном варианте;</w:t>
            </w:r>
          </w:p>
          <w:p>
            <w:pPr>
              <w:pStyle w:val="1"/>
              <w:widowControl/>
              <w:suppressAutoHyphens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пояснительная записка – по 1 экз. в бумажном варианте и в электронном виде;</w:t>
            </w:r>
          </w:p>
          <w:p>
            <w:pPr>
              <w:pStyle w:val="1"/>
              <w:widowControl/>
              <w:suppressAutoHyphens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eastAsia="ru-RU"/>
              </w:rPr>
              <w:t>- материалы фотофиксации – в электронном виде в отношении</w:t>
              <w:br/>
              <w:t>каждого помещения Объекта с привязкой к пояснительной записке.</w:t>
            </w:r>
          </w:p>
          <w:p>
            <w:pPr>
              <w:pStyle w:val="1"/>
              <w:widowControl/>
              <w:suppressAutoHyphens w:val="false"/>
              <w:spacing w:lineRule="auto" w:line="240" w:before="0" w:after="0"/>
              <w:ind w:hanging="0" w:left="0" w:right="0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В электронном виде документация и материалы фотофиксации</w:t>
              <w:br/>
              <w:t xml:space="preserve">Исполнитель </w:t>
            </w:r>
            <w:r>
              <w:rPr>
                <w:rStyle w:val="Cef1edeee2edeee9f8f0e8f4f2e0e1e7e0f6e014"/>
                <w:rFonts w:eastAsia="Times New Roman" w:cs="Times New Roman" w:ascii="Times New Roman" w:hAnsi="Times New Roman"/>
                <w:color w:val="000000"/>
                <w:lang w:eastAsia="ru-RU" w:bidi="ar-SA"/>
              </w:rPr>
              <w:t xml:space="preserve">направляется Заказчику на адрес электронной почты </w:t>
            </w:r>
            <w:hyperlink r:id="rId2">
              <w:r>
                <w:rPr>
                  <w:rStyle w:val="Hyperlink"/>
                  <w:rFonts w:eastAsia="Times New Roman" w:cs="Times New Roman" w:ascii="Times New Roman" w:hAnsi="Times New Roman"/>
                  <w:lang w:val="en-US" w:eastAsia="ru-RU" w:bidi="ar-SA"/>
                </w:rPr>
                <w:t>torgi</w:t>
              </w:r>
              <w:r>
                <w:rPr>
                  <w:rStyle w:val="Hyperlink"/>
                  <w:rFonts w:eastAsia="Times New Roman" w:cs="Times New Roman" w:ascii="Times New Roman" w:hAnsi="Times New Roman"/>
                  <w:lang w:eastAsia="ru-RU" w:bidi="ar-SA"/>
                </w:rPr>
                <w:t>@</w:t>
              </w:r>
              <w:r>
                <w:rPr>
                  <w:rStyle w:val="Hyperlink"/>
                  <w:rFonts w:eastAsia="Times New Roman" w:cs="Times New Roman" w:ascii="Times New Roman" w:hAnsi="Times New Roman"/>
                  <w:lang w:val="en-US" w:eastAsia="ru-RU" w:bidi="ar-SA"/>
                </w:rPr>
                <w:t>r</w:t>
              </w:r>
              <w:r>
                <w:rPr>
                  <w:rStyle w:val="Hyperlink"/>
                  <w:rFonts w:eastAsia="Times New Roman" w:cs="Times New Roman" w:ascii="Times New Roman" w:hAnsi="Times New Roman"/>
                  <w:lang w:eastAsia="ru-RU" w:bidi="ar-SA"/>
                </w:rPr>
                <w:t>11.</w:t>
              </w:r>
              <w:r>
                <w:rPr>
                  <w:rStyle w:val="Hyperlink"/>
                  <w:rFonts w:eastAsia="Times New Roman" w:cs="Times New Roman" w:ascii="Times New Roman" w:hAnsi="Times New Roman"/>
                  <w:lang w:val="en-US" w:eastAsia="ru-RU" w:bidi="ar-SA"/>
                </w:rPr>
                <w:t>fssp</w:t>
              </w:r>
              <w:r>
                <w:rPr>
                  <w:rStyle w:val="Hyperlink"/>
                  <w:rFonts w:eastAsia="Times New Roman" w:cs="Times New Roman" w:ascii="Times New Roman" w:hAnsi="Times New Roman"/>
                  <w:lang w:eastAsia="ru-RU" w:bidi="ar-SA"/>
                </w:rPr>
                <w:t>.</w:t>
              </w:r>
            </w:hyperlink>
            <w:hyperlink r:id="rId3">
              <w:r>
                <w:rPr>
                  <w:rStyle w:val="Hyperlink"/>
                  <w:rFonts w:eastAsia="Times New Roman" w:cs="Times New Roman" w:ascii="Times New Roman" w:hAnsi="Times New Roman"/>
                  <w:lang w:val="en-US" w:eastAsia="ru-RU" w:bidi="ar-SA"/>
                </w:rPr>
                <w:t>g</w:t>
              </w:r>
            </w:hyperlink>
            <w:hyperlink r:id="rId4">
              <w:r>
                <w:rPr>
                  <w:rStyle w:val="Hyperlink"/>
                  <w:rFonts w:eastAsia="Times New Roman" w:cs="Times New Roman" w:ascii="Times New Roman" w:hAnsi="Times New Roman"/>
                  <w:lang w:val="en-US" w:eastAsia="ru-RU" w:bidi="ar-SA"/>
                </w:rPr>
                <w:t>ov</w:t>
              </w:r>
            </w:hyperlink>
            <w:r>
              <w:rPr>
                <w:rStyle w:val="Hyperlink"/>
                <w:rFonts w:eastAsia="Times New Roman" w:cs="Times New Roman" w:ascii="Times New Roman" w:hAnsi="Times New Roman"/>
                <w:lang w:eastAsia="ru-RU" w:bidi="ar-SA"/>
              </w:rPr>
              <w:t>.</w:t>
            </w:r>
            <w:r>
              <w:rPr>
                <w:rStyle w:val="Hyperlink"/>
                <w:rFonts w:eastAsia="Times New Roman" w:cs="Times New Roman" w:ascii="Times New Roman" w:hAnsi="Times New Roman"/>
                <w:lang w:val="en-US" w:eastAsia="ru-RU" w:bidi="ar-SA"/>
              </w:rPr>
              <w:t>ru</w:t>
            </w:r>
            <w:r>
              <w:rPr>
                <w:rStyle w:val="Hyperlink"/>
                <w:rFonts w:eastAsia="Times New Roman" w:cs="Times New Roman" w:ascii="Times New Roman" w:hAnsi="Times New Roman"/>
                <w:lang w:eastAsia="ru-RU" w:bidi="ar-SA"/>
              </w:rPr>
              <w:t>.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ind w:righ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Сметы в электронном виде направляются в формате «Гранд-смета».</w:t>
            </w:r>
          </w:p>
          <w:p>
            <w:pPr>
              <w:pStyle w:val="Normal"/>
              <w:shd w:val="clear" w:fill="FFFFFF"/>
              <w:tabs>
                <w:tab w:val="clear" w:pos="708"/>
                <w:tab w:val="left" w:pos="437" w:leader="none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Вся документация доставляется Заказчику по адресу:</w:t>
              <w:br/>
              <w:t>г. Сыктывкар, ул. Пушкина, д. 110.</w:t>
            </w:r>
          </w:p>
        </w:tc>
      </w:tr>
      <w:tr>
        <w:trPr/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Требования к предоставляемой отчетности:</w:t>
            </w:r>
          </w:p>
        </w:tc>
        <w:tc>
          <w:tcPr>
            <w:tcW w:w="8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Качество и технические характеристики работ должны соответствовать требованиям действующего законодательства Российской Федерации, ГОСТ, СНиП, СП, техническим регламентам, иным требованиям, установленным в нормативно-технической документации на данный вид работ.</w:t>
            </w:r>
          </w:p>
        </w:tc>
      </w:tr>
      <w:tr>
        <w:trPr/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hd w:val="clear" w:fill="FFFFFF"/>
              <w:tabs>
                <w:tab w:val="clear" w:pos="708"/>
                <w:tab w:val="left" w:pos="437" w:leader="none"/>
              </w:tabs>
              <w:spacing w:lineRule="atLeast" w:line="102"/>
              <w:jc w:val="both"/>
              <w:rPr>
                <w:b/>
                <w:bCs/>
                <w:sz w:val="26"/>
                <w:szCs w:val="26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Требования к гарантийному сроку выполненных работ:</w:t>
            </w:r>
          </w:p>
        </w:tc>
        <w:tc>
          <w:tcPr>
            <w:tcW w:w="8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Гарантийный срок на выполнение работ по Контракту составляет 12 (двенадцать) месяцев от даты подписания Сторонами документа о приемке.</w:t>
            </w:r>
          </w:p>
          <w:p>
            <w:pPr>
              <w:pStyle w:val="Normal"/>
              <w:shd w:val="clear" w:fill="FFFFFF"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Если в период гарантийного срока обнаружатся недостатки или дефекты, которые не позволят продолжить пользоваться результатами выполненной работы,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дефектов.</w:t>
            </w:r>
          </w:p>
        </w:tc>
      </w:tr>
    </w:tbl>
    <w:p>
      <w:pPr>
        <w:pStyle w:val="Normal"/>
        <w:jc w:val="center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rPr>
          <w:shd w:fill="FFFF00" w:val="clear"/>
        </w:rPr>
      </w:pPr>
      <w:r>
        <w:rPr>
          <w:shd w:fill="FFFF00" w:val="clear"/>
        </w:rPr>
      </w:r>
    </w:p>
    <w:sectPr>
      <w:type w:val="nextPage"/>
      <w:pgSz w:w="11906" w:h="16838"/>
      <w:pgMar w:left="1020" w:right="567" w:gutter="0" w:header="0" w:top="510" w:footer="0" w:bottom="51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Open Sans"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14">
    <w:name w:val="Основной шрифт абзаца14"/>
    <w:qFormat/>
    <w:rPr/>
  </w:style>
  <w:style w:type="character" w:styleId="Hyperlink">
    <w:name w:val="Hyperlink"/>
    <w:rPr>
      <w:color w:val="000080"/>
      <w:u w:val="single"/>
    </w:rPr>
  </w:style>
  <w:style w:type="character" w:styleId="Cef1edeee2edeee9f8f0e8f4f2e0e1e7e0f6e014">
    <w:name w:val="Оceсf1нedоeeвe2нedоeeйe9 шf8рf0иe8фf4тf2 аe0бe1зe7аe0цf6аe014"/>
    <w:qFormat/>
    <w:rPr/>
  </w:style>
  <w:style w:type="character" w:styleId="FontStyle28">
    <w:name w:val="Font Style28"/>
    <w:qFormat/>
    <w:rPr>
      <w:rFonts w:ascii="Times New Roman" w:hAnsi="Times New Roman" w:cs="Times New Roman"/>
      <w:sz w:val="26"/>
      <w:szCs w:val="2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31">
    <w:name w:val="Основной текст с отступом 31"/>
    <w:basedOn w:val="Normal"/>
    <w:qFormat/>
    <w:pPr>
      <w:spacing w:lineRule="atLeast" w:line="100" w:before="0" w:after="120"/>
      <w:ind w:hanging="0" w:left="283" w:right="0"/>
      <w:textAlignment w:val="baseline"/>
    </w:pPr>
    <w:rPr>
      <w:color w:val="000000"/>
      <w:kern w:val="2"/>
      <w:sz w:val="16"/>
      <w:szCs w:val="16"/>
    </w:rPr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</w:pPr>
    <w:rPr>
      <w:rFonts w:ascii="Calibri" w:hAnsi="Calibri" w:cs="Calibri"/>
      <w:color w:val="000000"/>
      <w:kern w:val="2"/>
      <w:sz w:val="22"/>
      <w:szCs w:val="22"/>
    </w:rPr>
  </w:style>
  <w:style w:type="paragraph" w:styleId="1">
    <w:name w:val="Маркированный список1"/>
    <w:qFormat/>
    <w:pPr>
      <w:widowControl w:val="false"/>
      <w:suppressAutoHyphens w:val="true"/>
      <w:bidi w:val="0"/>
      <w:spacing w:lineRule="auto" w:line="276" w:before="0" w:after="200"/>
      <w:ind w:hanging="283" w:left="283" w:right="0"/>
      <w:jc w:val="left"/>
    </w:pPr>
    <w:rPr>
      <w:rFonts w:ascii="Calibri" w:hAnsi="Calibri" w:eastAsia="Arial Unicode MS" w:cs="font184"/>
      <w:color w:val="auto"/>
      <w:kern w:val="2"/>
      <w:sz w:val="24"/>
      <w:szCs w:val="24"/>
      <w:lang w:val="ru-RU" w:eastAsia="zh-CN" w:bidi="hi-IN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orgi@r11.fssp." TargetMode="External"/><Relationship Id="rId3" Type="http://schemas.openxmlformats.org/officeDocument/2006/relationships/hyperlink" Target="mailto:mto@r29.fssp.gov.ru" TargetMode="External"/><Relationship Id="rId4" Type="http://schemas.openxmlformats.org/officeDocument/2006/relationships/hyperlink" Target="mailto:mto@r29.fssp.gov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598</TotalTime>
  <Application>LibreOffice/7.6.7.2$Linux_X86_64 LibreOffice_project/60$Build-2</Application>
  <AppVersion>15.0000</AppVersion>
  <Pages>3</Pages>
  <Words>956</Words>
  <Characters>6755</Characters>
  <CharactersWithSpaces>7656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2026-05-12T23:09:00Z</dcterms:created>
  <dc:creator>dmv.mixail@yandex.ru</dc:creator>
  <dc:description/>
  <dc:language>ru-RU</dc:language>
  <cp:lastModifiedBy/>
  <cp:lastPrinted>2026-08-21T14:25:25Z</cp:lastPrinted>
  <dcterms:modified xsi:type="dcterms:W3CDTF">2026-08-21T14:28:22Z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