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a3"/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7728" behindDoc="0" locked="0" layoutInCell="1" allowOverlap="1">
                <wp:simplePos x="0" y="0"/>
                <wp:positionH relativeFrom="page">
                  <wp:posOffset>857250</wp:posOffset>
                </wp:positionH>
                <wp:positionV relativeFrom="paragraph">
                  <wp:posOffset>-224790</wp:posOffset>
                </wp:positionV>
                <wp:extent cx="2564892" cy="1925232"/>
                <wp:effectExtent l="0" t="0" r="0" b="0"/>
                <wp:wrapNone/>
                <wp:docPr id="1" name="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  <pic:nv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0" y="0"/>
                          <a:ext cx="2564892" cy="19252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7728;o:allowoverlap:true;o:allowincell:true;mso-position-horizontal-relative:page;margin-left:67.50pt;mso-position-horizontal:absolute;mso-position-vertical-relative:text;margin-top:-17.70pt;mso-position-vertical:absolute;width:201.96pt;height:151.59pt;mso-wrap-distance-left:0.00pt;mso-wrap-distance-top:0.00pt;mso-wrap-distance-right:0.00pt;mso-wrap-distance-bottom:0.00pt;" stroked="false">
                <v:path textboxrect="0,0,0,0"/>
                <v:imagedata r:id="rId6" o:title=""/>
              </v:shape>
            </w:pict>
          </mc:Fallback>
        </mc:AlternateContent>
      </w:r>
    </w:p>
    <w:p>
      <w:pPr>
        <w:pStyle w:val="a3"/>
        <w:jc w:val="right"/>
      </w:pPr>
    </w:p>
    <w:p>
      <w:pPr>
        <w:pStyle w:val="a3"/>
        <w:jc w:val="right"/>
      </w:pPr>
    </w:p>
    <w:p>
      <w:pPr>
        <w:pStyle w:val="a3"/>
        <w:spacing w:before="73"/>
        <w:jc w:val="right"/>
      </w:pPr>
    </w:p>
    <w:p>
      <w:pPr>
        <w:spacing w:before="113"/>
        <w:ind w:left="9" w:firstLine="4244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Управление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Росреестра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по Калининградской области</w:t>
      </w:r>
    </w:p>
    <w:p>
      <w:pPr>
        <w:spacing w:before="113"/>
        <w:ind w:firstLine="5803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236040, Калининградская </w:t>
      </w:r>
      <w:r>
        <w:rPr>
          <w:rFonts w:ascii="Arial" w:hAnsi="Arial" w:cs="Arial"/>
          <w:color w:val="000000"/>
          <w:sz w:val="20"/>
          <w:szCs w:val="20"/>
        </w:rPr>
        <w:t xml:space="preserve">обл</w:t>
      </w:r>
      <w:r>
        <w:rPr>
          <w:rFonts w:ascii="Arial" w:hAnsi="Arial" w:cs="Arial"/>
          <w:color w:val="000000"/>
          <w:sz w:val="20"/>
          <w:szCs w:val="20"/>
        </w:rPr>
        <w:t xml:space="preserve">, г. Калининград, ул. Генерала </w:t>
      </w:r>
      <w:r>
        <w:rPr>
          <w:rFonts w:ascii="Arial" w:hAnsi="Arial" w:cs="Arial"/>
          <w:color w:val="000000"/>
          <w:sz w:val="20"/>
          <w:szCs w:val="20"/>
        </w:rPr>
        <w:t xml:space="preserve">Соммера</w:t>
      </w:r>
      <w:r>
        <w:rPr>
          <w:rFonts w:ascii="Arial" w:hAnsi="Arial" w:cs="Arial"/>
          <w:color w:val="000000"/>
          <w:sz w:val="20"/>
          <w:szCs w:val="20"/>
        </w:rPr>
        <w:t xml:space="preserve">, д. 27</w:t>
      </w:r>
    </w:p>
    <w:p>
      <w:pPr>
        <w:spacing w:before="113"/>
        <w:ind w:firstLine="5803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ИНН 3906131304    КПП 390601001</w:t>
      </w:r>
    </w:p>
    <w:p>
      <w:pPr>
        <w:pStyle w:val="a3"/>
        <w:jc w:val="right"/>
        <w:rPr>
          <w:sz w:val="20"/>
        </w:rPr>
      </w:pPr>
    </w:p>
    <w:p>
      <w:pPr>
        <w:pStyle w:val="a3"/>
        <w:spacing w:before="203"/>
        <w:rPr>
          <w:sz w:val="20"/>
        </w:rPr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1587"/>
        <w:gridCol w:w="883"/>
        <w:gridCol w:w="1528"/>
      </w:tblGrid>
      <w:tr>
        <w:trPr>
          <w:trHeight w:val="277"/>
        </w:trPr>
        <w:tc>
          <w:tcPr>
            <w:tcW w:w="1587" w:type="dxa"/>
          </w:tcPr>
          <w:p>
            <w:pPr>
              <w:pStyle w:val="TableParagraph"/>
              <w:spacing w:before="0" w:line="238" w:lineRule="exact"/>
              <w:ind w:left="50"/>
              <w:jc w:val="left"/>
              <w:rPr>
                <w:sz w:val="21"/>
              </w:rPr>
            </w:pPr>
            <w:r>
              <w:rPr>
                <w:spacing w:val="1"/>
                <w:sz w:val="21"/>
                <w:u w:val="single"/>
              </w:rPr>
              <w:t xml:space="preserve"> </w:t>
            </w:r>
            <w:r>
              <w:rPr>
                <w:spacing w:val="-2"/>
                <w:sz w:val="21"/>
                <w:u w:val="single"/>
              </w:rPr>
              <w:t xml:space="preserve">30</w:t>
            </w:r>
            <w:bookmarkStart w:id="0" w:name="_GoBack"/>
            <w:bookmarkEnd w:id="0"/>
            <w:r>
              <w:rPr>
                <w:spacing w:val="-2"/>
                <w:sz w:val="21"/>
                <w:u w:val="single"/>
              </w:rPr>
              <w:t xml:space="preserve">.06.2026</w:t>
            </w:r>
            <w:r>
              <w:rPr>
                <w:spacing w:val="40"/>
                <w:sz w:val="21"/>
                <w:u w:val="single"/>
              </w:rPr>
              <w:t xml:space="preserve"> </w:t>
            </w:r>
          </w:p>
        </w:tc>
        <w:tc>
          <w:tcPr>
            <w:tcW w:w="883" w:type="dxa"/>
          </w:tcPr>
          <w:p>
            <w:pPr>
              <w:pStyle w:val="TableParagraph"/>
              <w:spacing w:before="0" w:line="238" w:lineRule="exact"/>
              <w:ind w:left="63" w:right="139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№</w:t>
            </w:r>
          </w:p>
        </w:tc>
        <w:tc>
          <w:tcPr>
            <w:tcW w:w="1528" w:type="dxa"/>
          </w:tcPr>
          <w:p>
            <w:pPr>
              <w:pStyle w:val="TableParagraph"/>
              <w:spacing w:before="0" w:line="238" w:lineRule="exact"/>
              <w:ind w:left="0"/>
              <w:jc w:val="left"/>
              <w:rPr>
                <w:sz w:val="21"/>
              </w:rPr>
            </w:pPr>
          </w:p>
        </w:tc>
      </w:tr>
      <w:tr>
        <w:trPr>
          <w:trHeight w:val="277"/>
        </w:trPr>
        <w:tc>
          <w:tcPr>
            <w:tcW w:w="1587" w:type="dxa"/>
          </w:tcPr>
          <w:p>
            <w:pPr>
              <w:pStyle w:val="TableParagraph"/>
              <w:tabs>
                <w:tab w:val="left" w:pos="1315"/>
              </w:tabs>
              <w:spacing w:before="34" w:line="223" w:lineRule="exact"/>
              <w:ind w:left="103"/>
              <w:jc w:val="left"/>
              <w:rPr>
                <w:sz w:val="21"/>
              </w:rPr>
            </w:pPr>
            <w:r>
              <w:rPr>
                <w:sz w:val="21"/>
              </w:rPr>
              <w:t xml:space="preserve">На №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883" w:type="dxa"/>
          </w:tcPr>
          <w:p>
            <w:pPr>
              <w:pStyle w:val="TableParagraph"/>
              <w:spacing w:before="34" w:line="223" w:lineRule="exact"/>
              <w:ind w:left="0" w:right="139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от</w:t>
            </w:r>
          </w:p>
        </w:tc>
        <w:tc>
          <w:tcPr>
            <w:tcW w:w="1528" w:type="dxa"/>
          </w:tcPr>
          <w:p>
            <w:pPr>
              <w:pStyle w:val="TableParagraph"/>
              <w:tabs>
                <w:tab w:val="left" w:pos="1097"/>
              </w:tabs>
              <w:spacing w:before="34" w:line="223" w:lineRule="exact"/>
              <w:ind w:left="397"/>
              <w:jc w:val="left"/>
              <w:rPr>
                <w:sz w:val="21"/>
              </w:rPr>
            </w:pPr>
            <w:r>
              <w:rPr>
                <w:w w:val="10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</w:tc>
      </w:tr>
    </w:tbl>
    <w:p>
      <w:pPr>
        <w:pStyle w:val="a3"/>
        <w:spacing w:before="11"/>
        <w:rPr>
          <w:sz w:val="6"/>
        </w:rPr>
      </w:pPr>
      <w:r>
        <w:rPr>
          <w:sz w:val="6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9776" behindDoc="1" locked="0" layoutInCell="1" allowOverlap="1">
                <wp:simplePos x="0" y="0"/>
                <wp:positionH relativeFrom="page">
                  <wp:posOffset>1053378</wp:posOffset>
                </wp:positionH>
                <wp:positionV relativeFrom="paragraph">
                  <wp:posOffset>66070</wp:posOffset>
                </wp:positionV>
                <wp:extent cx="2421975" cy="104013"/>
                <wp:effectExtent l="0" t="0" r="0" b="0"/>
                <wp:wrapTopAndBottom/>
                <wp:docPr id="2" name="Imag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  <pic:nvPr/>
                      </pic:nvPicPr>
                      <pic:blipFill>
                        <a:blip r:embed="rId7"/>
                        <a:stretch/>
                      </pic:blipFill>
                      <pic:spPr>
                        <a:xfrm>
                          <a:off x="0" y="0"/>
                          <a:ext cx="2421975" cy="1040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-251659776;o:allowoverlap:true;o:allowincell:true;mso-position-horizontal-relative:page;margin-left:82.94pt;mso-position-horizontal:absolute;mso-position-vertical-relative:text;margin-top:5.20pt;mso-position-vertical:absolute;width:190.71pt;height:8.19pt;mso-wrap-distance-left:0.00pt;mso-wrap-distance-top:0.00pt;mso-wrap-distance-right:0.00pt;mso-wrap-distance-bottom:0.00pt;" stroked="false">
                <v:path textboxrect="0,0,0,0"/>
                <w10:wrap type="topAndBottom"/>
                <v:imagedata r:id="rId7" o:title=""/>
              </v:shape>
            </w:pict>
          </mc:Fallback>
        </mc:AlternateContent>
      </w:r>
    </w:p>
    <w:p>
      <w:pPr>
        <w:pStyle w:val="a3"/>
        <w:spacing w:before="29"/>
        <w:ind w:left="238"/>
      </w:pPr>
      <w:r>
        <w:t xml:space="preserve">Коммерческое</w:t>
      </w:r>
      <w:r>
        <w:rPr>
          <w:spacing w:val="1"/>
        </w:rPr>
        <w:t xml:space="preserve"> </w:t>
      </w:r>
      <w:r>
        <w:rPr>
          <w:spacing w:val="-2"/>
        </w:rPr>
        <w:t xml:space="preserve">предложение</w:t>
      </w:r>
    </w:p>
    <w:p>
      <w:pPr>
        <w:pStyle w:val="a3"/>
        <w:spacing w:before="21"/>
      </w:pPr>
    </w:p>
    <w:p>
      <w:pPr>
        <w:pStyle w:val="a3"/>
        <w:spacing w:after="36"/>
        <w:ind w:left="184"/>
      </w:pPr>
      <w:r>
        <w:t xml:space="preserve">Предлагаем</w:t>
      </w:r>
      <w:r>
        <w:rPr>
          <w:spacing w:val="17"/>
        </w:rPr>
        <w:t xml:space="preserve"> </w:t>
      </w:r>
      <w:r>
        <w:t xml:space="preserve">рассмотреть</w:t>
      </w:r>
      <w:r>
        <w:rPr>
          <w:spacing w:val="18"/>
        </w:rPr>
        <w:t xml:space="preserve"> </w:t>
      </w:r>
      <w:r>
        <w:t xml:space="preserve">возможность</w:t>
      </w:r>
      <w:r>
        <w:rPr>
          <w:spacing w:val="17"/>
        </w:rPr>
        <w:t xml:space="preserve"> </w:t>
      </w:r>
      <w:r>
        <w:t xml:space="preserve">приобретения</w:t>
      </w:r>
      <w:r>
        <w:rPr>
          <w:spacing w:val="18"/>
        </w:rPr>
        <w:t xml:space="preserve"> </w:t>
      </w:r>
      <w:r>
        <w:t xml:space="preserve">«Контур </w:t>
      </w:r>
      <w:r>
        <w:t xml:space="preserve">Диадок</w:t>
      </w:r>
      <w:r>
        <w:rPr>
          <w:spacing w:val="-2"/>
        </w:rPr>
        <w:t xml:space="preserve">".</w:t>
      </w:r>
    </w:p>
    <w:tbl>
      <w:tblPr>
        <w:tblW w:w="10201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3401"/>
        <w:gridCol w:w="453"/>
        <w:gridCol w:w="566"/>
        <w:gridCol w:w="907"/>
        <w:gridCol w:w="1247"/>
        <w:gridCol w:w="1190"/>
        <w:gridCol w:w="850"/>
        <w:gridCol w:w="1247"/>
      </w:tblGrid>
      <w:tr>
        <w:trPr>
          <w:tblHeader/>
        </w:trPr>
        <w:tblPrEx>
          <w:tblCellMar>
            <w:left w:w="0" w:type="dxa"/>
            <w:top w:w="0" w:type="dxa"/>
            <w:right w:w="0" w:type="dxa"/>
            <w:bottom w:w="0" w:type="dxa"/>
          </w:tblCellMar>
        </w:tblPrEx>
        <w:tc>
          <w:tcPr>
            <w:tcW w:w="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№</w:t>
            </w:r>
          </w:p>
        </w:tc>
        <w:tc>
          <w:tcPr>
            <w:tcW w:w="3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Наименование</w:t>
            </w:r>
          </w:p>
        </w:tc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Ед.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</w:t>
            </w:r>
          </w:p>
        </w:tc>
        <w:tc>
          <w:tcPr>
            <w:tcW w:w="9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Цена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Стоимость без налога</w:t>
            </w:r>
          </w:p>
        </w:tc>
        <w:tc>
          <w:tcPr>
            <w:tcW w:w="1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Налоговая ставка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Сумма налога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Стоимость с налогом</w:t>
            </w:r>
          </w:p>
        </w:tc>
      </w:tr>
      <w:tr>
        <w:tblPrEx>
          <w:tblCellMar>
            <w:left w:w="0" w:type="dxa"/>
            <w:top w:w="0" w:type="dxa"/>
            <w:right w:w="0" w:type="dxa"/>
            <w:bottom w:w="0" w:type="dxa"/>
          </w:tblCellMar>
        </w:tblPrEx>
        <w:tc>
          <w:tcPr>
            <w:tcW w:w="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w="3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vAlign w:val="center"/>
          </w:tcPr>
          <w:p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Право использования программы для ЭВМ 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Контур.Диадок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», тарифный план «250 документов»</w:t>
            </w:r>
          </w:p>
        </w:tc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шт.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1,00</w:t>
            </w:r>
          </w:p>
        </w:tc>
        <w:tc>
          <w:tcPr>
            <w:tcW w:w="9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2300,00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2300,00</w:t>
            </w:r>
          </w:p>
        </w:tc>
        <w:tc>
          <w:tcPr>
            <w:tcW w:w="1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Без НДС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Без НДС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vAlign w:val="center"/>
          </w:tcPr>
          <w:p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2300,00</w:t>
            </w:r>
          </w:p>
        </w:tc>
      </w:tr>
      <w:tr>
        <w:tblPrEx>
          <w:tblCellMar>
            <w:left w:w="0" w:type="dxa"/>
            <w:top w:w="0" w:type="dxa"/>
            <w:right w:w="0" w:type="dxa"/>
            <w:bottom w:w="0" w:type="dxa"/>
          </w:tblCellMar>
        </w:tblPrEx>
        <w:tc>
          <w:tcPr>
            <w:tcW w:w="8104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ИТОГО: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Без НДС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2300,00</w:t>
            </w:r>
          </w:p>
        </w:tc>
      </w:tr>
    </w:tbl>
    <w:p>
      <w:pPr>
        <w:pStyle w:val="a3"/>
        <w:spacing w:line="235" w:lineRule="exact"/>
        <w:ind w:left="184"/>
        <w:jc w:val="both"/>
      </w:pPr>
      <w:r>
        <w:t xml:space="preserve">Коммерческое</w:t>
      </w:r>
      <w:r>
        <w:rPr>
          <w:spacing w:val="11"/>
        </w:rPr>
        <w:t xml:space="preserve"> </w:t>
      </w:r>
      <w:r>
        <w:t xml:space="preserve">предложение</w:t>
      </w:r>
      <w:r>
        <w:rPr>
          <w:spacing w:val="11"/>
        </w:rPr>
        <w:t xml:space="preserve"> </w:t>
      </w:r>
      <w:r>
        <w:t xml:space="preserve">действительно</w:t>
      </w:r>
      <w:r>
        <w:rPr>
          <w:spacing w:val="11"/>
        </w:rPr>
        <w:t xml:space="preserve"> </w:t>
      </w:r>
      <w:r>
        <w:t xml:space="preserve">3</w:t>
      </w:r>
      <w:r>
        <w:rPr>
          <w:spacing w:val="11"/>
        </w:rPr>
        <w:t xml:space="preserve"> </w:t>
      </w:r>
      <w:r>
        <w:rPr>
          <w:spacing w:val="-2"/>
        </w:rPr>
        <w:t xml:space="preserve">месяца.</w:t>
      </w:r>
    </w:p>
    <w:p>
      <w:pPr>
        <w:pStyle w:val="a3"/>
        <w:spacing w:before="64" w:line="304" w:lineRule="auto"/>
        <w:ind w:left="184" w:right="57"/>
        <w:jc w:val="both"/>
      </w:pPr>
      <w:r>
        <w:t xml:space="preserve">Стоимость</w:t>
      </w:r>
      <w:r>
        <w:rPr>
          <w:spacing w:val="40"/>
        </w:rPr>
        <w:t xml:space="preserve"> </w:t>
      </w:r>
      <w:r>
        <w:t xml:space="preserve">права</w:t>
      </w:r>
      <w:r>
        <w:rPr>
          <w:spacing w:val="40"/>
        </w:rPr>
        <w:t xml:space="preserve"> </w:t>
      </w:r>
      <w:r>
        <w:t xml:space="preserve">использования</w:t>
      </w:r>
      <w:r>
        <w:rPr>
          <w:spacing w:val="40"/>
        </w:rPr>
        <w:t xml:space="preserve"> </w:t>
      </w:r>
      <w:r>
        <w:t xml:space="preserve">программы</w:t>
      </w:r>
      <w:r>
        <w:rPr>
          <w:spacing w:val="40"/>
        </w:rPr>
        <w:t xml:space="preserve"> </w:t>
      </w:r>
      <w:r>
        <w:t xml:space="preserve">для</w:t>
      </w:r>
      <w:r>
        <w:rPr>
          <w:spacing w:val="40"/>
        </w:rPr>
        <w:t xml:space="preserve"> </w:t>
      </w:r>
      <w:r>
        <w:t xml:space="preserve">ЭВМ,</w:t>
      </w:r>
      <w:r>
        <w:rPr>
          <w:spacing w:val="40"/>
        </w:rPr>
        <w:t xml:space="preserve"> </w:t>
      </w:r>
      <w:r>
        <w:t xml:space="preserve">внесенной</w:t>
      </w:r>
      <w:r>
        <w:rPr>
          <w:spacing w:val="40"/>
        </w:rPr>
        <w:t xml:space="preserve"> </w:t>
      </w:r>
      <w:r>
        <w:t xml:space="preserve">в</w:t>
      </w:r>
      <w:r>
        <w:rPr>
          <w:spacing w:val="40"/>
        </w:rPr>
        <w:t xml:space="preserve"> </w:t>
      </w:r>
      <w:r>
        <w:t xml:space="preserve">единый</w:t>
      </w:r>
      <w:r>
        <w:rPr>
          <w:spacing w:val="40"/>
        </w:rPr>
        <w:t xml:space="preserve"> </w:t>
      </w:r>
      <w:r>
        <w:t xml:space="preserve">реестр</w:t>
      </w:r>
      <w:r>
        <w:rPr>
          <w:spacing w:val="40"/>
        </w:rPr>
        <w:t xml:space="preserve"> </w:t>
      </w:r>
      <w:r>
        <w:t xml:space="preserve">российских программ</w:t>
      </w:r>
      <w:r>
        <w:rPr>
          <w:spacing w:val="40"/>
        </w:rPr>
        <w:t xml:space="preserve"> </w:t>
      </w:r>
      <w:r>
        <w:t xml:space="preserve">для</w:t>
      </w:r>
      <w:r>
        <w:rPr>
          <w:spacing w:val="40"/>
        </w:rPr>
        <w:t xml:space="preserve"> </w:t>
      </w:r>
      <w:r>
        <w:t xml:space="preserve">электронных</w:t>
      </w:r>
      <w:r>
        <w:rPr>
          <w:spacing w:val="40"/>
        </w:rPr>
        <w:t xml:space="preserve"> </w:t>
      </w:r>
      <w:r>
        <w:t xml:space="preserve">вычислительных</w:t>
      </w:r>
      <w:r>
        <w:rPr>
          <w:spacing w:val="40"/>
        </w:rPr>
        <w:t xml:space="preserve"> </w:t>
      </w:r>
      <w:r>
        <w:t xml:space="preserve">машин</w:t>
      </w:r>
      <w:r>
        <w:rPr>
          <w:spacing w:val="40"/>
        </w:rPr>
        <w:t xml:space="preserve"> </w:t>
      </w:r>
      <w:r>
        <w:t xml:space="preserve">и</w:t>
      </w:r>
      <w:r>
        <w:rPr>
          <w:spacing w:val="40"/>
        </w:rPr>
        <w:t xml:space="preserve"> </w:t>
      </w:r>
      <w:r>
        <w:t xml:space="preserve">баз</w:t>
      </w:r>
      <w:r>
        <w:rPr>
          <w:spacing w:val="40"/>
        </w:rPr>
        <w:t xml:space="preserve"> </w:t>
      </w:r>
      <w:r>
        <w:t xml:space="preserve">данных,</w:t>
      </w:r>
      <w:r>
        <w:rPr>
          <w:spacing w:val="40"/>
        </w:rPr>
        <w:t xml:space="preserve"> </w:t>
      </w:r>
      <w:r>
        <w:t xml:space="preserve">НДС</w:t>
      </w:r>
      <w:r>
        <w:rPr>
          <w:spacing w:val="40"/>
        </w:rPr>
        <w:t xml:space="preserve"> </w:t>
      </w:r>
      <w:r>
        <w:t xml:space="preserve">не</w:t>
      </w:r>
      <w:r>
        <w:rPr>
          <w:spacing w:val="40"/>
        </w:rPr>
        <w:t xml:space="preserve"> </w:t>
      </w:r>
      <w:r>
        <w:t xml:space="preserve">облагается</w:t>
      </w:r>
      <w:r>
        <w:rPr>
          <w:spacing w:val="40"/>
        </w:rPr>
        <w:t xml:space="preserve"> </w:t>
      </w:r>
      <w:r>
        <w:t xml:space="preserve">на</w:t>
      </w:r>
      <w:r>
        <w:rPr>
          <w:spacing w:val="40"/>
        </w:rPr>
        <w:t xml:space="preserve"> </w:t>
      </w:r>
      <w:r>
        <w:t xml:space="preserve">основании </w:t>
      </w:r>
      <w:r>
        <w:t xml:space="preserve">пп</w:t>
      </w:r>
      <w:r>
        <w:t xml:space="preserve">. 26 п. 2 ст. 149 НК РФ. НДС к стоимости остальных позиций НДС начисляется по ставке, установленной п.3 ст. 164 НК РФ.</w:t>
      </w:r>
    </w:p>
    <w:p>
      <w:pPr>
        <w:pStyle w:val="a3"/>
        <w:spacing w:line="304" w:lineRule="auto"/>
        <w:ind w:left="184" w:right="57"/>
        <w:jc w:val="both"/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16160" behindDoc="1" locked="0" layoutInCell="1" allowOverlap="1">
                <wp:simplePos x="0" y="0"/>
                <wp:positionH relativeFrom="page">
                  <wp:posOffset>3028950</wp:posOffset>
                </wp:positionH>
                <wp:positionV relativeFrom="paragraph">
                  <wp:posOffset>385955</wp:posOffset>
                </wp:positionV>
                <wp:extent cx="828675" cy="720090"/>
                <wp:effectExtent l="0" t="0" r="0" b="0"/>
                <wp:wrapNone/>
                <wp:docPr id="3" name="Imag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>
                        <a:xfrm>
                          <a:off x="0" y="0"/>
                          <a:ext cx="828675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-487516160;o:allowoverlap:true;o:allowincell:true;mso-position-horizontal-relative:page;margin-left:238.50pt;mso-position-horizontal:absolute;mso-position-vertical-relative:text;margin-top:30.39pt;mso-position-vertical:absolute;width:65.25pt;height:56.7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t xml:space="preserve">АО «ПФ «СКБ Контур» имеет расчетные счета в трех банках. Оплата производится по реквизитам, указанным в счете.</w:t>
      </w:r>
    </w:p>
    <w:p>
      <w:pPr>
        <w:pStyle w:val="a3"/>
      </w:pPr>
    </w:p>
    <w:p>
      <w:pPr>
        <w:pStyle w:val="a3"/>
        <w:spacing w:before="62"/>
      </w:pPr>
    </w:p>
    <w:p>
      <w:pPr>
        <w:pStyle w:val="a3"/>
        <w:tabs>
          <w:tab w:val="left" w:pos="5413"/>
        </w:tabs>
        <w:ind w:left="211"/>
      </w:pPr>
      <w:r>
        <w:t xml:space="preserve">Генеральный</w:t>
      </w:r>
      <w:r>
        <w:rPr>
          <w:spacing w:val="8"/>
        </w:rPr>
        <w:t xml:space="preserve"> </w:t>
      </w:r>
      <w:r>
        <w:rPr>
          <w:spacing w:val="-2"/>
        </w:rPr>
        <w:t xml:space="preserve">директор</w:t>
      </w:r>
      <w:r>
        <w:tab/>
        <w:t xml:space="preserve">Д.</w:t>
      </w:r>
      <w:r>
        <w:rPr>
          <w:spacing w:val="5"/>
        </w:rPr>
        <w:t xml:space="preserve"> </w:t>
      </w:r>
      <w:r>
        <w:t xml:space="preserve">М.</w:t>
      </w:r>
      <w:r>
        <w:rPr>
          <w:spacing w:val="5"/>
        </w:rPr>
        <w:t xml:space="preserve"> </w:t>
      </w:r>
      <w:r>
        <w:rPr>
          <w:spacing w:val="-2"/>
        </w:rPr>
        <w:t xml:space="preserve">Мраморов</w:t>
      </w:r>
    </w:p>
    <w:p>
      <w:pPr>
        <w:pStyle w:val="a3"/>
      </w:pPr>
    </w:p>
    <w:p>
      <w:pPr>
        <w:pStyle w:val="a3"/>
        <w:spacing w:before="115"/>
      </w:pPr>
    </w:p>
    <w:p>
      <w:pPr>
        <w:ind w:left="184"/>
        <w:jc w:val="both"/>
        <w:rPr>
          <w:sz w:val="14"/>
        </w:rPr>
      </w:pPr>
      <w:r>
        <w:rPr>
          <w:sz w:val="14"/>
        </w:rPr>
        <w:t xml:space="preserve">Дмитриченко</w:t>
      </w:r>
      <w:r>
        <w:rPr>
          <w:spacing w:val="8"/>
          <w:sz w:val="14"/>
        </w:rPr>
        <w:t xml:space="preserve"> </w:t>
      </w:r>
      <w:r>
        <w:rPr>
          <w:sz w:val="14"/>
        </w:rPr>
        <w:t xml:space="preserve">Остап</w:t>
      </w:r>
      <w:r>
        <w:rPr>
          <w:spacing w:val="9"/>
          <w:sz w:val="14"/>
        </w:rPr>
        <w:t xml:space="preserve"> </w:t>
      </w:r>
      <w:r>
        <w:rPr>
          <w:spacing w:val="-2"/>
          <w:sz w:val="14"/>
        </w:rPr>
        <w:t xml:space="preserve">Геннадьевич</w:t>
      </w:r>
    </w:p>
    <w:p>
      <w:pPr>
        <w:spacing w:before="46"/>
        <w:ind w:left="184"/>
        <w:jc w:val="both"/>
        <w:rPr>
          <w:sz w:val="14"/>
        </w:rPr>
      </w:pPr>
      <w:r>
        <w:rPr>
          <w:sz w:val="14"/>
        </w:rPr>
        <w:t xml:space="preserve">+7</w:t>
      </w:r>
      <w:r>
        <w:rPr>
          <w:spacing w:val="7"/>
          <w:sz w:val="14"/>
        </w:rPr>
        <w:t xml:space="preserve"> </w:t>
      </w:r>
      <w:r>
        <w:rPr>
          <w:sz w:val="14"/>
        </w:rPr>
        <w:t xml:space="preserve">(343)</w:t>
      </w:r>
      <w:r>
        <w:rPr>
          <w:spacing w:val="7"/>
          <w:sz w:val="14"/>
        </w:rPr>
        <w:t xml:space="preserve"> </w:t>
      </w:r>
      <w:r>
        <w:rPr>
          <w:sz w:val="14"/>
        </w:rPr>
        <w:t xml:space="preserve">278-69-59</w:t>
      </w:r>
      <w:r>
        <w:rPr>
          <w:spacing w:val="8"/>
          <w:sz w:val="14"/>
        </w:rPr>
        <w:t xml:space="preserve"> </w:t>
      </w:r>
      <w:r>
        <w:rPr>
          <w:sz w:val="14"/>
        </w:rPr>
        <w:t xml:space="preserve">доб.</w:t>
      </w:r>
      <w:r>
        <w:rPr>
          <w:spacing w:val="7"/>
          <w:sz w:val="14"/>
        </w:rPr>
        <w:t xml:space="preserve"> </w:t>
      </w:r>
      <w:r>
        <w:rPr>
          <w:spacing w:val="-10"/>
          <w:sz w:val="14"/>
        </w:rPr>
        <w:t xml:space="preserve">4</w:t>
      </w:r>
    </w:p>
    <w:sectPr>
      <w:type w:val="continuous"/>
      <w:pgSz w:w="11920" w:h="16840"/>
      <w:pgMar w:top="1320" w:right="708" w:bottom="28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uiPriority w:val="1"/>
    <w:qFormat/>
    <w:rPr>
      <w:rFonts w:ascii="Times New Roman" w:hAnsi="Times New Roman" w:eastAsia="Times New Roman" w:cs="Times New Roman"/>
      <w:lang w:val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styleId="TableParagraph" w:customStyle="1">
    <w:name w:val="Table Paragraph"/>
    <w:basedOn w:val="a"/>
    <w:uiPriority w:val="1"/>
    <w:qFormat/>
    <w:pPr>
      <w:spacing w:before="120"/>
      <w:ind w:left="13"/>
      <w:jc w:val="center"/>
    </w:p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a6" w:customStyle="1">
    <w:name w:val="Текст выноски Знак"/>
    <w:basedOn w:val="a0"/>
    <w:link w:val="a5"/>
    <w:uiPriority w:val="99"/>
    <w:semiHidden/>
    <w:rPr>
      <w:rFonts w:ascii="Segoe UI" w:hAnsi="Segoe UI" w:eastAsia="Times New Roman" w:cs="Segoe UI"/>
      <w:sz w:val="18"/>
      <w:szCs w:val="18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image" Target="media/image1.jp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Liberation Sans"/>
        <a:cs typeface="Liberation Sans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941</Characters>
  <CharactersWithSpaces>1103</CharactersWithSpaces>
  <Company>INOK</Company>
  <DocSecurity>0</DocSecurity>
  <HyperlinksChanged>false</HyperlinksChanged>
  <Lines>7</Lines>
  <LinksUpToDate>false</LinksUpToDate>
  <Pages>1</Pages>
  <Paragraphs>2</Paragraphs>
  <ScaleCrop>false</ScaleCrop>
  <SharedDoc>false</SharedDoc>
  <Template>Normal</Template>
  <TotalTime>0</TotalTime>
  <Words>164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КП</dc:title>
  <dc:creator>Ялыця Ирина</dc:creator>
  <cp:lastModifiedBy>graschenko_ev</cp:lastModifiedBy>
  <cp:revision>2</cp:revision>
  <cp:lastPrinted>2026-06-29T12:43:00Z</cp:lastPrinted>
  <dcterms:created xsi:type="dcterms:W3CDTF">2026-06-30T09:10:00Z</dcterms:created>
  <dcterms:modified xsi:type="dcterms:W3CDTF">2026-06-30T09:10:00Z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2026-05-20T00:00:00Z</vt:filetime>
  </property>
  <property fmtid="{D5CDD505-2E9C-101B-9397-08002B2CF9AE}" pid="4" name="Creator">
    <vt:lpwstr>Mozilla/5.0 (X11; Linux x86_64) AppleWebKit/537.36 (KHTML, like Gecko) HeadlessChrome/141.0.0.0 Safari/537.36</vt:lpwstr>
  </property>
  <property fmtid="{D5CDD505-2E9C-101B-9397-08002B2CF9AE}" pid="5" name="LastSaved">
    <vt:filetime>2026-06-29T00:00:00Z</vt:filetime>
  </property>
  <property fmtid="{D5CDD505-2E9C-101B-9397-08002B2CF9AE}" pid="6" name="Producer">
    <vt:lpwstr>Skia/PDF m141</vt:lpwstr>
  </property>
</Properties>
</file>