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8BAC" w14:textId="77777777" w:rsidR="00A22C67" w:rsidRDefault="0096000E">
      <w:pPr>
        <w:spacing w:after="40"/>
        <w:jc w:val="center"/>
      </w:pPr>
      <w:r>
        <w:rPr>
          <w:b/>
          <w:bCs/>
          <w:color w:val="1F3864"/>
          <w:sz w:val="32"/>
          <w:szCs w:val="32"/>
        </w:rPr>
        <w:t>Техническое задание</w:t>
      </w:r>
    </w:p>
    <w:p w14:paraId="33683D72" w14:textId="77777777" w:rsidR="00A22C67" w:rsidRDefault="0096000E">
      <w:pPr>
        <w:pBdr>
          <w:bottom w:val="single" w:sz="8" w:space="4" w:color="1F3864"/>
        </w:pBdr>
        <w:spacing w:after="60"/>
        <w:jc w:val="center"/>
      </w:pPr>
      <w:r>
        <w:rPr>
          <w:color w:val="404040"/>
          <w:sz w:val="24"/>
          <w:szCs w:val="24"/>
        </w:rPr>
        <w:t>Разработка макетов научно-образовательных стендов</w:t>
      </w:r>
      <w:r>
        <w:rPr>
          <w:color w:val="404040"/>
        </w:rPr>
        <w:t xml:space="preserve"> Камчатский государственный университет имени Витуса Беринга</w:t>
      </w:r>
    </w:p>
    <w:p w14:paraId="410A10D6" w14:textId="77777777" w:rsidR="00A22C67" w:rsidRDefault="0096000E">
      <w:pPr>
        <w:keepNext/>
        <w:spacing w:before="260" w:after="120"/>
      </w:pPr>
      <w:r>
        <w:rPr>
          <w:b/>
          <w:bCs/>
          <w:color w:val="1F3864"/>
          <w:sz w:val="26"/>
          <w:szCs w:val="26"/>
        </w:rPr>
        <w:t>Предмет договора — 1 вариант</w:t>
      </w:r>
    </w:p>
    <w:p w14:paraId="3A34B417" w14:textId="77777777" w:rsidR="00A22C67" w:rsidRDefault="0096000E">
      <w:pPr>
        <w:spacing w:after="110" w:line="276" w:lineRule="auto"/>
      </w:pPr>
      <w:bookmarkStart w:id="0" w:name="_GoBack"/>
      <w:r>
        <w:t>Разработка дизайн-макетов комплекса научно-образовательных стендов Камчатского государственного университета имени Витуса Беринга по ключевым направлениям деятельности университета.</w:t>
      </w:r>
    </w:p>
    <w:bookmarkEnd w:id="0"/>
    <w:p w14:paraId="79C0F93B" w14:textId="77777777" w:rsidR="00A22C67" w:rsidRDefault="0096000E">
      <w:pPr>
        <w:keepNext/>
        <w:spacing w:before="260" w:after="120"/>
      </w:pPr>
      <w:r>
        <w:rPr>
          <w:b/>
          <w:bCs/>
          <w:color w:val="1F3864"/>
          <w:sz w:val="26"/>
          <w:szCs w:val="26"/>
        </w:rPr>
        <w:t>Цели проекта</w:t>
      </w:r>
    </w:p>
    <w:p w14:paraId="7B264571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Создать единую визуально-смысловую концепцию пространства университета — «стены, которые говорят»: каждый стенд несёт и эмоциональный посыл, и содержание.</w:t>
      </w:r>
    </w:p>
    <w:p w14:paraId="0642E761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 xml:space="preserve">Упаковать ключевые направления деятельности вуза в систему стендов с понятной навигацией и единым фирменным стилем (визуальный код «волна/вулкан», </w:t>
      </w:r>
      <w:proofErr w:type="spellStart"/>
      <w:r>
        <w:t>цветокод</w:t>
      </w:r>
      <w:proofErr w:type="spellEnd"/>
      <w:r>
        <w:t>).</w:t>
      </w:r>
    </w:p>
    <w:p w14:paraId="4FB33A4C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Подготовить готовые к производству дизайн-макеты стендов по всем направлениям из перечня.</w:t>
      </w:r>
    </w:p>
    <w:p w14:paraId="29D04915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Передать заказчику исходные файлы и краткое руководство для дальнейшего тиражирования и обновления стендов.</w:t>
      </w:r>
    </w:p>
    <w:p w14:paraId="36906B71" w14:textId="77777777" w:rsidR="00A22C67" w:rsidRDefault="0096000E">
      <w:pPr>
        <w:keepNext/>
        <w:spacing w:before="260" w:after="120"/>
      </w:pPr>
      <w:r>
        <w:rPr>
          <w:b/>
          <w:bCs/>
          <w:color w:val="1F3864"/>
          <w:sz w:val="26"/>
          <w:szCs w:val="26"/>
        </w:rPr>
        <w:t>Перечень направлений стендов</w:t>
      </w:r>
    </w:p>
    <w:p w14:paraId="5D76AC75" w14:textId="77777777" w:rsidR="00A22C67" w:rsidRDefault="0096000E">
      <w:pPr>
        <w:spacing w:after="110" w:line="276" w:lineRule="auto"/>
      </w:pPr>
      <w:r>
        <w:rPr>
          <w:i/>
          <w:iCs/>
          <w:color w:val="404040"/>
        </w:rPr>
        <w:t>Комплекс включает макеты по следующим направлениям (всего 14; точное число физических носителей уточняется на этапе концепции):</w:t>
      </w:r>
    </w:p>
    <w:p w14:paraId="2CC2FF9D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Имидж университета — «Университет первооткрывателей». </w:t>
      </w:r>
      <w:r>
        <w:t>Вводный имиджевый стенд: идентичность, миссия, ценности, компетенции первооткрывателя.</w:t>
      </w:r>
    </w:p>
    <w:p w14:paraId="4FD4EE38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Поступление и возможности — «Вулкан возможностей». </w:t>
      </w:r>
      <w:r>
        <w:t>Ключевые преимущества и цифры приёма, программы, стипендии, уникальные предложения.</w:t>
      </w:r>
    </w:p>
    <w:p w14:paraId="36C3BF6C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Кампус первооткрывателей. </w:t>
      </w:r>
      <w:r>
        <w:t>Город науки на берегу океана: визуализация и параметры будущего кампуса.</w:t>
      </w:r>
    </w:p>
    <w:p w14:paraId="0E936D5A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Научные направления и экспедиции. </w:t>
      </w:r>
      <w:r>
        <w:t>Вулканология и сейсмология; геотермальная энергетика; биотехнология и экономика океана; благополучие человека и туризм; экспедиции на Камчатке.</w:t>
      </w:r>
    </w:p>
    <w:p w14:paraId="48D6C460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Программа развития и стратегические цели. </w:t>
      </w:r>
      <w:r>
        <w:t>«Жить и учиться на Камчатке — работать со всем миром»: стратегические ориентиры вуза.</w:t>
      </w:r>
    </w:p>
    <w:p w14:paraId="723876EE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Стратегический проект «Вулканическая бальнеология». </w:t>
      </w:r>
      <w:r>
        <w:t>Цифровые и бальнеологические продукты на природных компонентах Камчатки.</w:t>
      </w:r>
    </w:p>
    <w:p w14:paraId="7B37836A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>Стратегический проект «</w:t>
      </w:r>
      <w:proofErr w:type="spellStart"/>
      <w:r>
        <w:rPr>
          <w:b/>
          <w:bCs/>
        </w:rPr>
        <w:t>Геотерм</w:t>
      </w:r>
      <w:proofErr w:type="spellEnd"/>
      <w:r>
        <w:rPr>
          <w:b/>
          <w:bCs/>
        </w:rPr>
        <w:t xml:space="preserve"> Камчатки». </w:t>
      </w:r>
      <w:r>
        <w:t>Технологии автономной геотермальной энергетики и инжиниринговые услуги.</w:t>
      </w:r>
    </w:p>
    <w:p w14:paraId="1BB97C8F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Образование. </w:t>
      </w:r>
      <w:r>
        <w:t>Кластеры, факультеты, модель управления образованием и сетевые программы.</w:t>
      </w:r>
    </w:p>
    <w:p w14:paraId="35EC47F3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Партнёры. </w:t>
      </w:r>
      <w:r>
        <w:t>Сеть «Камчатка — Россия — мир»: партнёры региона, страны и зарубежья.</w:t>
      </w:r>
    </w:p>
    <w:p w14:paraId="4491127D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Наука и лаборатории. </w:t>
      </w:r>
      <w:r>
        <w:t>Научные и молодёжные лаборатории университета.</w:t>
      </w:r>
    </w:p>
    <w:p w14:paraId="0C7F1DC1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lastRenderedPageBreak/>
        <w:t xml:space="preserve">Популяризация науки. </w:t>
      </w:r>
      <w:r>
        <w:t>Научно-популярные проекты, фестивали, экспедиции, проектный офис.</w:t>
      </w:r>
    </w:p>
    <w:p w14:paraId="03A52E83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Технологический трансфер. </w:t>
      </w:r>
      <w:r>
        <w:t>Коммерциализация результатов исследований и сервисы для учёных.</w:t>
      </w:r>
    </w:p>
    <w:p w14:paraId="72F6104F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Студенческая жизнь (молодёжная среда). </w:t>
      </w:r>
      <w:r>
        <w:t xml:space="preserve">Клубы и объединения, творчество, медиа, </w:t>
      </w:r>
      <w:proofErr w:type="spellStart"/>
      <w:r>
        <w:t>волонтёрство</w:t>
      </w:r>
      <w:proofErr w:type="spellEnd"/>
      <w:r>
        <w:t>, самоуправление.</w:t>
      </w:r>
    </w:p>
    <w:p w14:paraId="64DC93CB" w14:textId="77777777" w:rsidR="00A22C67" w:rsidRDefault="0096000E">
      <w:pPr>
        <w:pStyle w:val="a4"/>
        <w:numPr>
          <w:ilvl w:val="0"/>
          <w:numId w:val="3"/>
        </w:numPr>
        <w:spacing w:after="70" w:line="270" w:lineRule="auto"/>
      </w:pPr>
      <w:r>
        <w:rPr>
          <w:b/>
          <w:bCs/>
        </w:rPr>
        <w:t xml:space="preserve">История университета. </w:t>
      </w:r>
      <w:r>
        <w:t>Путь вуза с 1958 года, имя Витуса Беринга, первые преподаватели и ректоры.</w:t>
      </w:r>
    </w:p>
    <w:p w14:paraId="7D1EBE91" w14:textId="77777777" w:rsidR="00A22C67" w:rsidRDefault="0096000E">
      <w:pPr>
        <w:keepNext/>
        <w:spacing w:before="260" w:after="120"/>
      </w:pPr>
      <w:r>
        <w:rPr>
          <w:b/>
          <w:bCs/>
          <w:color w:val="1F3864"/>
          <w:sz w:val="26"/>
          <w:szCs w:val="26"/>
        </w:rPr>
        <w:t>Этапы работы и требования к результатам</w:t>
      </w:r>
    </w:p>
    <w:p w14:paraId="1F81A921" w14:textId="77777777" w:rsidR="00A22C67" w:rsidRDefault="0096000E">
      <w:pPr>
        <w:keepNext/>
        <w:spacing w:before="160" w:after="80"/>
      </w:pPr>
      <w:r>
        <w:rPr>
          <w:b/>
          <w:bCs/>
          <w:color w:val="404040"/>
          <w:sz w:val="23"/>
          <w:szCs w:val="23"/>
        </w:rPr>
        <w:t>Этап 1. Концепция и структура</w:t>
      </w:r>
    </w:p>
    <w:p w14:paraId="4C42128E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Анализ материалов и фактуры, предоставленных университетом.</w:t>
      </w:r>
    </w:p>
    <w:p w14:paraId="1DCEBAF0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 xml:space="preserve">Разработка единой смысловой и визуальной концепции комплекса стендов (визуальный код, </w:t>
      </w:r>
      <w:proofErr w:type="spellStart"/>
      <w:r>
        <w:t>цветокод</w:t>
      </w:r>
      <w:proofErr w:type="spellEnd"/>
      <w:r>
        <w:t>, тон коммуникации).</w:t>
      </w:r>
    </w:p>
    <w:p w14:paraId="1EE64B80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Навигация и распределение 14 направлений по стендам, определение состава и логики маршрута.</w:t>
      </w:r>
    </w:p>
    <w:p w14:paraId="03EB3DD4" w14:textId="77777777" w:rsidR="00A22C67" w:rsidRDefault="0096000E">
      <w:pPr>
        <w:spacing w:before="40" w:after="40"/>
      </w:pPr>
      <w:r>
        <w:rPr>
          <w:b/>
          <w:bCs/>
          <w:i/>
          <w:iCs/>
        </w:rPr>
        <w:t xml:space="preserve">Результат: </w:t>
      </w:r>
    </w:p>
    <w:p w14:paraId="72AF96B3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Утверждённый документ с концепцией и картой стендов по направлениям.</w:t>
      </w:r>
    </w:p>
    <w:p w14:paraId="55354311" w14:textId="77777777" w:rsidR="00A22C67" w:rsidRDefault="0096000E">
      <w:pPr>
        <w:keepNext/>
        <w:spacing w:before="160" w:after="80"/>
      </w:pPr>
      <w:r>
        <w:rPr>
          <w:b/>
          <w:bCs/>
          <w:color w:val="404040"/>
          <w:sz w:val="23"/>
          <w:szCs w:val="23"/>
        </w:rPr>
        <w:t>Этап 2. Тексты и редактура</w:t>
      </w:r>
    </w:p>
    <w:p w14:paraId="775ACEB2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Копирайтинг и редактирование текстов по каждому направлению (заголовки, подзаголовки, основной текст, подписи).</w:t>
      </w:r>
    </w:p>
    <w:p w14:paraId="71B8759A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Отбор ключевых «продающих» цифр и фактов (без перегруза статистикой).</w:t>
      </w:r>
    </w:p>
    <w:p w14:paraId="4C84875C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Проработка QR-логики и призывов к действию.</w:t>
      </w:r>
    </w:p>
    <w:p w14:paraId="1349BC5A" w14:textId="77777777" w:rsidR="00A22C67" w:rsidRDefault="0096000E">
      <w:pPr>
        <w:spacing w:before="40" w:after="40"/>
      </w:pPr>
      <w:r>
        <w:rPr>
          <w:b/>
          <w:bCs/>
          <w:i/>
          <w:iCs/>
        </w:rPr>
        <w:t xml:space="preserve">Результат: </w:t>
      </w:r>
    </w:p>
    <w:p w14:paraId="0ECB79B4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Утверждённые тексты для всех стендов по 14 направлениям.</w:t>
      </w:r>
    </w:p>
    <w:p w14:paraId="2F0899ED" w14:textId="77777777" w:rsidR="00A22C67" w:rsidRDefault="0096000E">
      <w:pPr>
        <w:keepNext/>
        <w:spacing w:before="160" w:after="80"/>
      </w:pPr>
      <w:r>
        <w:rPr>
          <w:b/>
          <w:bCs/>
          <w:color w:val="404040"/>
          <w:sz w:val="23"/>
          <w:szCs w:val="23"/>
        </w:rPr>
        <w:t>Этап 3. Дизайн-макеты</w:t>
      </w:r>
    </w:p>
    <w:p w14:paraId="7805E107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Разработка дизайн-макетов каждого стенда в едином фирменном стиле.</w:t>
      </w:r>
    </w:p>
    <w:p w14:paraId="1496B1C5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 xml:space="preserve">Создание </w:t>
      </w:r>
      <w:proofErr w:type="spellStart"/>
      <w:r>
        <w:t>инфографики</w:t>
      </w:r>
      <w:proofErr w:type="spellEnd"/>
      <w:r>
        <w:t xml:space="preserve">, </w:t>
      </w:r>
      <w:proofErr w:type="spellStart"/>
      <w:r>
        <w:t>иконографики</w:t>
      </w:r>
      <w:proofErr w:type="spellEnd"/>
      <w:r>
        <w:t>, схем и диаграмм.</w:t>
      </w:r>
    </w:p>
    <w:p w14:paraId="742E9F84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 xml:space="preserve">Подбор и обработка изображений и </w:t>
      </w:r>
      <w:proofErr w:type="spellStart"/>
      <w:r>
        <w:t>визуалов</w:t>
      </w:r>
      <w:proofErr w:type="spellEnd"/>
      <w:r>
        <w:t>.</w:t>
      </w:r>
    </w:p>
    <w:p w14:paraId="3BAA79B3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Внесение корректировок (до 5 итераций правок на макет).</w:t>
      </w:r>
    </w:p>
    <w:p w14:paraId="160B8D7D" w14:textId="77777777" w:rsidR="00A22C67" w:rsidRDefault="0096000E">
      <w:pPr>
        <w:spacing w:before="40" w:after="40"/>
      </w:pPr>
      <w:r>
        <w:rPr>
          <w:b/>
          <w:bCs/>
          <w:i/>
          <w:iCs/>
        </w:rPr>
        <w:t xml:space="preserve">Результат: </w:t>
      </w:r>
    </w:p>
    <w:p w14:paraId="543FB67F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Согласованные дизайн-макеты стендов по всем направлениям.</w:t>
      </w:r>
    </w:p>
    <w:p w14:paraId="2B4907EB" w14:textId="77777777" w:rsidR="00A22C67" w:rsidRDefault="0096000E">
      <w:pPr>
        <w:keepNext/>
        <w:spacing w:before="160" w:after="80"/>
      </w:pPr>
      <w:r>
        <w:rPr>
          <w:b/>
          <w:bCs/>
          <w:color w:val="404040"/>
          <w:sz w:val="23"/>
          <w:szCs w:val="23"/>
        </w:rPr>
        <w:t>Этап 4. Подготовка к производству</w:t>
      </w:r>
    </w:p>
    <w:p w14:paraId="2BC19DC9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Предпечатная подготовка макетов, цветокоррекция (CMYK).</w:t>
      </w:r>
    </w:p>
    <w:p w14:paraId="3DCEF293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Учёт конструктива стендов и подсветки в технических требованиях к файлам.</w:t>
      </w:r>
    </w:p>
    <w:p w14:paraId="473CC0FA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Сборка исходных файлов и подготовка краткого руководства по стилю.</w:t>
      </w:r>
    </w:p>
    <w:p w14:paraId="00C40CEB" w14:textId="77777777" w:rsidR="00A22C67" w:rsidRDefault="0096000E">
      <w:pPr>
        <w:spacing w:before="40" w:after="40"/>
      </w:pPr>
      <w:r>
        <w:rPr>
          <w:b/>
          <w:bCs/>
          <w:i/>
          <w:iCs/>
        </w:rPr>
        <w:t xml:space="preserve">Результат: </w:t>
      </w:r>
    </w:p>
    <w:p w14:paraId="7C303B88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Готовые к производству макеты в формате PDF (</w:t>
      </w:r>
      <w:proofErr w:type="spellStart"/>
      <w:r>
        <w:t>print-ready</w:t>
      </w:r>
      <w:proofErr w:type="spellEnd"/>
      <w:r>
        <w:t>) и исходники (AI/INDD/PSD).</w:t>
      </w:r>
    </w:p>
    <w:p w14:paraId="6168B808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Краткое руководство (бренд-гайд) по тиражированию и обновлению стендов.</w:t>
      </w:r>
    </w:p>
    <w:p w14:paraId="0968F861" w14:textId="77777777" w:rsidR="00A22C67" w:rsidRDefault="0096000E">
      <w:pPr>
        <w:keepNext/>
        <w:spacing w:before="160" w:after="80"/>
      </w:pPr>
      <w:r>
        <w:rPr>
          <w:b/>
          <w:bCs/>
          <w:color w:val="404040"/>
          <w:sz w:val="23"/>
          <w:szCs w:val="23"/>
        </w:rPr>
        <w:lastRenderedPageBreak/>
        <w:t>Этап 5. Рекламные креативы и позиционирующие тексты для образовательных программ</w:t>
      </w:r>
    </w:p>
    <w:p w14:paraId="1B0D632E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Разработка рекламных креативов формата 1080×1080 для таргетированной рекламы по тематике образовательных программ университета.</w:t>
      </w:r>
    </w:p>
    <w:p w14:paraId="6BA28931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Написание 10 текстов для позиционирующих постов — по одному на каждую из 10 образовательных программ.</w:t>
      </w:r>
    </w:p>
    <w:p w14:paraId="55760074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Адаптация креативов и текстов под единый фирменный стиль и позиционирование университета.</w:t>
      </w:r>
    </w:p>
    <w:p w14:paraId="2AFC5276" w14:textId="77777777" w:rsidR="00A22C67" w:rsidRDefault="0096000E">
      <w:pPr>
        <w:spacing w:before="60" w:after="40"/>
      </w:pPr>
      <w:r>
        <w:rPr>
          <w:b/>
          <w:bCs/>
        </w:rPr>
        <w:t>Тематика (10 образовательных программ):</w:t>
      </w:r>
    </w:p>
    <w:p w14:paraId="2CF4370F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>Геотермальная энергетика (бакалавриат)</w:t>
      </w:r>
    </w:p>
    <w:p w14:paraId="2FF10B26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>Архитектура и градостроительство (бакалавриат)</w:t>
      </w:r>
    </w:p>
    <w:p w14:paraId="4D457C55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 xml:space="preserve">Журналистика и </w:t>
      </w:r>
      <w:proofErr w:type="spellStart"/>
      <w:r>
        <w:t>медиакоммуникации</w:t>
      </w:r>
      <w:proofErr w:type="spellEnd"/>
      <w:r>
        <w:t xml:space="preserve"> (</w:t>
      </w:r>
      <w:proofErr w:type="spellStart"/>
      <w:r>
        <w:t>бакалавриат</w:t>
      </w:r>
      <w:proofErr w:type="spellEnd"/>
      <w:r>
        <w:t>)</w:t>
      </w:r>
    </w:p>
    <w:p w14:paraId="7DBFA650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>Экономика и управление бизнесом в сфере туризма и сервиса (бакалавриат)</w:t>
      </w:r>
    </w:p>
    <w:p w14:paraId="3C5C384F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>Вулканология и сейсмология (магистратура)</w:t>
      </w:r>
    </w:p>
    <w:p w14:paraId="38E9023F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>Биоразнообразие и биологические ресурсы (магистратура)</w:t>
      </w:r>
    </w:p>
    <w:p w14:paraId="5E07F2AB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>Этнолингвистика (магистратура)</w:t>
      </w:r>
    </w:p>
    <w:p w14:paraId="71F56468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>Прикладные методы и приложения математики и информатики (бакалавриат)</w:t>
      </w:r>
    </w:p>
    <w:p w14:paraId="6E19E543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>Геотермальная энергетика (магистратура)</w:t>
      </w:r>
    </w:p>
    <w:p w14:paraId="727D225D" w14:textId="77777777" w:rsidR="00A22C67" w:rsidRDefault="0096000E">
      <w:pPr>
        <w:pStyle w:val="a4"/>
        <w:numPr>
          <w:ilvl w:val="0"/>
          <w:numId w:val="4"/>
        </w:numPr>
        <w:spacing w:after="40" w:line="264" w:lineRule="auto"/>
      </w:pPr>
      <w:r>
        <w:t>Педагогическое образование с двумя профилями (бакалавриат)</w:t>
      </w:r>
    </w:p>
    <w:p w14:paraId="459C40B2" w14:textId="77777777" w:rsidR="00A22C67" w:rsidRDefault="0096000E">
      <w:pPr>
        <w:spacing w:before="40" w:after="40"/>
      </w:pPr>
      <w:r>
        <w:rPr>
          <w:b/>
          <w:bCs/>
          <w:i/>
          <w:iCs/>
        </w:rPr>
        <w:t xml:space="preserve">Результат: </w:t>
      </w:r>
    </w:p>
    <w:p w14:paraId="166AD0B2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Комплект рекламных креативов формата 1080×1080 по тематике 10 образовательных программ (JPG/PNG и редактируемые исходники).</w:t>
      </w:r>
    </w:p>
    <w:p w14:paraId="1AD502F3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10 текстов для позиционирующих постов — по одному на каждую образовательную программу, готовых к публикации.</w:t>
      </w:r>
    </w:p>
    <w:p w14:paraId="78DEE649" w14:textId="77777777" w:rsidR="00A22C67" w:rsidRDefault="0096000E">
      <w:pPr>
        <w:keepNext/>
        <w:spacing w:before="260" w:after="120"/>
      </w:pPr>
      <w:r>
        <w:rPr>
          <w:b/>
          <w:bCs/>
          <w:color w:val="1F3864"/>
          <w:sz w:val="26"/>
          <w:szCs w:val="26"/>
        </w:rPr>
        <w:t>Перечень услуг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4400"/>
        <w:gridCol w:w="4440"/>
      </w:tblGrid>
      <w:tr w:rsidR="00A22C67" w14:paraId="6D944FD9" w14:textId="77777777">
        <w:trPr>
          <w:tblHeader/>
        </w:trPr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A357FB3" w14:textId="77777777" w:rsidR="00A22C67" w:rsidRDefault="0096000E">
            <w:pPr>
              <w:spacing w:line="262" w:lineRule="auto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70AF33" w14:textId="77777777" w:rsidR="00A22C67" w:rsidRDefault="0096000E">
            <w:pPr>
              <w:spacing w:line="262" w:lineRule="auto"/>
            </w:pPr>
            <w:r>
              <w:rPr>
                <w:b/>
                <w:bCs/>
                <w:color w:val="FFFFFF"/>
              </w:rPr>
              <w:t>Услуга</w:t>
            </w:r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FE01B5" w14:textId="77777777" w:rsidR="00A22C67" w:rsidRDefault="0096000E">
            <w:pPr>
              <w:spacing w:line="262" w:lineRule="auto"/>
            </w:pPr>
            <w:r>
              <w:rPr>
                <w:b/>
                <w:bCs/>
                <w:color w:val="FFFFFF"/>
              </w:rPr>
              <w:t>Формат результата</w:t>
            </w:r>
          </w:p>
        </w:tc>
      </w:tr>
      <w:tr w:rsidR="00A22C67" w14:paraId="4FBD5174" w14:textId="77777777"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C82287" w14:textId="77777777" w:rsidR="00A22C67" w:rsidRDefault="0096000E">
            <w:pPr>
              <w:spacing w:line="262" w:lineRule="auto"/>
            </w:pPr>
            <w:r>
              <w:t>1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E1880F" w14:textId="77777777" w:rsidR="00A22C67" w:rsidRDefault="0096000E">
            <w:pPr>
              <w:spacing w:line="260" w:lineRule="auto"/>
            </w:pPr>
            <w:r>
              <w:rPr>
                <w:b/>
                <w:bCs/>
              </w:rPr>
              <w:t>Концепция и карта стендов (логика, навигация, визуальный код, распределение направлений)</w:t>
            </w:r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2D7A65" w14:textId="77777777" w:rsidR="00A22C67" w:rsidRDefault="0096000E">
            <w:pPr>
              <w:spacing w:line="262" w:lineRule="auto"/>
            </w:pPr>
            <w:r>
              <w:t>Утверждённый документ с концепцией и картой стендов.</w:t>
            </w:r>
          </w:p>
        </w:tc>
      </w:tr>
      <w:tr w:rsidR="00A22C67" w14:paraId="3BFAF31F" w14:textId="77777777"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EAA409" w14:textId="77777777" w:rsidR="00A22C67" w:rsidRDefault="0096000E">
            <w:pPr>
              <w:spacing w:line="262" w:lineRule="auto"/>
            </w:pPr>
            <w:r>
              <w:t>2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A3BF64" w14:textId="77777777" w:rsidR="00A22C67" w:rsidRDefault="0096000E">
            <w:pPr>
              <w:spacing w:line="260" w:lineRule="auto"/>
            </w:pPr>
            <w:r>
              <w:rPr>
                <w:b/>
                <w:bCs/>
              </w:rPr>
              <w:t>Тексты и редактура по 14 направлениям (заголовки, подзаголовки, основной текст, подписи, QR-логика)</w:t>
            </w:r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F23C2A" w14:textId="77777777" w:rsidR="00A22C67" w:rsidRDefault="0096000E">
            <w:pPr>
              <w:spacing w:line="262" w:lineRule="auto"/>
            </w:pPr>
            <w:r>
              <w:t>Утверждённые тексты для всех стендов.</w:t>
            </w:r>
          </w:p>
        </w:tc>
      </w:tr>
      <w:tr w:rsidR="00A22C67" w14:paraId="49CAEA12" w14:textId="77777777"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4DBA44" w14:textId="77777777" w:rsidR="00A22C67" w:rsidRDefault="0096000E">
            <w:pPr>
              <w:spacing w:line="262" w:lineRule="auto"/>
            </w:pPr>
            <w:r>
              <w:t>3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EF798D" w14:textId="77777777" w:rsidR="00A22C67" w:rsidRDefault="0096000E">
            <w:pPr>
              <w:spacing w:line="260" w:lineRule="auto"/>
            </w:pPr>
            <w:r>
              <w:rPr>
                <w:b/>
                <w:bCs/>
              </w:rPr>
              <w:t>Дизайн-макеты научно-образовательных стендов по 14 направлениям (единый стиль, до 5 итераций правок)</w:t>
            </w:r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16EE90" w14:textId="77777777" w:rsidR="00A22C67" w:rsidRDefault="0096000E">
            <w:pPr>
              <w:spacing w:line="262" w:lineRule="auto"/>
            </w:pPr>
            <w:r>
              <w:t>Согласованные дизайн-макеты в формате PDF и исходники (AI/INDD/PSD).</w:t>
            </w:r>
          </w:p>
        </w:tc>
      </w:tr>
      <w:tr w:rsidR="00A22C67" w14:paraId="4CC6B9B0" w14:textId="77777777"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8293A0" w14:textId="77777777" w:rsidR="00A22C67" w:rsidRDefault="0096000E">
            <w:pPr>
              <w:spacing w:line="262" w:lineRule="auto"/>
            </w:pPr>
            <w:r>
              <w:t>4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6627DC" w14:textId="77777777" w:rsidR="00A22C67" w:rsidRDefault="0096000E">
            <w:pPr>
              <w:spacing w:line="260" w:lineRule="auto"/>
            </w:pPr>
            <w:proofErr w:type="spellStart"/>
            <w:r>
              <w:rPr>
                <w:b/>
                <w:bCs/>
              </w:rPr>
              <w:t>Инфографика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иконографика</w:t>
            </w:r>
            <w:proofErr w:type="spellEnd"/>
            <w:r>
              <w:rPr>
                <w:b/>
                <w:bCs/>
              </w:rPr>
              <w:t xml:space="preserve"> (иконки, пиктограммы, схемы, диаграммы)</w:t>
            </w:r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13E862" w14:textId="77777777" w:rsidR="00A22C67" w:rsidRDefault="0096000E">
            <w:pPr>
              <w:spacing w:line="262" w:lineRule="auto"/>
            </w:pPr>
            <w:r>
              <w:t>Комплект графических элементов в едином стиле (исходники).</w:t>
            </w:r>
          </w:p>
        </w:tc>
      </w:tr>
      <w:tr w:rsidR="00A22C67" w14:paraId="165F12FC" w14:textId="77777777"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CE76B7" w14:textId="77777777" w:rsidR="00A22C67" w:rsidRDefault="0096000E">
            <w:pPr>
              <w:spacing w:line="262" w:lineRule="auto"/>
            </w:pPr>
            <w:r>
              <w:lastRenderedPageBreak/>
              <w:t>5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AD4C41" w14:textId="77777777" w:rsidR="00A22C67" w:rsidRDefault="0096000E">
            <w:pPr>
              <w:spacing w:line="260" w:lineRule="auto"/>
            </w:pPr>
            <w:r>
              <w:rPr>
                <w:b/>
                <w:bCs/>
              </w:rPr>
              <w:t xml:space="preserve">Подбор и обработка изображений и </w:t>
            </w:r>
            <w:proofErr w:type="spellStart"/>
            <w:r>
              <w:rPr>
                <w:b/>
                <w:bCs/>
              </w:rPr>
              <w:t>визуалов</w:t>
            </w:r>
            <w:proofErr w:type="spellEnd"/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534A89" w14:textId="77777777" w:rsidR="00A22C67" w:rsidRDefault="0096000E">
            <w:pPr>
              <w:spacing w:line="262" w:lineRule="auto"/>
            </w:pPr>
            <w:r>
              <w:t>Обработанные изображения с правами на использование (исходники).</w:t>
            </w:r>
          </w:p>
        </w:tc>
      </w:tr>
      <w:tr w:rsidR="00A22C67" w14:paraId="654ACF14" w14:textId="77777777"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867FD47" w14:textId="77777777" w:rsidR="00A22C67" w:rsidRDefault="0096000E">
            <w:pPr>
              <w:spacing w:line="262" w:lineRule="auto"/>
            </w:pPr>
            <w:r>
              <w:t>6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6C69B0" w14:textId="77777777" w:rsidR="00A22C67" w:rsidRDefault="0096000E">
            <w:pPr>
              <w:spacing w:line="260" w:lineRule="auto"/>
            </w:pPr>
            <w:r>
              <w:rPr>
                <w:b/>
                <w:bCs/>
              </w:rPr>
              <w:t>Подготовка к производству (</w:t>
            </w:r>
            <w:proofErr w:type="spellStart"/>
            <w:r>
              <w:rPr>
                <w:b/>
                <w:bCs/>
              </w:rPr>
              <w:t>предпечать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цветокоррекция</w:t>
            </w:r>
            <w:proofErr w:type="spellEnd"/>
            <w:r>
              <w:rPr>
                <w:b/>
                <w:bCs/>
              </w:rPr>
              <w:t>, учёт конструктива и подсветки)</w:t>
            </w:r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1F4945" w14:textId="77777777" w:rsidR="00A22C67" w:rsidRDefault="0096000E">
            <w:pPr>
              <w:spacing w:line="262" w:lineRule="auto"/>
            </w:pPr>
            <w:proofErr w:type="spellStart"/>
            <w:r>
              <w:t>Print-ready</w:t>
            </w:r>
            <w:proofErr w:type="spellEnd"/>
            <w:r>
              <w:t xml:space="preserve"> PDF и исходники, готовые к передаче в производство.</w:t>
            </w:r>
          </w:p>
        </w:tc>
      </w:tr>
      <w:tr w:rsidR="00A22C67" w14:paraId="059DEC17" w14:textId="77777777"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F72B81" w14:textId="77777777" w:rsidR="00A22C67" w:rsidRDefault="0096000E">
            <w:pPr>
              <w:spacing w:line="262" w:lineRule="auto"/>
            </w:pPr>
            <w:r>
              <w:t>7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4CA34C" w14:textId="77777777" w:rsidR="00A22C67" w:rsidRDefault="0096000E">
            <w:pPr>
              <w:spacing w:line="260" w:lineRule="auto"/>
            </w:pPr>
            <w:r>
              <w:rPr>
                <w:b/>
                <w:bCs/>
              </w:rPr>
              <w:t>Бренд-гайд по стендам (руководство по стилю и обновлению)</w:t>
            </w:r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214D43" w14:textId="77777777" w:rsidR="00A22C67" w:rsidRDefault="0096000E">
            <w:pPr>
              <w:spacing w:line="262" w:lineRule="auto"/>
            </w:pPr>
            <w:r>
              <w:t>Методическое руководство для внутренних команд (PDF).</w:t>
            </w:r>
          </w:p>
        </w:tc>
      </w:tr>
      <w:tr w:rsidR="00A22C67" w14:paraId="04F27130" w14:textId="77777777"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676D7A5" w14:textId="77777777" w:rsidR="00A22C67" w:rsidRDefault="0096000E">
            <w:pPr>
              <w:spacing w:line="262" w:lineRule="auto"/>
            </w:pPr>
            <w:r>
              <w:t>8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3B8BA3" w14:textId="77777777" w:rsidR="00A22C67" w:rsidRDefault="0096000E">
            <w:pPr>
              <w:spacing w:line="260" w:lineRule="auto"/>
            </w:pPr>
            <w:r>
              <w:rPr>
                <w:b/>
                <w:bCs/>
              </w:rPr>
              <w:t>Рекламные креативы (1080×1080) и позиционирующие тексты — креативы для таргетинга по тематике 10 образовательных программ и 10 текстов постов (по одному на программу)</w:t>
            </w:r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4F6F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F68DCFB" w14:textId="77777777" w:rsidR="00A22C67" w:rsidRDefault="0096000E">
            <w:pPr>
              <w:spacing w:line="262" w:lineRule="auto"/>
            </w:pPr>
            <w:r>
              <w:t>Комплект креативов 1080×1080 (JPG/PNG + исходники) и 10 готовых к публикации текстов постов.</w:t>
            </w:r>
          </w:p>
        </w:tc>
      </w:tr>
      <w:tr w:rsidR="00A22C67" w14:paraId="088D9157" w14:textId="77777777">
        <w:tc>
          <w:tcPr>
            <w:tcW w:w="5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ECF668" w14:textId="77777777" w:rsidR="00A22C67" w:rsidRDefault="0096000E">
            <w:pPr>
              <w:spacing w:line="262" w:lineRule="auto"/>
            </w:pPr>
            <w:r>
              <w:t>9</w:t>
            </w:r>
          </w:p>
        </w:tc>
        <w:tc>
          <w:tcPr>
            <w:tcW w:w="4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B5E7EC" w14:textId="77777777" w:rsidR="00A22C67" w:rsidRDefault="0096000E">
            <w:pPr>
              <w:spacing w:line="260" w:lineRule="auto"/>
            </w:pPr>
            <w:r>
              <w:rPr>
                <w:b/>
                <w:bCs/>
              </w:rPr>
              <w:t>Визуализация стендов в интерьере (опционально)</w:t>
            </w:r>
          </w:p>
        </w:tc>
        <w:tc>
          <w:tcPr>
            <w:tcW w:w="44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18F110B" w14:textId="77777777" w:rsidR="00A22C67" w:rsidRDefault="0096000E">
            <w:pPr>
              <w:spacing w:line="262" w:lineRule="auto"/>
            </w:pPr>
            <w:r>
              <w:t>3D-рендеры размещения стендов для согласования.</w:t>
            </w:r>
          </w:p>
        </w:tc>
      </w:tr>
    </w:tbl>
    <w:p w14:paraId="3A0D6EE1" w14:textId="77777777" w:rsidR="00A22C67" w:rsidRDefault="0096000E">
      <w:pPr>
        <w:keepNext/>
        <w:spacing w:before="260" w:after="120"/>
      </w:pPr>
      <w:r>
        <w:rPr>
          <w:b/>
          <w:bCs/>
          <w:color w:val="1F3864"/>
          <w:sz w:val="26"/>
          <w:szCs w:val="26"/>
        </w:rPr>
        <w:t>Общие требования к макетам</w:t>
      </w:r>
    </w:p>
    <w:p w14:paraId="30637106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 xml:space="preserve">Единый фирменный стиль для всех стендов; визуальный код «волна/вулкан», узнаваемый </w:t>
      </w:r>
      <w:proofErr w:type="spellStart"/>
      <w:r>
        <w:t>цветокод</w:t>
      </w:r>
      <w:proofErr w:type="spellEnd"/>
      <w:r>
        <w:t xml:space="preserve"> (оранжевый/синий) и логотип университета.</w:t>
      </w:r>
    </w:p>
    <w:p w14:paraId="71F3D15D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Принцип «эмоция + содержание»: на каждом стенде — заметный заголовок-крючок и доказательная часть (факты, цифры, имена).</w:t>
      </w:r>
    </w:p>
    <w:p w14:paraId="31B3C2FD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 xml:space="preserve">Форматы передачи: </w:t>
      </w:r>
      <w:proofErr w:type="spellStart"/>
      <w:r>
        <w:t>print-ready</w:t>
      </w:r>
      <w:proofErr w:type="spellEnd"/>
      <w:r>
        <w:t xml:space="preserve"> PDF (CMYK) + редактируемые исходники (AI/INDD/PSD), шрифты и ссылки в комплекте.</w:t>
      </w:r>
    </w:p>
    <w:p w14:paraId="584C3475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Учёт конструктива и подсветки стендов, читаемость с расстояния, доступная типографика (контраст, размер шрифта).</w:t>
      </w:r>
    </w:p>
    <w:p w14:paraId="7E855074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Двуязычные блоки (RU/EN) для отдельных стендов по согласованию (например, стенд об истории и имени Витуса Беринга).</w:t>
      </w:r>
    </w:p>
    <w:p w14:paraId="5B6C7E2E" w14:textId="77777777" w:rsidR="00A22C67" w:rsidRDefault="0096000E">
      <w:pPr>
        <w:pStyle w:val="a4"/>
        <w:numPr>
          <w:ilvl w:val="0"/>
          <w:numId w:val="2"/>
        </w:numPr>
        <w:spacing w:after="60" w:line="268" w:lineRule="auto"/>
      </w:pPr>
      <w:r>
        <w:t>До 5 итераций правок на каждый макет; передача прав на использование изображений и финальных макетов заказчику.</w:t>
      </w:r>
    </w:p>
    <w:sectPr w:rsidR="00A22C67">
      <w:footerReference w:type="default" r:id="rId7"/>
      <w:pgSz w:w="12240" w:h="15840"/>
      <w:pgMar w:top="1300" w:right="1300" w:bottom="130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5FC43" w14:textId="77777777" w:rsidR="006B76EF" w:rsidRDefault="006B76EF">
      <w:r>
        <w:separator/>
      </w:r>
    </w:p>
  </w:endnote>
  <w:endnote w:type="continuationSeparator" w:id="0">
    <w:p w14:paraId="3772D140" w14:textId="77777777" w:rsidR="006B76EF" w:rsidRDefault="006B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626E" w14:textId="50EE12C7" w:rsidR="00A22C67" w:rsidRDefault="0096000E">
    <w:pPr>
      <w:jc w:val="center"/>
    </w:pPr>
    <w:r>
      <w:rPr>
        <w:color w:val="404040"/>
        <w:sz w:val="15"/>
        <w:szCs w:val="15"/>
      </w:rPr>
      <w:t xml:space="preserve">ТЗ · Разработка макетов научно-образовательных стендов · КамГУ им. Витуса Беринга · стр. </w:t>
    </w:r>
    <w:r>
      <w:rPr>
        <w:color w:val="404040"/>
        <w:sz w:val="15"/>
        <w:szCs w:val="15"/>
      </w:rPr>
      <w:fldChar w:fldCharType="begin"/>
    </w:r>
    <w:r>
      <w:rPr>
        <w:color w:val="404040"/>
        <w:sz w:val="15"/>
        <w:szCs w:val="15"/>
      </w:rPr>
      <w:instrText>PAGE</w:instrText>
    </w:r>
    <w:r>
      <w:rPr>
        <w:color w:val="404040"/>
        <w:sz w:val="15"/>
        <w:szCs w:val="15"/>
      </w:rPr>
      <w:fldChar w:fldCharType="separate"/>
    </w:r>
    <w:r w:rsidR="004846B8">
      <w:rPr>
        <w:noProof/>
        <w:color w:val="404040"/>
        <w:sz w:val="15"/>
        <w:szCs w:val="15"/>
      </w:rPr>
      <w:t>4</w:t>
    </w:r>
    <w:r>
      <w:rPr>
        <w:color w:val="40404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B9A3F" w14:textId="77777777" w:rsidR="006B76EF" w:rsidRDefault="006B76EF">
      <w:r>
        <w:separator/>
      </w:r>
    </w:p>
  </w:footnote>
  <w:footnote w:type="continuationSeparator" w:id="0">
    <w:p w14:paraId="4118B414" w14:textId="77777777" w:rsidR="006B76EF" w:rsidRDefault="006B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5D9B"/>
    <w:multiLevelType w:val="hybridMultilevel"/>
    <w:tmpl w:val="88C21DA2"/>
    <w:lvl w:ilvl="0" w:tplc="4CB2C030">
      <w:start w:val="1"/>
      <w:numFmt w:val="decimal"/>
      <w:lvlText w:val="%1."/>
      <w:lvlJc w:val="left"/>
      <w:pPr>
        <w:ind w:left="540" w:hanging="300"/>
      </w:pPr>
    </w:lvl>
    <w:lvl w:ilvl="1" w:tplc="6AEECB0C">
      <w:numFmt w:val="decimal"/>
      <w:lvlText w:val=""/>
      <w:lvlJc w:val="left"/>
    </w:lvl>
    <w:lvl w:ilvl="2" w:tplc="1DA81870">
      <w:numFmt w:val="decimal"/>
      <w:lvlText w:val=""/>
      <w:lvlJc w:val="left"/>
    </w:lvl>
    <w:lvl w:ilvl="3" w:tplc="CB88B874">
      <w:numFmt w:val="decimal"/>
      <w:lvlText w:val=""/>
      <w:lvlJc w:val="left"/>
    </w:lvl>
    <w:lvl w:ilvl="4" w:tplc="AB1279A6">
      <w:numFmt w:val="decimal"/>
      <w:lvlText w:val=""/>
      <w:lvlJc w:val="left"/>
    </w:lvl>
    <w:lvl w:ilvl="5" w:tplc="52A05ECE">
      <w:numFmt w:val="decimal"/>
      <w:lvlText w:val=""/>
      <w:lvlJc w:val="left"/>
    </w:lvl>
    <w:lvl w:ilvl="6" w:tplc="6548E6B0">
      <w:numFmt w:val="decimal"/>
      <w:lvlText w:val=""/>
      <w:lvlJc w:val="left"/>
    </w:lvl>
    <w:lvl w:ilvl="7" w:tplc="A1F23FC8">
      <w:numFmt w:val="decimal"/>
      <w:lvlText w:val=""/>
      <w:lvlJc w:val="left"/>
    </w:lvl>
    <w:lvl w:ilvl="8" w:tplc="484265DC">
      <w:numFmt w:val="decimal"/>
      <w:lvlText w:val=""/>
      <w:lvlJc w:val="left"/>
    </w:lvl>
  </w:abstractNum>
  <w:abstractNum w:abstractNumId="1" w15:restartNumberingAfterBreak="0">
    <w:nsid w:val="54D35AE1"/>
    <w:multiLevelType w:val="hybridMultilevel"/>
    <w:tmpl w:val="849AA864"/>
    <w:lvl w:ilvl="0" w:tplc="B4F6DFA8">
      <w:start w:val="1"/>
      <w:numFmt w:val="decimal"/>
      <w:lvlText w:val="%1."/>
      <w:lvlJc w:val="left"/>
      <w:pPr>
        <w:ind w:left="540" w:hanging="300"/>
      </w:pPr>
    </w:lvl>
    <w:lvl w:ilvl="1" w:tplc="BD168D88">
      <w:numFmt w:val="decimal"/>
      <w:lvlText w:val=""/>
      <w:lvlJc w:val="left"/>
    </w:lvl>
    <w:lvl w:ilvl="2" w:tplc="2C44B01A">
      <w:numFmt w:val="decimal"/>
      <w:lvlText w:val=""/>
      <w:lvlJc w:val="left"/>
    </w:lvl>
    <w:lvl w:ilvl="3" w:tplc="8CBA619C">
      <w:numFmt w:val="decimal"/>
      <w:lvlText w:val=""/>
      <w:lvlJc w:val="left"/>
    </w:lvl>
    <w:lvl w:ilvl="4" w:tplc="2B027568">
      <w:numFmt w:val="decimal"/>
      <w:lvlText w:val=""/>
      <w:lvlJc w:val="left"/>
    </w:lvl>
    <w:lvl w:ilvl="5" w:tplc="B7D263A4">
      <w:numFmt w:val="decimal"/>
      <w:lvlText w:val=""/>
      <w:lvlJc w:val="left"/>
    </w:lvl>
    <w:lvl w:ilvl="6" w:tplc="FA7C0038">
      <w:numFmt w:val="decimal"/>
      <w:lvlText w:val=""/>
      <w:lvlJc w:val="left"/>
    </w:lvl>
    <w:lvl w:ilvl="7" w:tplc="B6D0E966">
      <w:numFmt w:val="decimal"/>
      <w:lvlText w:val=""/>
      <w:lvlJc w:val="left"/>
    </w:lvl>
    <w:lvl w:ilvl="8" w:tplc="8F30CED0">
      <w:numFmt w:val="decimal"/>
      <w:lvlText w:val=""/>
      <w:lvlJc w:val="left"/>
    </w:lvl>
  </w:abstractNum>
  <w:abstractNum w:abstractNumId="2" w15:restartNumberingAfterBreak="0">
    <w:nsid w:val="5890662E"/>
    <w:multiLevelType w:val="hybridMultilevel"/>
    <w:tmpl w:val="861098F2"/>
    <w:lvl w:ilvl="0" w:tplc="203E4DDA">
      <w:start w:val="1"/>
      <w:numFmt w:val="bullet"/>
      <w:lvlText w:val="●"/>
      <w:lvlJc w:val="left"/>
      <w:pPr>
        <w:ind w:left="720" w:hanging="360"/>
      </w:pPr>
    </w:lvl>
    <w:lvl w:ilvl="1" w:tplc="3C4CB224">
      <w:start w:val="1"/>
      <w:numFmt w:val="bullet"/>
      <w:lvlText w:val="○"/>
      <w:lvlJc w:val="left"/>
      <w:pPr>
        <w:ind w:left="1440" w:hanging="360"/>
      </w:pPr>
    </w:lvl>
    <w:lvl w:ilvl="2" w:tplc="B8E223A8">
      <w:start w:val="1"/>
      <w:numFmt w:val="bullet"/>
      <w:lvlText w:val="■"/>
      <w:lvlJc w:val="left"/>
      <w:pPr>
        <w:ind w:left="2160" w:hanging="360"/>
      </w:pPr>
    </w:lvl>
    <w:lvl w:ilvl="3" w:tplc="4A109488">
      <w:start w:val="1"/>
      <w:numFmt w:val="bullet"/>
      <w:lvlText w:val="●"/>
      <w:lvlJc w:val="left"/>
      <w:pPr>
        <w:ind w:left="2880" w:hanging="360"/>
      </w:pPr>
    </w:lvl>
    <w:lvl w:ilvl="4" w:tplc="B1A24066">
      <w:start w:val="1"/>
      <w:numFmt w:val="bullet"/>
      <w:lvlText w:val="○"/>
      <w:lvlJc w:val="left"/>
      <w:pPr>
        <w:ind w:left="3600" w:hanging="360"/>
      </w:pPr>
    </w:lvl>
    <w:lvl w:ilvl="5" w:tplc="D828282C">
      <w:start w:val="1"/>
      <w:numFmt w:val="bullet"/>
      <w:lvlText w:val="■"/>
      <w:lvlJc w:val="left"/>
      <w:pPr>
        <w:ind w:left="4320" w:hanging="360"/>
      </w:pPr>
    </w:lvl>
    <w:lvl w:ilvl="6" w:tplc="AE34B122">
      <w:start w:val="1"/>
      <w:numFmt w:val="bullet"/>
      <w:lvlText w:val="●"/>
      <w:lvlJc w:val="left"/>
      <w:pPr>
        <w:ind w:left="5040" w:hanging="360"/>
      </w:pPr>
    </w:lvl>
    <w:lvl w:ilvl="7" w:tplc="04187674">
      <w:start w:val="1"/>
      <w:numFmt w:val="bullet"/>
      <w:lvlText w:val="●"/>
      <w:lvlJc w:val="left"/>
      <w:pPr>
        <w:ind w:left="5760" w:hanging="360"/>
      </w:pPr>
    </w:lvl>
    <w:lvl w:ilvl="8" w:tplc="D3D42AA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01D5FE3"/>
    <w:multiLevelType w:val="hybridMultilevel"/>
    <w:tmpl w:val="A5C02636"/>
    <w:lvl w:ilvl="0" w:tplc="421CB7EE">
      <w:start w:val="1"/>
      <w:numFmt w:val="bullet"/>
      <w:lvlText w:val="•"/>
      <w:lvlJc w:val="left"/>
      <w:pPr>
        <w:ind w:left="540" w:hanging="260"/>
      </w:pPr>
    </w:lvl>
    <w:lvl w:ilvl="1" w:tplc="A038EAD4">
      <w:numFmt w:val="decimal"/>
      <w:lvlText w:val=""/>
      <w:lvlJc w:val="left"/>
    </w:lvl>
    <w:lvl w:ilvl="2" w:tplc="481CDA0E">
      <w:numFmt w:val="decimal"/>
      <w:lvlText w:val=""/>
      <w:lvlJc w:val="left"/>
    </w:lvl>
    <w:lvl w:ilvl="3" w:tplc="EA9C1A8A">
      <w:numFmt w:val="decimal"/>
      <w:lvlText w:val=""/>
      <w:lvlJc w:val="left"/>
    </w:lvl>
    <w:lvl w:ilvl="4" w:tplc="7BAA845E">
      <w:numFmt w:val="decimal"/>
      <w:lvlText w:val=""/>
      <w:lvlJc w:val="left"/>
    </w:lvl>
    <w:lvl w:ilvl="5" w:tplc="6890D1E2">
      <w:numFmt w:val="decimal"/>
      <w:lvlText w:val=""/>
      <w:lvlJc w:val="left"/>
    </w:lvl>
    <w:lvl w:ilvl="6" w:tplc="8B3AAAFA">
      <w:numFmt w:val="decimal"/>
      <w:lvlText w:val=""/>
      <w:lvlJc w:val="left"/>
    </w:lvl>
    <w:lvl w:ilvl="7" w:tplc="DAC2EB70">
      <w:numFmt w:val="decimal"/>
      <w:lvlText w:val=""/>
      <w:lvlJc w:val="left"/>
    </w:lvl>
    <w:lvl w:ilvl="8" w:tplc="CA00FDC2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67"/>
    <w:rsid w:val="004846B8"/>
    <w:rsid w:val="00537056"/>
    <w:rsid w:val="006B76EF"/>
    <w:rsid w:val="0096000E"/>
    <w:rsid w:val="00A22C67"/>
    <w:rsid w:val="00A2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C327"/>
  <w15:docId w15:val="{22A9AAD3-580D-4E95-ACDE-7CCDB697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— Разработка макетов научно-образовательных стендов</vt:lpstr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— Разработка макетов научно-образовательных стендов</dc:title>
  <dc:creator>КамГУ им. Витуса Беринга</dc:creator>
  <cp:lastModifiedBy>Коренев Алексей Викторович</cp:lastModifiedBy>
  <cp:revision>3</cp:revision>
  <dcterms:created xsi:type="dcterms:W3CDTF">2026-06-21T13:35:00Z</dcterms:created>
  <dcterms:modified xsi:type="dcterms:W3CDTF">2026-06-23T02:40:00Z</dcterms:modified>
</cp:coreProperties>
</file>