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0"/>
          <w:szCs w:val="20"/>
        </w:rPr>
      </w:pPr>
      <w:r>
        <w:rPr>
          <w:b/>
          <w:sz w:val="20"/>
          <w:szCs w:val="20"/>
        </w:rPr>
        <w:t xml:space="preserve">ГОСУДАРСТВЕННЫЙ  КОНТРАКТ </w:t>
      </w:r>
      <w:r>
        <w:rPr>
          <w:sz w:val="20"/>
          <w:szCs w:val="20"/>
        </w:rPr>
        <w:t>№_____</w:t>
      </w:r>
    </w:p>
    <w:p>
      <w:pPr>
        <w:pStyle w:val="Normal"/>
        <w:shd w:val="clear" w:color="auto" w:fill="FFFFFF"/>
        <w:jc w:val="center"/>
        <w:rPr>
          <w:b/>
          <w:sz w:val="20"/>
          <w:szCs w:val="20"/>
        </w:rPr>
      </w:pPr>
      <w:r>
        <w:rPr>
          <w:sz w:val="20"/>
          <w:szCs w:val="20"/>
        </w:rPr>
        <w:t xml:space="preserve">(ИКЗ </w:t>
      </w:r>
      <w:r>
        <w:rPr>
          <w:rFonts w:cs="PT Astra Serif" w:ascii="PT Astra Serif" w:hAnsi="PT Astra Serif"/>
          <w:sz w:val="18"/>
          <w:szCs w:val="18"/>
        </w:rPr>
        <w:t>261130808227013080100100180000000244</w:t>
      </w:r>
      <w:r>
        <w:rPr>
          <w:sz w:val="20"/>
          <w:szCs w:val="20"/>
        </w:rPr>
        <w:t>)</w:t>
      </w:r>
    </w:p>
    <w:p>
      <w:pPr>
        <w:pStyle w:val="Normal"/>
        <w:tabs>
          <w:tab w:val="clear" w:pos="708"/>
          <w:tab w:val="left" w:pos="3975" w:leader="none"/>
        </w:tabs>
        <w:jc w:val="center"/>
        <w:rPr>
          <w:b/>
          <w:sz w:val="20"/>
          <w:szCs w:val="20"/>
        </w:rPr>
      </w:pPr>
      <w:r>
        <w:rPr>
          <w:b/>
          <w:sz w:val="20"/>
          <w:szCs w:val="20"/>
        </w:rPr>
      </w:r>
    </w:p>
    <w:p>
      <w:pPr>
        <w:pStyle w:val="Normal"/>
        <w:rPr>
          <w:sz w:val="20"/>
          <w:szCs w:val="20"/>
        </w:rPr>
      </w:pPr>
      <w:r>
        <w:rPr>
          <w:sz w:val="20"/>
          <w:szCs w:val="20"/>
        </w:rPr>
        <w:t>р.п. Явас Республика Мордовия</w:t>
        <w:tab/>
        <w:tab/>
        <w:tab/>
        <w:tab/>
        <w:tab/>
        <w:t xml:space="preserve">                                    «___» ________ 2026 г.</w:t>
      </w:r>
    </w:p>
    <w:p>
      <w:pPr>
        <w:pStyle w:val="Normal"/>
        <w:shd w:val="clear" w:color="auto" w:fill="FFFFFF"/>
        <w:tabs>
          <w:tab w:val="clear" w:pos="708"/>
          <w:tab w:val="left" w:pos="6535" w:leader="none"/>
        </w:tabs>
        <w:spacing w:lineRule="auto" w:line="218"/>
        <w:ind w:firstLine="694"/>
        <w:jc w:val="both"/>
        <w:rPr>
          <w:sz w:val="20"/>
          <w:szCs w:val="20"/>
        </w:rPr>
      </w:pPr>
      <w:r>
        <w:rPr>
          <w:sz w:val="20"/>
          <w:szCs w:val="20"/>
        </w:rPr>
        <w:tab/>
      </w:r>
    </w:p>
    <w:p>
      <w:pPr>
        <w:pStyle w:val="Normal"/>
        <w:shd w:val="clear" w:color="auto" w:fill="FFFFFF"/>
        <w:tabs>
          <w:tab w:val="clear" w:pos="708"/>
          <w:tab w:val="left" w:pos="6535" w:leader="none"/>
        </w:tabs>
        <w:spacing w:lineRule="auto" w:line="218"/>
        <w:ind w:firstLine="694"/>
        <w:jc w:val="both"/>
        <w:rPr>
          <w:color w:val="000000"/>
          <w:sz w:val="20"/>
          <w:szCs w:val="20"/>
        </w:rPr>
      </w:pPr>
      <w:r>
        <w:rPr>
          <w:sz w:val="20"/>
          <w:szCs w:val="20"/>
        </w:rPr>
        <w:tab/>
      </w:r>
    </w:p>
    <w:p>
      <w:pPr>
        <w:pStyle w:val="Normal"/>
        <w:ind w:firstLine="360"/>
        <w:jc w:val="both"/>
        <w:rPr>
          <w:rFonts w:ascii="PT Astra Serif" w:hAnsi="PT Astra Serif" w:cs="PT Astra Serif"/>
          <w:b/>
          <w:sz w:val="20"/>
          <w:szCs w:val="20"/>
        </w:rPr>
      </w:pPr>
      <w:r>
        <w:rPr>
          <w:rFonts w:cs="PT Astra Serif" w:ascii="PT Astra Serif" w:hAnsi="PT Astra Serif"/>
          <w:color w:val="000000"/>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rFonts w:cs="PT Astra Serif" w:ascii="PT Astra Serif" w:hAnsi="PT Astra Serif"/>
          <w:sz w:val="20"/>
          <w:szCs w:val="20"/>
        </w:rPr>
        <w:t xml:space="preserve">ачальника Аношкина Евгения Александровича, действующего  на основании  </w:t>
      </w:r>
      <w:r>
        <w:rPr>
          <w:rFonts w:cs="PT Astra Serif" w:ascii="PT Astra Serif" w:hAnsi="PT Astra Serif"/>
          <w:color w:val="000000"/>
          <w:sz w:val="20"/>
          <w:szCs w:val="20"/>
        </w:rPr>
        <w:t xml:space="preserve">Устава,   с одной стороны и ________ </w:t>
      </w:r>
      <w:r>
        <w:rPr>
          <w:rFonts w:cs="PT Astra Serif" w:ascii="PT Astra Serif" w:hAnsi="PT Astra Serif"/>
          <w:sz w:val="20"/>
          <w:szCs w:val="20"/>
        </w:rPr>
        <w:t>(далее – «_____»)                              в лице_______________</w:t>
      </w:r>
      <w:r>
        <w:rPr>
          <w:rFonts w:cs="PT Astra Serif" w:ascii="PT Astra Serif" w:hAnsi="PT Astra Serif"/>
          <w:color w:val="000000"/>
          <w:sz w:val="20"/>
          <w:szCs w:val="20"/>
        </w:rPr>
        <w:t xml:space="preserve"> именуемый в дальнейшем «Поставщик» </w:t>
      </w:r>
      <w:r>
        <w:rPr>
          <w:rFonts w:cs="PT Astra Serif" w:ascii="PT Astra Serif" w:hAnsi="PT Astra Serif"/>
          <w:sz w:val="20"/>
          <w:szCs w:val="20"/>
        </w:rPr>
        <w:t>действующий  на основании ______</w:t>
      </w:r>
      <w:r>
        <w:rPr>
          <w:rFonts w:cs="PT Astra Serif" w:ascii="PT Astra Serif" w:hAnsi="PT Astra Serif"/>
          <w:color w:val="000000"/>
          <w:sz w:val="20"/>
          <w:szCs w:val="20"/>
        </w:rPr>
        <w:t xml:space="preserve"> ,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Pr>
          <w:rFonts w:cs="PT Astra Serif" w:ascii="PT Astra Serif" w:hAnsi="PT Astra Serif"/>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pPr>
        <w:pStyle w:val="Normal"/>
        <w:shd w:val="clear" w:color="auto" w:fill="FFFFFF"/>
        <w:spacing w:lineRule="auto" w:line="218"/>
        <w:jc w:val="both"/>
        <w:rPr>
          <w:color w:val="000000"/>
          <w:sz w:val="20"/>
          <w:szCs w:val="20"/>
        </w:rPr>
      </w:pPr>
      <w:r>
        <w:rPr>
          <w:color w:val="000000"/>
          <w:sz w:val="20"/>
          <w:szCs w:val="20"/>
        </w:rPr>
      </w:r>
    </w:p>
    <w:p>
      <w:pPr>
        <w:pStyle w:val="Normal"/>
        <w:numPr>
          <w:ilvl w:val="0"/>
          <w:numId w:val="2"/>
        </w:numPr>
        <w:shd w:val="clear" w:color="auto" w:fill="FFFFFF"/>
        <w:spacing w:lineRule="auto" w:line="218"/>
        <w:jc w:val="center"/>
        <w:rPr>
          <w:b/>
          <w:sz w:val="20"/>
          <w:szCs w:val="20"/>
        </w:rPr>
      </w:pPr>
      <w:r>
        <w:rPr>
          <w:b/>
          <w:sz w:val="20"/>
          <w:szCs w:val="20"/>
        </w:rPr>
        <w:t>Предмет Контракта</w:t>
      </w:r>
    </w:p>
    <w:p>
      <w:pPr>
        <w:pStyle w:val="Normal"/>
        <w:shd w:val="clear" w:color="auto" w:fill="FFFFFF"/>
        <w:spacing w:lineRule="auto" w:line="218"/>
        <w:ind w:left="720"/>
        <w:rPr>
          <w:b/>
          <w:sz w:val="20"/>
          <w:szCs w:val="20"/>
        </w:rPr>
      </w:pPr>
      <w:r>
        <w:rPr>
          <w:b/>
          <w:sz w:val="20"/>
          <w:szCs w:val="20"/>
        </w:rPr>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t xml:space="preserve">1.1. </w:t>
      </w:r>
      <w:r>
        <w:rPr>
          <w:color w:val="000000"/>
          <w:sz w:val="20"/>
          <w:szCs w:val="20"/>
        </w:rPr>
        <w:t xml:space="preserve">Поставщик обязуется передать  Государственному заказчику ветеринарные препараты  (далее - товар), в соответствии с характеристиками, наименованием, в количестве, по цене, предусмотренные настоящим контрактом и </w:t>
      </w:r>
      <w:r>
        <w:rPr>
          <w:sz w:val="20"/>
          <w:szCs w:val="20"/>
        </w:rPr>
        <w:t>Приложением №1 к настоящему контракту, а Государственный заказчик обязуется обеспечить приемку и оплату товара, согласно условиям Контракта.</w:t>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r>
    </w:p>
    <w:p>
      <w:pPr>
        <w:pStyle w:val="Normal"/>
        <w:shd w:val="clear" w:color="auto" w:fill="FFFFFF"/>
        <w:spacing w:lineRule="auto" w:line="218"/>
        <w:jc w:val="center"/>
        <w:rPr>
          <w:b/>
          <w:sz w:val="20"/>
          <w:szCs w:val="20"/>
        </w:rPr>
      </w:pPr>
      <w:r>
        <w:rPr>
          <w:b/>
          <w:sz w:val="20"/>
          <w:szCs w:val="20"/>
        </w:rPr>
        <w:t>2. Права и обязанности Сторон</w:t>
      </w:r>
    </w:p>
    <w:p>
      <w:pPr>
        <w:pStyle w:val="1"/>
        <w:spacing w:lineRule="auto" w:line="218"/>
        <w:ind w:firstLine="709" w:right="-71"/>
        <w:rPr>
          <w:color w:val="000000"/>
          <w:sz w:val="20"/>
        </w:rPr>
      </w:pPr>
      <w:r>
        <w:rPr>
          <w:color w:val="000000"/>
          <w:sz w:val="20"/>
        </w:rPr>
        <w:t>2.1. Государственный заказчик обязуется:</w:t>
      </w:r>
    </w:p>
    <w:p>
      <w:pPr>
        <w:pStyle w:val="NoSpacing"/>
        <w:spacing w:lineRule="auto" w:line="218"/>
        <w:ind w:firstLine="709"/>
        <w:rPr>
          <w:rFonts w:ascii="Times New Roman" w:hAnsi="Times New Roman"/>
          <w:i/>
          <w:i/>
          <w:sz w:val="20"/>
          <w:szCs w:val="20"/>
        </w:rPr>
      </w:pPr>
      <w:r>
        <w:rPr>
          <w:rFonts w:ascii="Times New Roman" w:hAnsi="Times New Roman"/>
          <w:sz w:val="20"/>
          <w:szCs w:val="20"/>
        </w:rPr>
        <w:t>2.1.1. Осуществлять контроль за обеспечением Поставщиком поставок товара в соответствии     Контрактом.</w:t>
      </w:r>
    </w:p>
    <w:p>
      <w:pPr>
        <w:pStyle w:val="NoSpacing"/>
        <w:spacing w:lineRule="auto" w:line="218"/>
        <w:ind w:firstLine="709"/>
        <w:rPr>
          <w:rFonts w:ascii="Times New Roman" w:hAnsi="Times New Roman"/>
          <w:color w:val="000000"/>
          <w:sz w:val="20"/>
          <w:szCs w:val="20"/>
        </w:rPr>
      </w:pPr>
      <w:r>
        <w:rPr>
          <w:rFonts w:ascii="Times New Roman" w:hAnsi="Times New Roman"/>
          <w:sz w:val="20"/>
          <w:szCs w:val="20"/>
        </w:rPr>
        <w:t xml:space="preserve">2.1.2. Обеспечить прием товара в соответствии с условиями </w:t>
      </w:r>
      <w:r>
        <w:rPr>
          <w:rFonts w:ascii="Times New Roman" w:hAnsi="Times New Roman"/>
          <w:color w:val="000000"/>
          <w:sz w:val="20"/>
          <w:szCs w:val="20"/>
        </w:rPr>
        <w:t>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2.1.3. Обеспечить оплату поставленного товара в соответствии с условиями настоящего 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pPr>
        <w:pStyle w:val="Normal"/>
        <w:shd w:val="clear" w:color="auto" w:fill="FFFFFF"/>
        <w:tabs>
          <w:tab w:val="clear" w:pos="708"/>
          <w:tab w:val="left" w:pos="1054" w:leader="none"/>
        </w:tabs>
        <w:spacing w:lineRule="auto" w:line="218"/>
        <w:ind w:firstLine="709"/>
        <w:jc w:val="both"/>
        <w:rPr>
          <w:sz w:val="20"/>
          <w:szCs w:val="20"/>
        </w:rPr>
      </w:pPr>
      <w:r>
        <w:rPr>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pPr>
        <w:pStyle w:val="NoSpacing"/>
        <w:spacing w:lineRule="auto" w:line="218"/>
        <w:ind w:firstLine="709"/>
        <w:rPr>
          <w:rFonts w:ascii="Times New Roman" w:hAnsi="Times New Roman"/>
          <w:sz w:val="20"/>
          <w:szCs w:val="20"/>
        </w:rPr>
      </w:pPr>
      <w:r>
        <w:rPr>
          <w:rFonts w:ascii="Times New Roman" w:hAnsi="Times New Roman"/>
          <w:sz w:val="20"/>
          <w:szCs w:val="20"/>
        </w:rPr>
        <w:t>2.1.6.  Выполнять иные обязанности, предусмотренные законодательством Российской Федерации     Контрактом.</w:t>
      </w:r>
    </w:p>
    <w:p>
      <w:pPr>
        <w:pStyle w:val="NoSpacing"/>
        <w:spacing w:lineRule="auto" w:line="206"/>
        <w:ind w:firstLine="709"/>
        <w:rPr>
          <w:rFonts w:ascii="Times New Roman" w:hAnsi="Times New Roman"/>
          <w:sz w:val="20"/>
          <w:szCs w:val="20"/>
        </w:rPr>
      </w:pPr>
      <w:r>
        <w:rPr>
          <w:rFonts w:ascii="Times New Roman" w:hAnsi="Times New Roman"/>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pPr>
        <w:pStyle w:val="NoSpacing"/>
        <w:spacing w:lineRule="auto" w:line="206"/>
        <w:ind w:firstLine="709"/>
        <w:rPr>
          <w:rFonts w:ascii="Times New Roman" w:hAnsi="Times New Roman"/>
          <w:sz w:val="20"/>
          <w:szCs w:val="20"/>
        </w:rPr>
      </w:pPr>
      <w:r>
        <w:rPr>
          <w:rFonts w:ascii="Times New Roman" w:hAnsi="Times New Roman"/>
          <w:sz w:val="20"/>
          <w:szCs w:val="20"/>
        </w:rPr>
        <w:t>2.1.8.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1"/>
        <w:spacing w:lineRule="auto" w:line="206"/>
        <w:ind w:firstLine="709" w:right="-71"/>
        <w:rPr>
          <w:color w:val="000000"/>
          <w:sz w:val="20"/>
        </w:rPr>
      </w:pPr>
      <w:r>
        <w:rPr>
          <w:sz w:val="20"/>
        </w:rPr>
        <w:t xml:space="preserve">2.1.9. Взыскивать пеню и штраф, а также требовать возмещения убытков </w:t>
      </w:r>
      <w:r>
        <w:rPr>
          <w:color w:val="000000"/>
          <w:sz w:val="20"/>
        </w:rPr>
        <w:t>в соответствии с условиями Контракта.</w:t>
      </w:r>
    </w:p>
    <w:p>
      <w:pPr>
        <w:pStyle w:val="NoSpacing"/>
        <w:spacing w:lineRule="auto" w:line="218"/>
        <w:ind w:firstLine="709"/>
        <w:rPr>
          <w:rFonts w:ascii="Times New Roman" w:hAnsi="Times New Roman"/>
          <w:sz w:val="20"/>
          <w:szCs w:val="20"/>
        </w:rPr>
      </w:pPr>
      <w:r>
        <w:rPr>
          <w:rFonts w:ascii="Times New Roman" w:hAnsi="Times New Roman"/>
          <w:sz w:val="20"/>
          <w:szCs w:val="20"/>
        </w:rPr>
        <w:t>2.2.  Государственный заказчик вправе:</w:t>
      </w:r>
    </w:p>
    <w:p>
      <w:pPr>
        <w:pStyle w:val="Normal"/>
        <w:tabs>
          <w:tab w:val="clear" w:pos="708"/>
          <w:tab w:val="left" w:pos="709" w:leader="none"/>
        </w:tabs>
        <w:spacing w:lineRule="auto" w:line="218"/>
        <w:ind w:firstLine="709"/>
        <w:jc w:val="both"/>
        <w:rPr>
          <w:sz w:val="20"/>
          <w:szCs w:val="20"/>
        </w:rPr>
      </w:pPr>
      <w:r>
        <w:rPr>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tabs>
          <w:tab w:val="clear" w:pos="708"/>
          <w:tab w:val="left" w:pos="709" w:leader="none"/>
        </w:tabs>
        <w:spacing w:lineRule="auto" w:line="218"/>
        <w:ind w:firstLine="709"/>
        <w:jc w:val="both"/>
        <w:rPr>
          <w:sz w:val="20"/>
          <w:szCs w:val="20"/>
        </w:rPr>
      </w:pPr>
      <w:r>
        <w:rPr>
          <w:sz w:val="20"/>
          <w:szCs w:val="20"/>
        </w:rPr>
        <w:t>2.2.2. Требовать от Поставщика надлежащего исполнения обязательств, предусмотренных Контрактом.</w:t>
      </w:r>
    </w:p>
    <w:p>
      <w:pPr>
        <w:pStyle w:val="1"/>
        <w:spacing w:lineRule="auto" w:line="206"/>
        <w:ind w:firstLine="709" w:right="-71"/>
        <w:rPr>
          <w:sz w:val="20"/>
        </w:rPr>
      </w:pPr>
      <w:r>
        <w:rPr>
          <w:sz w:val="20"/>
        </w:rPr>
        <w:t>2.2.3. Принять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pPr>
        <w:pStyle w:val="11"/>
        <w:ind w:firstLine="708"/>
        <w:jc w:val="both"/>
        <w:rPr>
          <w:sz w:val="20"/>
          <w:szCs w:val="20"/>
        </w:rPr>
      </w:pPr>
      <w:r>
        <w:rPr>
          <w:sz w:val="20"/>
          <w:szCs w:val="20"/>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 исполнителю)</w:t>
      </w:r>
    </w:p>
    <w:p>
      <w:pPr>
        <w:pStyle w:val="1"/>
        <w:spacing w:lineRule="auto" w:line="206"/>
        <w:ind w:firstLine="709" w:right="-71"/>
        <w:rPr>
          <w:color w:val="000000"/>
          <w:sz w:val="20"/>
        </w:rPr>
      </w:pPr>
      <w:r>
        <w:rPr>
          <w:color w:val="000000"/>
          <w:sz w:val="20"/>
        </w:rPr>
        <w:t>2.3. Поставщик обязуется:</w:t>
      </w:r>
    </w:p>
    <w:p>
      <w:pPr>
        <w:pStyle w:val="1"/>
        <w:spacing w:lineRule="auto" w:line="206"/>
        <w:ind w:firstLine="709" w:right="-71"/>
        <w:rPr>
          <w:color w:val="000000"/>
          <w:sz w:val="20"/>
        </w:rPr>
      </w:pPr>
      <w:r>
        <w:rPr>
          <w:sz w:val="20"/>
        </w:rPr>
        <w:t xml:space="preserve">2.3.1. В письменной форме известить Государственного заказчика о дате поставки Товара в порядке, предусмотренном </w:t>
      </w:r>
      <w:r>
        <w:rPr>
          <w:color w:val="000000"/>
          <w:sz w:val="20"/>
        </w:rPr>
        <w:t>Контрактом.</w:t>
      </w:r>
    </w:p>
    <w:p>
      <w:pPr>
        <w:pStyle w:val="1"/>
        <w:spacing w:lineRule="auto" w:line="240"/>
        <w:ind w:firstLine="709" w:right="-71"/>
        <w:rPr>
          <w:sz w:val="20"/>
        </w:rPr>
      </w:pPr>
      <w:r>
        <w:rPr>
          <w:sz w:val="20"/>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pPr>
        <w:pStyle w:val="1"/>
        <w:spacing w:lineRule="auto" w:line="240"/>
        <w:ind w:firstLine="709" w:right="-71"/>
        <w:rPr>
          <w:color w:val="000000"/>
          <w:sz w:val="20"/>
        </w:rPr>
      </w:pPr>
      <w:r>
        <w:rPr>
          <w:sz w:val="20"/>
        </w:rPr>
        <w:t xml:space="preserve">2.3.3. Осуществить поставку Товара в сроки и в порядке, указанные в </w:t>
      </w:r>
      <w:r>
        <w:rPr>
          <w:color w:val="000000"/>
          <w:sz w:val="20"/>
        </w:rPr>
        <w:t>Контракте.</w:t>
      </w:r>
    </w:p>
    <w:p>
      <w:pPr>
        <w:pStyle w:val="NoSpacing"/>
        <w:ind w:firstLine="709"/>
        <w:rPr>
          <w:rFonts w:ascii="Times New Roman" w:hAnsi="Times New Roman"/>
          <w:sz w:val="20"/>
          <w:szCs w:val="20"/>
        </w:rPr>
      </w:pPr>
      <w:r>
        <w:rPr>
          <w:rFonts w:ascii="Times New Roman" w:hAnsi="Times New Roman"/>
          <w:sz w:val="20"/>
          <w:szCs w:val="20"/>
        </w:rPr>
        <w:t>2.3.4. Поставить Товар в комплекте с относящейся к нему документацией, перечисленной в пункте       4.7 Контракта.</w:t>
      </w:r>
    </w:p>
    <w:p>
      <w:pPr>
        <w:pStyle w:val="NoSpacing"/>
        <w:ind w:firstLine="709"/>
        <w:rPr>
          <w:rFonts w:ascii="Times New Roman" w:hAnsi="Times New Roman"/>
          <w:sz w:val="20"/>
          <w:szCs w:val="20"/>
        </w:rPr>
      </w:pPr>
      <w:r>
        <w:rPr>
          <w:rFonts w:ascii="Times New Roman" w:hAnsi="Times New Roman"/>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pPr>
        <w:pStyle w:val="NoSpacing"/>
        <w:ind w:firstLine="709"/>
        <w:rPr>
          <w:rFonts w:ascii="Times New Roman" w:hAnsi="Times New Roman"/>
          <w:sz w:val="20"/>
          <w:szCs w:val="20"/>
        </w:rPr>
      </w:pPr>
      <w:r>
        <w:rPr>
          <w:rFonts w:ascii="Times New Roman" w:hAnsi="Times New Roman"/>
          <w:sz w:val="20"/>
          <w:szCs w:val="20"/>
        </w:rPr>
        <w:t>2.3.6. Передать Государственному заказчику платежные и иные документы в порядке и на условиях, установленных пунктом 4.7 Контракта.</w:t>
      </w:r>
    </w:p>
    <w:p>
      <w:pPr>
        <w:pStyle w:val="NoSpacing"/>
        <w:ind w:firstLine="709"/>
        <w:rPr>
          <w:rFonts w:ascii="Times New Roman" w:hAnsi="Times New Roman"/>
          <w:sz w:val="20"/>
          <w:szCs w:val="20"/>
        </w:rPr>
      </w:pPr>
      <w:r>
        <w:rPr>
          <w:rFonts w:ascii="Times New Roman" w:hAnsi="Times New Roman"/>
          <w:sz w:val="20"/>
          <w:szCs w:val="20"/>
        </w:rPr>
        <w:t>2.3.7. Безвозмездно осуществлять замену некачественного Товара согласно условиям Контракта.</w:t>
      </w:r>
    </w:p>
    <w:p>
      <w:pPr>
        <w:pStyle w:val="NoSpacing"/>
        <w:ind w:firstLine="709"/>
        <w:rPr>
          <w:rFonts w:ascii="Times New Roman" w:hAnsi="Times New Roman"/>
          <w:sz w:val="20"/>
          <w:szCs w:val="20"/>
        </w:rPr>
      </w:pPr>
      <w:r>
        <w:rPr>
          <w:rFonts w:ascii="Times New Roman" w:hAnsi="Times New Roman"/>
          <w:sz w:val="20"/>
          <w:szCs w:val="20"/>
        </w:rPr>
        <w:t>2.3.8. Обеспечить осуществление Государственным заказчиком контроля за исполнением Контракта, в том числе на отдельных этапах его исполнения.</w:t>
      </w:r>
    </w:p>
    <w:p>
      <w:pPr>
        <w:pStyle w:val="1"/>
        <w:spacing w:lineRule="auto" w:line="240"/>
        <w:ind w:firstLine="709" w:right="-71"/>
        <w:rPr>
          <w:sz w:val="20"/>
        </w:rPr>
      </w:pPr>
      <w:r>
        <w:rPr>
          <w:sz w:val="20"/>
        </w:rPr>
        <w:t>2.4. Поставщик имеет право:</w:t>
      </w:r>
    </w:p>
    <w:p>
      <w:pPr>
        <w:pStyle w:val="1"/>
        <w:spacing w:lineRule="auto" w:line="240"/>
        <w:ind w:firstLine="709" w:right="-71"/>
        <w:rPr>
          <w:sz w:val="20"/>
        </w:rPr>
      </w:pPr>
      <w:r>
        <w:rPr>
          <w:sz w:val="20"/>
        </w:rPr>
        <w:t xml:space="preserve">2.4.1. Требовать оплату за поставленный по Контракту товар. </w:t>
      </w:r>
    </w:p>
    <w:p>
      <w:pPr>
        <w:pStyle w:val="1"/>
        <w:spacing w:lineRule="auto" w:line="240"/>
        <w:ind w:firstLine="709" w:right="-71"/>
        <w:rPr>
          <w:color w:val="000000"/>
          <w:sz w:val="20"/>
        </w:rPr>
      </w:pPr>
      <w:r>
        <w:rPr>
          <w:sz w:val="20"/>
        </w:rPr>
        <w:t xml:space="preserve">2.4.2. Требовать уплату пеней и штрафов согласно </w:t>
      </w:r>
      <w:r>
        <w:rPr>
          <w:color w:val="000000"/>
          <w:sz w:val="20"/>
        </w:rPr>
        <w:t>пункту 8.2 Контракта</w:t>
      </w:r>
    </w:p>
    <w:p>
      <w:pPr>
        <w:pStyle w:val="1"/>
        <w:spacing w:lineRule="auto" w:line="240"/>
        <w:ind w:firstLine="709" w:right="-71"/>
        <w:rPr>
          <w:color w:val="000000"/>
          <w:sz w:val="20"/>
        </w:rPr>
      </w:pPr>
      <w:r>
        <w:rPr>
          <w:color w:val="000000"/>
          <w:sz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pPr>
        <w:pStyle w:val="1"/>
        <w:spacing w:lineRule="auto" w:line="240"/>
        <w:ind w:firstLine="709" w:right="-71"/>
        <w:rPr>
          <w:sz w:val="20"/>
        </w:rPr>
      </w:pPr>
      <w:r>
        <w:rPr>
          <w:sz w:val="20"/>
        </w:rPr>
        <w:t>2.4.4. Принять решение об одностороннем отказе от исполнения Контракта в случае нарушения Государственным заказчиком обязательств, предусмотренных в  условиями Контракта.</w:t>
      </w:r>
    </w:p>
    <w:p>
      <w:pPr>
        <w:pStyle w:val="1"/>
        <w:spacing w:lineRule="auto" w:line="240"/>
        <w:ind w:firstLine="709" w:right="-71"/>
        <w:rPr>
          <w:sz w:val="20"/>
        </w:rPr>
      </w:pPr>
      <w:r>
        <w:rPr>
          <w:sz w:val="20"/>
        </w:rPr>
      </w:r>
    </w:p>
    <w:p>
      <w:pPr>
        <w:pStyle w:val="Normal"/>
        <w:shd w:val="clear" w:color="auto" w:fill="FFFFFF"/>
        <w:tabs>
          <w:tab w:val="clear" w:pos="708"/>
          <w:tab w:val="left" w:pos="993" w:leader="none"/>
        </w:tabs>
        <w:jc w:val="center"/>
        <w:rPr>
          <w:b/>
          <w:sz w:val="20"/>
          <w:szCs w:val="20"/>
        </w:rPr>
      </w:pPr>
      <w:r>
        <w:rPr>
          <w:b/>
          <w:sz w:val="20"/>
          <w:szCs w:val="20"/>
        </w:rPr>
        <w:t>3. Цена Контракта и порядок оплаты</w:t>
      </w:r>
    </w:p>
    <w:p>
      <w:pPr>
        <w:pStyle w:val="Normal"/>
        <w:ind w:firstLine="709"/>
        <w:jc w:val="both"/>
        <w:rPr>
          <w:sz w:val="20"/>
          <w:szCs w:val="20"/>
        </w:rPr>
      </w:pPr>
      <w:r>
        <w:rPr>
          <w:sz w:val="20"/>
          <w:szCs w:val="20"/>
        </w:rPr>
        <w:t xml:space="preserve">3.1. Цена Контракта составляет </w:t>
      </w:r>
      <w:r>
        <w:rPr>
          <w:b/>
          <w:sz w:val="20"/>
          <w:szCs w:val="20"/>
        </w:rPr>
        <w:t>_________(__________) рублей ___ копеек,</w:t>
      </w:r>
      <w:r>
        <w:rPr>
          <w:sz w:val="20"/>
          <w:szCs w:val="20"/>
        </w:rPr>
        <w:t xml:space="preserve"> с учетом НДС</w:t>
      </w:r>
      <w:r>
        <w:rPr>
          <w:color w:val="000000"/>
          <w:sz w:val="20"/>
          <w:szCs w:val="20"/>
        </w:rPr>
        <w:t xml:space="preserve">(НДС не облагается согласно  п. 2 ст. 346.11 главы 26.2 Налогового кодекса РФ). </w:t>
      </w:r>
    </w:p>
    <w:p>
      <w:pPr>
        <w:pStyle w:val="Normal"/>
        <w:ind w:firstLine="709"/>
        <w:jc w:val="both"/>
        <w:rPr>
          <w:bCs/>
          <w:sz w:val="20"/>
          <w:szCs w:val="20"/>
        </w:rPr>
      </w:pPr>
      <w:r>
        <w:rPr>
          <w:sz w:val="20"/>
          <w:szCs w:val="20"/>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pPr>
        <w:pStyle w:val="Normal"/>
        <w:spacing w:lineRule="auto" w:line="218"/>
        <w:ind w:firstLine="708"/>
        <w:jc w:val="both"/>
        <w:rPr>
          <w:b/>
          <w:sz w:val="20"/>
          <w:szCs w:val="20"/>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ind w:firstLine="360"/>
        <w:jc w:val="both"/>
        <w:rPr>
          <w:sz w:val="20"/>
          <w:szCs w:val="20"/>
          <w:shd w:fill="FFFFFF" w:val="clear"/>
        </w:rPr>
      </w:pPr>
      <w:r>
        <w:rPr>
          <w:sz w:val="20"/>
          <w:szCs w:val="20"/>
        </w:rPr>
        <w:t>3.4.</w:t>
      </w:r>
      <w:r>
        <w:rPr>
          <w:b/>
          <w:sz w:val="20"/>
          <w:szCs w:val="20"/>
        </w:rPr>
        <w:t>Источник фи</w:t>
      </w:r>
      <w:r>
        <w:rPr>
          <w:b/>
          <w:sz w:val="20"/>
          <w:szCs w:val="20"/>
          <w:shd w:fill="FFFFFF" w:val="clear"/>
        </w:rPr>
        <w:t>нансирования Контракта - федеральный бюджет</w:t>
      </w:r>
      <w:r>
        <w:rPr>
          <w:sz w:val="20"/>
          <w:szCs w:val="20"/>
          <w:shd w:fill="FFFFFF" w:val="clear"/>
        </w:rPr>
        <w:t xml:space="preserve">. Финансирование исполнения контракта осуществляется за счет средств федерального бюджета </w:t>
      </w:r>
      <w:r>
        <w:rPr>
          <w:b/>
          <w:sz w:val="20"/>
          <w:szCs w:val="20"/>
          <w:shd w:fill="FFFFFF" w:val="clear"/>
        </w:rPr>
        <w:t>выделенных на ветеринарную деятельность</w:t>
      </w:r>
      <w:r>
        <w:rPr>
          <w:sz w:val="20"/>
          <w:szCs w:val="20"/>
          <w:shd w:fill="FFFFFF" w:val="clear"/>
        </w:rPr>
        <w:t xml:space="preserve">, в пределах утвержденных и доведенных лимитов бюджетных обязательств   на 2026 год согласно   </w:t>
      </w:r>
      <w:r>
        <w:rPr>
          <w:b/>
          <w:sz w:val="20"/>
          <w:szCs w:val="20"/>
          <w:shd w:fill="FFFFFF" w:val="clear"/>
        </w:rPr>
        <w:t>КБК 32003054240690049244</w:t>
      </w:r>
      <w:r>
        <w:rPr>
          <w:sz w:val="20"/>
          <w:szCs w:val="20"/>
          <w:shd w:fill="FFFFFF" w:val="clear"/>
        </w:rPr>
        <w:t>.</w:t>
      </w:r>
    </w:p>
    <w:p>
      <w:pPr>
        <w:pStyle w:val="Normal"/>
        <w:ind w:firstLine="708"/>
        <w:jc w:val="both"/>
        <w:rPr>
          <w:sz w:val="20"/>
          <w:szCs w:val="20"/>
        </w:rPr>
      </w:pPr>
      <w:r>
        <w:rPr>
          <w:sz w:val="20"/>
          <w:szCs w:val="20"/>
        </w:rPr>
        <w:t xml:space="preserve">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 </w:t>
      </w:r>
      <w:r>
        <w:rPr>
          <w:b/>
          <w:bCs/>
          <w:i/>
          <w:iCs/>
          <w:sz w:val="20"/>
          <w:szCs w:val="20"/>
        </w:rPr>
        <w:t>при наличии предельного объема финансирования на счете Государственного заказчика.</w:t>
      </w:r>
      <w:hyperlink r:id="rId2">
        <w:r>
          <w:rPr>
            <w:rStyle w:val="Hyperlink"/>
            <w:b/>
            <w:bCs/>
            <w:i/>
            <w:iCs/>
            <w:sz w:val="20"/>
            <w:szCs w:val="20"/>
          </w:rPr>
          <w:t>Датой поставки считается отметка в товарной накладной уполномоченным лицом.</w:t>
        </w:r>
      </w:hyperlink>
    </w:p>
    <w:p>
      <w:pPr>
        <w:pStyle w:val="Normal"/>
        <w:ind w:firstLine="720"/>
        <w:jc w:val="both"/>
        <w:rPr>
          <w:color w:val="000000"/>
          <w:sz w:val="20"/>
          <w:szCs w:val="20"/>
        </w:rPr>
      </w:pPr>
      <w:r>
        <w:rPr>
          <w:sz w:val="20"/>
          <w:szCs w:val="20"/>
        </w:rPr>
        <w:t>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уменьшенное на размер начисленных штрафов, пеней.</w:t>
      </w:r>
    </w:p>
    <w:p>
      <w:pPr>
        <w:pStyle w:val="Normal"/>
        <w:shd w:val="clear" w:color="auto" w:fill="FFFFFF"/>
        <w:tabs>
          <w:tab w:val="clear" w:pos="708"/>
          <w:tab w:val="left" w:pos="900" w:leader="none"/>
        </w:tabs>
        <w:ind w:firstLine="709"/>
        <w:jc w:val="both"/>
        <w:rPr>
          <w:color w:val="000000"/>
          <w:sz w:val="20"/>
          <w:szCs w:val="20"/>
        </w:rPr>
      </w:pPr>
      <w:r>
        <w:rPr>
          <w:color w:val="000000"/>
          <w:sz w:val="20"/>
          <w:szCs w:val="20"/>
        </w:rPr>
        <w:t>3.7. Государственный заказчик имеет право отказаться полностью или частично от оплаты за расходы, не предусмотренные в данном Контракте.</w:t>
      </w:r>
    </w:p>
    <w:p>
      <w:pPr>
        <w:pStyle w:val="Normal"/>
        <w:shd w:val="clear" w:color="auto" w:fill="FFFFFF"/>
        <w:tabs>
          <w:tab w:val="clear" w:pos="708"/>
          <w:tab w:val="left" w:pos="1027" w:leader="none"/>
        </w:tabs>
        <w:ind w:firstLine="709"/>
        <w:jc w:val="both"/>
        <w:rPr>
          <w:spacing w:val="2"/>
          <w:sz w:val="20"/>
          <w:szCs w:val="20"/>
        </w:rPr>
      </w:pPr>
      <w:r>
        <w:rPr>
          <w:color w:val="000000"/>
          <w:sz w:val="20"/>
          <w:szCs w:val="20"/>
        </w:rPr>
        <w:t>3.8.</w:t>
        <w:tab/>
        <w:t>Стороны, заключившие настоящий Контракт обязаны по требованию одной из них провести сверку расчетов, имеющих место на конкретную дату.</w:t>
      </w:r>
    </w:p>
    <w:p>
      <w:pPr>
        <w:pStyle w:val="21"/>
        <w:spacing w:lineRule="auto" w:line="240" w:before="0" w:after="0"/>
        <w:ind w:firstLine="709" w:right="-71"/>
        <w:contextualSpacing/>
        <w:rPr>
          <w:sz w:val="20"/>
        </w:rPr>
      </w:pPr>
      <w:r>
        <w:rPr>
          <w:spacing w:val="2"/>
          <w:sz w:val="20"/>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NoSpacing"/>
        <w:ind w:firstLine="709"/>
        <w:rPr>
          <w:b/>
          <w:sz w:val="20"/>
          <w:szCs w:val="20"/>
        </w:rPr>
      </w:pPr>
      <w:r>
        <w:rPr>
          <w:rFonts w:ascii="Times New Roman" w:hAnsi="Times New Roman"/>
          <w:sz w:val="20"/>
          <w:szCs w:val="20"/>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shd w:val="clear" w:color="auto" w:fill="FFFFFF"/>
        <w:jc w:val="center"/>
        <w:rPr>
          <w:b/>
          <w:sz w:val="20"/>
          <w:szCs w:val="20"/>
        </w:rPr>
      </w:pPr>
      <w:r>
        <w:rPr>
          <w:b/>
          <w:sz w:val="20"/>
          <w:szCs w:val="20"/>
        </w:rPr>
      </w:r>
    </w:p>
    <w:p>
      <w:pPr>
        <w:pStyle w:val="Normal"/>
        <w:shd w:val="clear" w:color="auto" w:fill="FFFFFF"/>
        <w:jc w:val="center"/>
        <w:rPr>
          <w:b/>
          <w:sz w:val="20"/>
          <w:szCs w:val="20"/>
        </w:rPr>
      </w:pPr>
      <w:r>
        <w:rPr>
          <w:b/>
          <w:sz w:val="20"/>
          <w:szCs w:val="20"/>
        </w:rPr>
        <w:t>4. Сроки и порядок поставки</w:t>
      </w:r>
    </w:p>
    <w:p>
      <w:pPr>
        <w:pStyle w:val="ConsPlusNormal"/>
        <w:widowControl w:val="false"/>
        <w:tabs>
          <w:tab w:val="clear" w:pos="708"/>
          <w:tab w:val="left" w:pos="0" w:leader="none"/>
        </w:tabs>
        <w:spacing w:lineRule="auto" w:line="216"/>
        <w:ind w:firstLine="709"/>
        <w:jc w:val="both"/>
        <w:rPr>
          <w:rFonts w:ascii="Times New Roman" w:hAnsi="Times New Roman" w:cs="Times New Roman"/>
          <w:bCs/>
          <w:color w:val="000000"/>
          <w:sz w:val="20"/>
          <w:szCs w:val="20"/>
        </w:rPr>
      </w:pPr>
      <w:r>
        <w:rPr>
          <w:rFonts w:cs="Times New Roman" w:ascii="Times New Roman" w:hAnsi="Times New Roman"/>
          <w:sz w:val="20"/>
          <w:szCs w:val="20"/>
        </w:rPr>
        <w:t xml:space="preserve">4.1. </w:t>
      </w:r>
      <w:r>
        <w:rPr>
          <w:rFonts w:cs="Times New Roman" w:ascii="Times New Roman" w:hAnsi="Times New Roman"/>
          <w:color w:val="000000"/>
          <w:sz w:val="20"/>
          <w:szCs w:val="20"/>
        </w:rPr>
        <w:t xml:space="preserve">В рамках исполнения настоящего Контракта поставка товара Государственному заказчику осуществляется  </w:t>
      </w:r>
      <w:r>
        <w:rPr>
          <w:rFonts w:cs="Times New Roman" w:ascii="Times New Roman" w:hAnsi="Times New Roman"/>
          <w:b/>
          <w:color w:val="000000"/>
          <w:sz w:val="20"/>
          <w:szCs w:val="20"/>
        </w:rPr>
        <w:t>в срок по 15.09.2026 г.</w:t>
      </w:r>
    </w:p>
    <w:p>
      <w:pPr>
        <w:pStyle w:val="Normal"/>
        <w:ind w:firstLine="709"/>
        <w:jc w:val="both"/>
        <w:rPr>
          <w:sz w:val="20"/>
          <w:szCs w:val="20"/>
        </w:rPr>
      </w:pPr>
      <w:r>
        <w:rPr>
          <w:sz w:val="20"/>
          <w:szCs w:val="20"/>
        </w:rPr>
        <w:t>4.2. Доставка товара до Государственного заказчика осуществляется автомобильным транспортом Поставщика.</w:t>
      </w:r>
    </w:p>
    <w:p>
      <w:pPr>
        <w:pStyle w:val="Normal"/>
        <w:ind w:firstLine="709"/>
        <w:jc w:val="both"/>
        <w:rPr>
          <w:sz w:val="20"/>
          <w:szCs w:val="20"/>
        </w:rPr>
      </w:pPr>
      <w:r>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pPr>
        <w:pStyle w:val="Normal"/>
        <w:ind w:firstLine="709"/>
        <w:jc w:val="both"/>
        <w:rPr>
          <w:b/>
          <w:sz w:val="20"/>
          <w:szCs w:val="20"/>
        </w:rPr>
      </w:pPr>
      <w:r>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pPr>
        <w:pStyle w:val="Normal"/>
        <w:shd w:val="clear" w:color="auto" w:fill="FFFFFF"/>
        <w:tabs>
          <w:tab w:val="clear" w:pos="708"/>
          <w:tab w:val="left" w:pos="1027" w:leader="none"/>
        </w:tabs>
        <w:ind w:firstLine="709"/>
        <w:jc w:val="both"/>
        <w:rPr>
          <w:color w:val="000000"/>
          <w:sz w:val="20"/>
          <w:szCs w:val="20"/>
        </w:rPr>
      </w:pPr>
      <w:r>
        <w:rPr>
          <w:color w:val="000000"/>
          <w:sz w:val="20"/>
          <w:szCs w:val="20"/>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pPr>
        <w:pStyle w:val="Normal"/>
        <w:widowControl w:val="false"/>
        <w:shd w:val="clear" w:color="auto" w:fill="FFFFFF"/>
        <w:tabs>
          <w:tab w:val="clear" w:pos="708"/>
          <w:tab w:val="left" w:pos="561" w:leader="none"/>
        </w:tabs>
        <w:ind w:firstLine="709"/>
        <w:jc w:val="both"/>
        <w:rPr>
          <w:color w:val="000000"/>
          <w:sz w:val="20"/>
          <w:szCs w:val="20"/>
        </w:rPr>
      </w:pPr>
      <w:r>
        <w:rPr>
          <w:color w:val="000000"/>
          <w:sz w:val="20"/>
          <w:szCs w:val="20"/>
        </w:rPr>
        <w:t xml:space="preserve">4.6. Поставщик обязуется  передать  Государственному заказчику товар,  не  обремененный  правом третьих лиц.  </w:t>
      </w:r>
    </w:p>
    <w:p>
      <w:pPr>
        <w:pStyle w:val="11"/>
        <w:ind w:firstLine="709"/>
        <w:jc w:val="both"/>
        <w:rPr>
          <w:sz w:val="20"/>
          <w:szCs w:val="20"/>
        </w:rPr>
      </w:pPr>
      <w:r>
        <w:rPr>
          <w:sz w:val="20"/>
          <w:szCs w:val="20"/>
        </w:rPr>
        <w:t>4.7. Вместе с товаром Поставщик передает Государственному заказчику относящуюся к товару документацию:</w:t>
      </w:r>
    </w:p>
    <w:p>
      <w:pPr>
        <w:pStyle w:val="11"/>
        <w:ind w:firstLine="708"/>
        <w:jc w:val="both"/>
        <w:rPr>
          <w:sz w:val="20"/>
          <w:szCs w:val="20"/>
        </w:rPr>
      </w:pPr>
      <w:r>
        <w:rPr>
          <w:sz w:val="20"/>
          <w:szCs w:val="20"/>
        </w:rPr>
        <w:t>счет на оплату;</w:t>
      </w:r>
    </w:p>
    <w:p>
      <w:pPr>
        <w:pStyle w:val="11"/>
        <w:ind w:firstLine="708"/>
        <w:jc w:val="both"/>
        <w:rPr>
          <w:sz w:val="20"/>
          <w:szCs w:val="20"/>
        </w:rPr>
      </w:pPr>
      <w:r>
        <w:rPr>
          <w:sz w:val="20"/>
          <w:szCs w:val="20"/>
        </w:rPr>
        <w:t>счет – фактуру;</w:t>
      </w:r>
    </w:p>
    <w:p>
      <w:pPr>
        <w:pStyle w:val="11"/>
        <w:ind w:firstLine="709"/>
        <w:jc w:val="both"/>
        <w:rPr>
          <w:sz w:val="20"/>
          <w:szCs w:val="20"/>
        </w:rPr>
      </w:pPr>
      <w:r>
        <w:rPr>
          <w:sz w:val="20"/>
          <w:szCs w:val="2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pPr>
        <w:pStyle w:val="11"/>
        <w:ind w:firstLine="709"/>
        <w:jc w:val="both"/>
        <w:rPr>
          <w:sz w:val="20"/>
          <w:szCs w:val="20"/>
        </w:rPr>
      </w:pPr>
      <w:r>
        <w:rPr>
          <w:sz w:val="20"/>
          <w:szCs w:val="20"/>
        </w:rPr>
        <w:t>документ, подтверждающий качество поставляемого товара.</w:t>
      </w:r>
    </w:p>
    <w:p>
      <w:pPr>
        <w:pStyle w:val="11"/>
        <w:ind w:firstLine="709"/>
        <w:jc w:val="both"/>
        <w:rPr>
          <w:sz w:val="20"/>
          <w:szCs w:val="20"/>
        </w:rPr>
      </w:pPr>
      <w:r>
        <w:rPr>
          <w:sz w:val="20"/>
          <w:szCs w:val="20"/>
        </w:rPr>
        <w:t>копию декларации о соответствии ( сертификат)</w:t>
      </w:r>
    </w:p>
    <w:p>
      <w:pPr>
        <w:pStyle w:val="11"/>
        <w:ind w:firstLine="709"/>
        <w:jc w:val="both"/>
        <w:rPr>
          <w:sz w:val="20"/>
          <w:szCs w:val="20"/>
        </w:rPr>
      </w:pPr>
      <w:r>
        <w:rPr>
          <w:sz w:val="20"/>
          <w:szCs w:val="20"/>
        </w:rPr>
        <w:t>копию регистрационного удостоверения</w:t>
      </w:r>
    </w:p>
    <w:p>
      <w:pPr>
        <w:pStyle w:val="11"/>
        <w:ind w:firstLine="709"/>
        <w:jc w:val="both"/>
        <w:rPr>
          <w:sz w:val="20"/>
          <w:szCs w:val="20"/>
        </w:rPr>
      </w:pPr>
      <w:r>
        <w:rPr>
          <w:sz w:val="20"/>
          <w:szCs w:val="20"/>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pPr>
        <w:pStyle w:val="Normal"/>
        <w:shd w:val="clear" w:color="auto" w:fill="FFFFFF"/>
        <w:tabs>
          <w:tab w:val="clear" w:pos="708"/>
          <w:tab w:val="left" w:pos="1027" w:leader="none"/>
        </w:tabs>
        <w:ind w:firstLine="709"/>
        <w:jc w:val="both"/>
        <w:rPr>
          <w:sz w:val="20"/>
          <w:szCs w:val="20"/>
        </w:rPr>
      </w:pPr>
      <w:r>
        <w:rPr>
          <w:sz w:val="20"/>
          <w:szCs w:val="20"/>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pPr>
        <w:pStyle w:val="Normal"/>
        <w:shd w:val="clear" w:color="auto" w:fill="FFFFFF"/>
        <w:tabs>
          <w:tab w:val="clear" w:pos="708"/>
          <w:tab w:val="left" w:pos="1054" w:leader="none"/>
        </w:tabs>
        <w:ind w:firstLine="709"/>
        <w:jc w:val="both"/>
        <w:rPr>
          <w:sz w:val="20"/>
          <w:szCs w:val="20"/>
        </w:rPr>
      </w:pPr>
      <w:r>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pPr>
        <w:pStyle w:val="Normal"/>
        <w:shd w:val="clear" w:color="auto" w:fill="FFFFFF"/>
        <w:tabs>
          <w:tab w:val="clear" w:pos="708"/>
          <w:tab w:val="left" w:pos="-5103" w:leader="none"/>
        </w:tabs>
        <w:jc w:val="center"/>
        <w:rPr>
          <w:sz w:val="20"/>
          <w:szCs w:val="20"/>
        </w:rPr>
      </w:pPr>
      <w:r>
        <w:rPr>
          <w:b/>
          <w:sz w:val="20"/>
          <w:szCs w:val="20"/>
        </w:rPr>
        <w:t>5. Порядок приемки товара</w:t>
      </w:r>
    </w:p>
    <w:p>
      <w:pPr>
        <w:pStyle w:val="Normal"/>
        <w:ind w:firstLine="708"/>
        <w:jc w:val="both"/>
        <w:rPr>
          <w:sz w:val="20"/>
          <w:szCs w:val="20"/>
        </w:rPr>
      </w:pPr>
      <w:r>
        <w:rPr>
          <w:sz w:val="20"/>
          <w:szCs w:val="20"/>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pPr>
        <w:pStyle w:val="Normal"/>
        <w:ind w:firstLine="720"/>
        <w:jc w:val="both"/>
        <w:rPr>
          <w:rFonts w:eastAsia="Calibri"/>
          <w:sz w:val="20"/>
          <w:szCs w:val="20"/>
        </w:rPr>
      </w:pPr>
      <w:r>
        <w:rPr>
          <w:rFonts w:eastAsia="Calibri"/>
          <w:sz w:val="20"/>
          <w:szCs w:val="20"/>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pPr>
        <w:pStyle w:val="Normal"/>
        <w:ind w:firstLine="720"/>
        <w:jc w:val="both"/>
        <w:rPr>
          <w:sz w:val="20"/>
          <w:szCs w:val="20"/>
        </w:rPr>
      </w:pPr>
      <w:r>
        <w:rPr>
          <w:sz w:val="20"/>
          <w:szCs w:val="20"/>
        </w:rPr>
        <w:t xml:space="preserve">5.2. Не позднее чем за 2 (два) рабочих дня до даты поставки товара Поставщик в письменной форме уведомляет Государственного заказчика с использованием любых средств связи о готовности </w:t>
      </w:r>
      <w:r>
        <w:rPr>
          <w:spacing w:val="-4"/>
          <w:sz w:val="20"/>
          <w:szCs w:val="20"/>
        </w:rPr>
        <w:t xml:space="preserve">товара </w:t>
      </w:r>
      <w:r>
        <w:rPr>
          <w:sz w:val="20"/>
          <w:szCs w:val="20"/>
        </w:rPr>
        <w:t>к поставке и о дате поставки товара.</w:t>
      </w:r>
    </w:p>
    <w:p>
      <w:pPr>
        <w:pStyle w:val="Normal"/>
        <w:ind w:firstLine="720"/>
        <w:jc w:val="both"/>
        <w:rPr>
          <w:sz w:val="20"/>
          <w:szCs w:val="20"/>
        </w:rPr>
      </w:pPr>
      <w:r>
        <w:rPr>
          <w:sz w:val="20"/>
          <w:szCs w:val="20"/>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pPr>
        <w:pStyle w:val="Normal"/>
        <w:widowControl w:val="false"/>
        <w:snapToGrid w:val="false"/>
        <w:ind w:firstLine="720"/>
        <w:jc w:val="both"/>
        <w:rPr>
          <w:b/>
          <w:i/>
          <w:i/>
          <w:sz w:val="20"/>
          <w:szCs w:val="20"/>
        </w:rPr>
      </w:pPr>
      <w:r>
        <w:rPr>
          <w:sz w:val="20"/>
          <w:szCs w:val="20"/>
        </w:rPr>
        <w:t xml:space="preserve">5.4. </w:t>
      </w:r>
      <w:r>
        <w:rPr>
          <w:b/>
          <w:i/>
          <w:sz w:val="20"/>
          <w:szCs w:val="20"/>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pPr>
        <w:pStyle w:val="Normal"/>
        <w:ind w:firstLine="708"/>
        <w:jc w:val="both"/>
        <w:rPr>
          <w:b/>
          <w:i/>
          <w:i/>
          <w:color w:val="222222"/>
          <w:sz w:val="20"/>
          <w:szCs w:val="20"/>
        </w:rPr>
      </w:pPr>
      <w:r>
        <w:rPr>
          <w:b/>
          <w:i/>
          <w:color w:val="222222"/>
          <w:sz w:val="20"/>
          <w:szCs w:val="20"/>
        </w:rPr>
        <w:t>5.5.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rmal"/>
        <w:ind w:firstLine="708"/>
        <w:jc w:val="both"/>
        <w:rPr>
          <w:b/>
          <w:i/>
          <w:i/>
          <w:sz w:val="20"/>
          <w:szCs w:val="20"/>
        </w:rPr>
      </w:pPr>
      <w:r>
        <w:rPr>
          <w:b/>
          <w:i/>
          <w:sz w:val="20"/>
          <w:szCs w:val="20"/>
        </w:rPr>
        <w:t>Акт приемки (ф. 0510452) составляется в двух экземплярах, по одному экземпляру  для каждой из Сторон.</w:t>
      </w:r>
    </w:p>
    <w:p>
      <w:pPr>
        <w:pStyle w:val="Normal"/>
        <w:ind w:firstLine="720"/>
        <w:jc w:val="both"/>
        <w:rPr>
          <w:sz w:val="20"/>
          <w:szCs w:val="20"/>
        </w:rPr>
      </w:pPr>
      <w:r>
        <w:rPr>
          <w:sz w:val="20"/>
          <w:szCs w:val="20"/>
        </w:rPr>
        <w:t>5.6. В случае, когда документы, указанные в подпункте 4.5 Контракта, не переданы Поставщиком одновременно с товаром или неправильно оформлены, товар считается не поставленным и приемке не подлежит.</w:t>
      </w:r>
    </w:p>
    <w:p>
      <w:pPr>
        <w:pStyle w:val="Normal"/>
        <w:ind w:firstLine="709"/>
        <w:jc w:val="both"/>
        <w:rPr>
          <w:sz w:val="20"/>
          <w:szCs w:val="20"/>
        </w:rPr>
      </w:pPr>
      <w:r>
        <w:rPr>
          <w:sz w:val="20"/>
          <w:szCs w:val="20"/>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pPr>
        <w:pStyle w:val="Normal"/>
        <w:ind w:firstLine="709"/>
        <w:jc w:val="both"/>
        <w:rPr>
          <w:rFonts w:eastAsia="Calibri"/>
          <w:sz w:val="20"/>
          <w:szCs w:val="20"/>
        </w:rPr>
      </w:pPr>
      <w:r>
        <w:rPr>
          <w:rFonts w:eastAsia="Calibri"/>
          <w:sz w:val="20"/>
          <w:szCs w:val="20"/>
        </w:rPr>
        <w:t xml:space="preserve">5.8. </w:t>
      </w:r>
      <w:r>
        <w:rPr>
          <w:sz w:val="20"/>
          <w:szCs w:val="20"/>
        </w:rPr>
        <w:t xml:space="preserve">Государственный заказчик </w:t>
      </w:r>
      <w:r>
        <w:rPr>
          <w:rFonts w:eastAsia="Calibri"/>
          <w:sz w:val="20"/>
          <w:szCs w:val="20"/>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20"/>
          <w:szCs w:val="20"/>
        </w:rPr>
        <w:t>нормативно-технической документации (ГОСТ, ОСТ, СТП, ТУ и т.д.) на данный товар</w:t>
      </w:r>
      <w:r>
        <w:rPr>
          <w:rFonts w:eastAsia="Calibri"/>
          <w:sz w:val="20"/>
          <w:szCs w:val="20"/>
        </w:rPr>
        <w:t>.</w:t>
      </w:r>
    </w:p>
    <w:p>
      <w:pPr>
        <w:pStyle w:val="Normal"/>
        <w:ind w:firstLine="708"/>
        <w:jc w:val="both"/>
        <w:rPr>
          <w:sz w:val="20"/>
          <w:szCs w:val="20"/>
          <w:lang w:eastAsia="en-US"/>
        </w:rPr>
      </w:pPr>
      <w:r>
        <w:rPr>
          <w:rFonts w:eastAsia="Calibri"/>
          <w:sz w:val="20"/>
          <w:szCs w:val="20"/>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pPr>
        <w:pStyle w:val="Normal"/>
        <w:widowControl w:val="false"/>
        <w:snapToGrid w:val="false"/>
        <w:ind w:firstLine="709" w:right="-74"/>
        <w:jc w:val="both"/>
        <w:rPr>
          <w:sz w:val="20"/>
          <w:szCs w:val="20"/>
        </w:rPr>
      </w:pPr>
      <w:r>
        <w:rPr>
          <w:sz w:val="20"/>
          <w:szCs w:val="20"/>
        </w:rPr>
        <w:t>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приемочной комиссией, состоящей не менее чем из пяти человек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widowControl w:val="false"/>
        <w:snapToGrid w:val="false"/>
        <w:ind w:firstLine="709" w:right="-74"/>
        <w:jc w:val="both"/>
        <w:rPr>
          <w:sz w:val="20"/>
          <w:szCs w:val="20"/>
          <w:lang w:eastAsia="ar-SA"/>
        </w:rPr>
      </w:pPr>
      <w:r>
        <w:rPr>
          <w:sz w:val="20"/>
          <w:szCs w:val="20"/>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20"/>
          <w:szCs w:val="20"/>
        </w:rPr>
        <w:t xml:space="preserve">с действующими обязательными требованиями </w:t>
      </w:r>
      <w:r>
        <w:rPr>
          <w:sz w:val="20"/>
          <w:szCs w:val="20"/>
        </w:rPr>
        <w:t>нормативно-технической документации (ГОСТ, ОСТ, СТП, ТУ и т.д.) на данный товар, для подтверждения его соответствия условиям настоящего.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20"/>
          <w:szCs w:val="20"/>
          <w:lang w:eastAsia="ar-SA"/>
        </w:rPr>
        <w:t>.</w:t>
      </w:r>
    </w:p>
    <w:p>
      <w:pPr>
        <w:pStyle w:val="Normal"/>
        <w:widowControl w:val="false"/>
        <w:snapToGrid w:val="false"/>
        <w:ind w:firstLine="709" w:right="-74"/>
        <w:jc w:val="both"/>
        <w:rPr>
          <w:sz w:val="20"/>
          <w:szCs w:val="20"/>
        </w:rPr>
      </w:pPr>
      <w:r>
        <w:rPr>
          <w:sz w:val="20"/>
          <w:szCs w:val="20"/>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pPr>
        <w:pStyle w:val="Normal"/>
        <w:widowControl w:val="false"/>
        <w:ind w:firstLine="709"/>
        <w:jc w:val="both"/>
        <w:rPr>
          <w:sz w:val="20"/>
          <w:szCs w:val="20"/>
        </w:rPr>
      </w:pPr>
      <w:r>
        <w:rPr>
          <w:sz w:val="20"/>
          <w:szCs w:val="20"/>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pPr>
        <w:pStyle w:val="Normal"/>
        <w:widowControl w:val="false"/>
        <w:snapToGrid w:val="false"/>
        <w:ind w:firstLine="709" w:right="-74"/>
        <w:jc w:val="both"/>
        <w:rPr>
          <w:sz w:val="20"/>
          <w:szCs w:val="20"/>
        </w:rPr>
      </w:pPr>
      <w:r>
        <w:rPr>
          <w:sz w:val="20"/>
          <w:szCs w:val="20"/>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pPr>
        <w:pStyle w:val="Normal"/>
        <w:widowControl w:val="false"/>
        <w:snapToGrid w:val="false"/>
        <w:ind w:firstLine="709" w:right="-74"/>
        <w:jc w:val="both"/>
        <w:rPr>
          <w:sz w:val="20"/>
          <w:szCs w:val="20"/>
        </w:rPr>
      </w:pPr>
      <w:r>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pPr>
        <w:pStyle w:val="Normal"/>
        <w:widowControl w:val="false"/>
        <w:snapToGrid w:val="false"/>
        <w:ind w:firstLine="709" w:right="-74"/>
        <w:jc w:val="both"/>
        <w:rPr>
          <w:sz w:val="20"/>
          <w:szCs w:val="20"/>
        </w:rPr>
      </w:pPr>
      <w:r>
        <w:rPr>
          <w:sz w:val="20"/>
          <w:szCs w:val="20"/>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napToGrid w:val="false"/>
        <w:ind w:firstLine="709" w:right="-74"/>
        <w:jc w:val="both"/>
        <w:rPr>
          <w:sz w:val="20"/>
          <w:szCs w:val="20"/>
        </w:rPr>
      </w:pPr>
      <w:r>
        <w:rPr>
          <w:sz w:val="20"/>
          <w:szCs w:val="20"/>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pPr>
        <w:pStyle w:val="Normal"/>
        <w:widowControl w:val="false"/>
        <w:snapToGrid w:val="false"/>
        <w:ind w:firstLine="709" w:right="-74"/>
        <w:jc w:val="both"/>
        <w:rPr>
          <w:sz w:val="20"/>
          <w:szCs w:val="20"/>
        </w:rPr>
      </w:pPr>
      <w:r>
        <w:rPr>
          <w:sz w:val="20"/>
          <w:szCs w:val="20"/>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pPr>
        <w:pStyle w:val="Normal"/>
        <w:widowControl w:val="false"/>
        <w:ind w:firstLine="709"/>
        <w:jc w:val="both"/>
        <w:rPr>
          <w:sz w:val="20"/>
          <w:szCs w:val="20"/>
        </w:rPr>
      </w:pPr>
      <w:r>
        <w:rPr>
          <w:sz w:val="20"/>
          <w:szCs w:val="20"/>
          <w:lang w:eastAsia="ar-SA"/>
        </w:rPr>
        <w:t xml:space="preserve">В случае направления отказа от приемки </w:t>
      </w:r>
      <w:r>
        <w:rPr>
          <w:sz w:val="20"/>
          <w:szCs w:val="20"/>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pPr>
        <w:pStyle w:val="Normal"/>
        <w:widowControl w:val="false"/>
        <w:ind w:firstLine="709"/>
        <w:jc w:val="both"/>
        <w:rPr>
          <w:sz w:val="20"/>
          <w:szCs w:val="20"/>
          <w:lang w:eastAsia="ar-SA"/>
        </w:rPr>
      </w:pPr>
      <w:r>
        <w:rPr>
          <w:sz w:val="20"/>
          <w:szCs w:val="20"/>
          <w:lang w:eastAsia="ar-SA"/>
        </w:rPr>
        <w:t>Поставщик в течение 10 (десяти) календарных дней со дня получения от Государственного заказчика отказа от приемки обязуется:</w:t>
      </w:r>
    </w:p>
    <w:p>
      <w:pPr>
        <w:pStyle w:val="Normal"/>
        <w:tabs>
          <w:tab w:val="clear" w:pos="708"/>
          <w:tab w:val="decimal" w:pos="1134" w:leader="none"/>
        </w:tabs>
        <w:spacing w:before="0" w:after="0"/>
        <w:ind w:firstLine="709"/>
        <w:contextualSpacing/>
        <w:jc w:val="both"/>
        <w:rPr>
          <w:sz w:val="20"/>
          <w:szCs w:val="20"/>
        </w:rPr>
      </w:pPr>
      <w:r>
        <w:rPr>
          <w:sz w:val="20"/>
          <w:szCs w:val="20"/>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pPr>
        <w:pStyle w:val="Normal"/>
        <w:tabs>
          <w:tab w:val="clear" w:pos="708"/>
          <w:tab w:val="decimal" w:pos="1134" w:leader="none"/>
        </w:tabs>
        <w:spacing w:before="0" w:after="0"/>
        <w:ind w:firstLine="709"/>
        <w:contextualSpacing/>
        <w:jc w:val="both"/>
        <w:rPr>
          <w:sz w:val="20"/>
          <w:szCs w:val="20"/>
        </w:rPr>
      </w:pPr>
      <w:r>
        <w:rPr>
          <w:sz w:val="20"/>
          <w:szCs w:val="20"/>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pPr>
        <w:pStyle w:val="Normal"/>
        <w:widowControl w:val="false"/>
        <w:ind w:firstLine="709"/>
        <w:jc w:val="both"/>
        <w:rPr>
          <w:sz w:val="20"/>
          <w:szCs w:val="20"/>
        </w:rPr>
      </w:pPr>
      <w:r>
        <w:rPr>
          <w:sz w:val="20"/>
          <w:szCs w:val="20"/>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20"/>
          <w:szCs w:val="20"/>
          <w:lang w:eastAsia="ar-SA"/>
        </w:rPr>
        <w:t>.</w:t>
      </w:r>
    </w:p>
    <w:p>
      <w:pPr>
        <w:pStyle w:val="Normal"/>
        <w:widowControl w:val="false"/>
        <w:ind w:firstLine="709"/>
        <w:jc w:val="both"/>
        <w:rPr>
          <w:sz w:val="20"/>
          <w:szCs w:val="20"/>
        </w:rPr>
      </w:pPr>
      <w:r>
        <w:rPr>
          <w:sz w:val="20"/>
          <w:szCs w:val="20"/>
        </w:rPr>
        <w:t>Поставщик обязан в течение 10 (десяти) календарных дней после получения Акта недостатков забрать партию товара, не прошедшую приемку.</w:t>
      </w:r>
    </w:p>
    <w:p>
      <w:pPr>
        <w:pStyle w:val="Normal"/>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0"/>
          <w:szCs w:val="20"/>
        </w:rPr>
      </w:pPr>
      <w:r>
        <w:rPr>
          <w:sz w:val="20"/>
          <w:szCs w:val="20"/>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pPr>
        <w:pStyle w:val="Normal"/>
        <w:widowControl w:val="false"/>
        <w:snapToGrid w:val="false"/>
        <w:ind w:firstLine="709" w:right="-74"/>
        <w:jc w:val="both"/>
        <w:rPr>
          <w:sz w:val="20"/>
          <w:szCs w:val="20"/>
        </w:rPr>
      </w:pPr>
      <w:r>
        <w:rPr>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Грузополучателя отказа от приемки или Акта недостатков. Допоставка не допоставленного, доукомплектование или замена некачественного товара оформляется документами, указанные в подпункте 4.5 Контракта.</w:t>
      </w:r>
    </w:p>
    <w:p>
      <w:pPr>
        <w:pStyle w:val="Normal"/>
        <w:widowControl w:val="false"/>
        <w:snapToGrid w:val="false"/>
        <w:ind w:firstLine="709" w:right="-74"/>
        <w:jc w:val="both"/>
        <w:rPr>
          <w:sz w:val="20"/>
          <w:szCs w:val="20"/>
        </w:rPr>
      </w:pPr>
      <w:r>
        <w:rPr>
          <w:sz w:val="20"/>
          <w:szCs w:val="20"/>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ind w:firstLine="708"/>
        <w:jc w:val="both"/>
        <w:rPr>
          <w:rFonts w:eastAsia="Calibri"/>
          <w:sz w:val="20"/>
          <w:szCs w:val="20"/>
          <w:lang w:eastAsia="en-US"/>
        </w:rPr>
      </w:pPr>
      <w:r>
        <w:rPr>
          <w:rFonts w:eastAsia="Calibri"/>
          <w:sz w:val="20"/>
          <w:szCs w:val="20"/>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pPr>
        <w:pStyle w:val="Normal"/>
        <w:ind w:firstLine="708"/>
        <w:jc w:val="both"/>
        <w:rPr>
          <w:rFonts w:eastAsia="Calibri"/>
          <w:sz w:val="20"/>
          <w:szCs w:val="20"/>
          <w:lang w:eastAsia="en-US"/>
        </w:rPr>
      </w:pPr>
      <w:r>
        <w:rPr>
          <w:rFonts w:eastAsia="Calibri"/>
          <w:sz w:val="20"/>
          <w:szCs w:val="20"/>
          <w:lang w:eastAsia="en-US"/>
        </w:rPr>
        <w:t>5.12. Моментом исполнения обязательств Поставщика по поставке товара считается дата подписания Грузополучателем без замечаний Акта приемки по форме, предусмотренный Контрактом.</w:t>
      </w:r>
    </w:p>
    <w:p>
      <w:pPr>
        <w:pStyle w:val="Normal"/>
        <w:widowControl w:val="false"/>
        <w:snapToGrid w:val="false"/>
        <w:ind w:firstLine="720"/>
        <w:jc w:val="both"/>
        <w:rPr>
          <w:sz w:val="20"/>
          <w:szCs w:val="20"/>
        </w:rPr>
      </w:pPr>
      <w:r>
        <w:rPr>
          <w:sz w:val="20"/>
          <w:szCs w:val="20"/>
        </w:rPr>
        <w:t>5.13. Риск случайной гибели или случайного повреждения товара 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pPr>
        <w:pStyle w:val="Normal"/>
        <w:widowControl w:val="false"/>
        <w:snapToGrid w:val="false"/>
        <w:ind w:firstLine="720"/>
        <w:jc w:val="both"/>
        <w:rPr>
          <w:sz w:val="20"/>
          <w:szCs w:val="20"/>
        </w:rPr>
      </w:pPr>
      <w:r>
        <w:rPr>
          <w:sz w:val="20"/>
          <w:szCs w:val="20"/>
        </w:rPr>
        <w:t>5.14. Право собственности на товар переходит к Государственному заказчику с момента подписания Поставщиком Акта приемки, составленного без замечаний.</w:t>
      </w:r>
    </w:p>
    <w:p>
      <w:pPr>
        <w:pStyle w:val="Normal"/>
        <w:shd w:val="clear" w:color="auto" w:fill="FFFFFF"/>
        <w:rPr>
          <w:sz w:val="20"/>
          <w:szCs w:val="20"/>
        </w:rPr>
      </w:pPr>
      <w:r>
        <w:rPr>
          <w:sz w:val="20"/>
          <w:szCs w:val="20"/>
        </w:rPr>
      </w:r>
    </w:p>
    <w:p>
      <w:pPr>
        <w:pStyle w:val="Normal"/>
        <w:shd w:val="clear" w:color="auto" w:fill="FFFFFF"/>
        <w:jc w:val="center"/>
        <w:rPr>
          <w:b/>
          <w:sz w:val="20"/>
          <w:szCs w:val="20"/>
        </w:rPr>
      </w:pPr>
      <w:r>
        <w:rPr>
          <w:b/>
          <w:sz w:val="20"/>
          <w:szCs w:val="20"/>
        </w:rPr>
        <w:t>6. Гарантии качества товара</w:t>
      </w:r>
    </w:p>
    <w:p>
      <w:pPr>
        <w:pStyle w:val="Normal"/>
        <w:shd w:val="clear" w:color="auto" w:fill="FFFFFF"/>
        <w:tabs>
          <w:tab w:val="clear" w:pos="708"/>
          <w:tab w:val="left" w:pos="998" w:leader="none"/>
        </w:tabs>
        <w:ind w:firstLine="709"/>
        <w:jc w:val="both"/>
        <w:rPr>
          <w:sz w:val="20"/>
          <w:szCs w:val="20"/>
        </w:rPr>
      </w:pPr>
      <w:r>
        <w:rPr>
          <w:sz w:val="20"/>
          <w:szCs w:val="20"/>
        </w:rPr>
        <w:t>6.1. Поставщик  гарантирует качество и безопасность поставляемого товара согласно требованиям ГОСТ (ТУ) обычно предъявляемым к товарам подобного рода, 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pPr>
        <w:pStyle w:val="Normal"/>
        <w:shd w:val="clear" w:color="auto" w:fill="FFFFFF"/>
        <w:tabs>
          <w:tab w:val="clear" w:pos="708"/>
          <w:tab w:val="left" w:pos="998" w:leader="none"/>
        </w:tabs>
        <w:ind w:firstLine="709"/>
        <w:jc w:val="both"/>
        <w:rPr>
          <w:sz w:val="20"/>
          <w:szCs w:val="20"/>
        </w:rPr>
      </w:pPr>
      <w:r>
        <w:rPr>
          <w:sz w:val="20"/>
          <w:szCs w:val="20"/>
        </w:rPr>
        <w:t xml:space="preserve">6.2. </w:t>
      </w:r>
      <w:r>
        <w:rPr>
          <w:rFonts w:eastAsia="Arial Unicode MS"/>
          <w:sz w:val="20"/>
          <w:szCs w:val="20"/>
        </w:rPr>
        <w:t xml:space="preserve">Гарантийный срок на момент поставки </w:t>
      </w:r>
      <w:r>
        <w:rPr>
          <w:sz w:val="20"/>
          <w:szCs w:val="20"/>
        </w:rPr>
        <w:t xml:space="preserve">товара составляет  </w:t>
      </w:r>
      <w:r>
        <w:rPr>
          <w:rFonts w:eastAsia="Arial Unicode MS"/>
          <w:sz w:val="20"/>
          <w:szCs w:val="20"/>
        </w:rPr>
        <w:t xml:space="preserve">не менее 12 (двенадцати) месяцев. </w:t>
      </w:r>
    </w:p>
    <w:p>
      <w:pPr>
        <w:pStyle w:val="Normal"/>
        <w:shd w:val="clear" w:color="auto" w:fill="FFFFFF"/>
        <w:tabs>
          <w:tab w:val="clear" w:pos="708"/>
          <w:tab w:val="left" w:pos="998" w:leader="none"/>
        </w:tabs>
        <w:ind w:firstLine="709"/>
        <w:jc w:val="both"/>
        <w:rPr>
          <w:sz w:val="20"/>
          <w:szCs w:val="20"/>
        </w:rPr>
      </w:pPr>
      <w:r>
        <w:rPr>
          <w:sz w:val="20"/>
          <w:szCs w:val="20"/>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pPr>
        <w:pStyle w:val="11"/>
        <w:ind w:firstLine="709"/>
        <w:jc w:val="both"/>
        <w:rPr>
          <w:color w:val="000000"/>
          <w:sz w:val="20"/>
          <w:szCs w:val="20"/>
        </w:rPr>
      </w:pPr>
      <w:r>
        <w:rPr>
          <w:color w:val="000000"/>
          <w:sz w:val="20"/>
          <w:szCs w:val="20"/>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pPr>
        <w:pStyle w:val="Normal"/>
        <w:shd w:val="clear" w:color="auto" w:fill="FFFFFF"/>
        <w:tabs>
          <w:tab w:val="clear" w:pos="708"/>
          <w:tab w:val="left" w:pos="998" w:leader="none"/>
        </w:tabs>
        <w:ind w:firstLine="709"/>
        <w:jc w:val="both"/>
        <w:rPr>
          <w:sz w:val="20"/>
          <w:szCs w:val="20"/>
        </w:rPr>
      </w:pPr>
      <w:r>
        <w:rPr>
          <w:sz w:val="20"/>
          <w:szCs w:val="20"/>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shd w:val="clear" w:color="auto" w:fill="FFFFFF"/>
        <w:tabs>
          <w:tab w:val="clear" w:pos="708"/>
          <w:tab w:val="left" w:pos="998" w:leader="none"/>
        </w:tabs>
        <w:ind w:firstLine="709"/>
        <w:jc w:val="both"/>
        <w:rPr>
          <w:sz w:val="20"/>
          <w:szCs w:val="20"/>
        </w:rPr>
      </w:pPr>
      <w:r>
        <w:rPr>
          <w:sz w:val="20"/>
          <w:szCs w:val="20"/>
        </w:rPr>
        <w:t>6.6. При замене товара срок годности на него исчисляется заново со дня приемки товара Государственным заказчиком.</w:t>
      </w:r>
    </w:p>
    <w:p>
      <w:pPr>
        <w:pStyle w:val="Normal"/>
        <w:shd w:val="clear" w:color="auto" w:fill="FFFFFF"/>
        <w:tabs>
          <w:tab w:val="clear" w:pos="708"/>
          <w:tab w:val="left" w:pos="998" w:leader="none"/>
        </w:tabs>
        <w:ind w:firstLine="709"/>
        <w:jc w:val="both"/>
        <w:rPr>
          <w:sz w:val="20"/>
          <w:szCs w:val="20"/>
        </w:rPr>
      </w:pPr>
      <w:r>
        <w:rPr>
          <w:sz w:val="20"/>
          <w:szCs w:val="20"/>
        </w:rPr>
        <w:t>6.7. Все расходы, связанные с заменой товара ненадлежащего качества в период срока годности товара оплачиваются за счет Поставщика.</w:t>
      </w:r>
    </w:p>
    <w:p>
      <w:pPr>
        <w:pStyle w:val="Normal"/>
        <w:shd w:val="clear" w:color="auto" w:fill="FFFFFF"/>
        <w:tabs>
          <w:tab w:val="clear" w:pos="708"/>
          <w:tab w:val="left" w:pos="998" w:leader="none"/>
        </w:tabs>
        <w:ind w:firstLine="709"/>
        <w:jc w:val="both"/>
        <w:rPr>
          <w:sz w:val="20"/>
          <w:szCs w:val="20"/>
        </w:rPr>
      </w:pPr>
      <w:r>
        <w:rPr>
          <w:sz w:val="20"/>
          <w:szCs w:val="20"/>
        </w:rPr>
      </w:r>
    </w:p>
    <w:p>
      <w:pPr>
        <w:pStyle w:val="Normal"/>
        <w:shd w:val="clear" w:color="auto" w:fill="FFFFFF"/>
        <w:jc w:val="center"/>
        <w:rPr>
          <w:b/>
          <w:sz w:val="20"/>
          <w:szCs w:val="20"/>
        </w:rPr>
      </w:pPr>
      <w:r>
        <w:rPr>
          <w:b/>
          <w:sz w:val="20"/>
          <w:szCs w:val="20"/>
        </w:rPr>
        <w:t>7. Форс-мажорные условия</w:t>
      </w:r>
    </w:p>
    <w:p>
      <w:pPr>
        <w:pStyle w:val="Normal"/>
        <w:shd w:val="clear" w:color="auto" w:fill="FFFFFF"/>
        <w:tabs>
          <w:tab w:val="clear" w:pos="708"/>
          <w:tab w:val="left" w:pos="426" w:leader="none"/>
        </w:tabs>
        <w:ind w:firstLine="709"/>
        <w:jc w:val="both"/>
        <w:rPr>
          <w:sz w:val="20"/>
          <w:szCs w:val="20"/>
        </w:rPr>
      </w:pPr>
      <w:r>
        <w:rPr>
          <w:sz w:val="20"/>
          <w:szCs w:val="20"/>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shd w:val="clear" w:color="auto" w:fill="FFFFFF"/>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widowControl w:val="false"/>
        <w:shd w:val="clear" w:color="auto" w:fill="FFFFFF"/>
        <w:tabs>
          <w:tab w:val="clear" w:pos="708"/>
          <w:tab w:val="left" w:pos="955" w:leader="none"/>
        </w:tabs>
        <w:ind w:firstLine="709"/>
        <w:jc w:val="both"/>
        <w:rPr>
          <w:sz w:val="20"/>
          <w:szCs w:val="20"/>
        </w:rPr>
      </w:pPr>
      <w:r>
        <w:rPr>
          <w:sz w:val="20"/>
          <w:szCs w:val="20"/>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widowControl w:val="false"/>
        <w:shd w:val="clear" w:color="auto" w:fill="FFFFFF"/>
        <w:tabs>
          <w:tab w:val="clear" w:pos="708"/>
          <w:tab w:val="left" w:pos="955" w:leader="none"/>
        </w:tabs>
        <w:ind w:firstLine="709"/>
        <w:jc w:val="both"/>
        <w:rPr>
          <w:sz w:val="20"/>
          <w:szCs w:val="20"/>
        </w:rPr>
      </w:pPr>
      <w:r>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Normal"/>
        <w:widowControl w:val="false"/>
        <w:shd w:val="clear" w:color="auto" w:fill="FFFFFF"/>
        <w:tabs>
          <w:tab w:val="clear" w:pos="708"/>
          <w:tab w:val="left" w:pos="955" w:leader="none"/>
        </w:tabs>
        <w:ind w:firstLine="709"/>
        <w:jc w:val="both"/>
        <w:rPr>
          <w:sz w:val="20"/>
          <w:szCs w:val="20"/>
        </w:rPr>
      </w:pPr>
      <w:r>
        <w:rPr>
          <w:sz w:val="20"/>
          <w:szCs w:val="20"/>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shd w:val="clear" w:color="auto" w:fill="FFFFFF"/>
        <w:ind w:firstLine="709"/>
        <w:jc w:val="both"/>
        <w:rPr>
          <w:sz w:val="20"/>
          <w:szCs w:val="20"/>
        </w:rPr>
      </w:pPr>
      <w:r>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shd w:val="clear" w:color="auto" w:fill="FFFFFF"/>
        <w:ind w:firstLine="709"/>
        <w:jc w:val="both"/>
        <w:rPr>
          <w:sz w:val="20"/>
          <w:szCs w:val="20"/>
        </w:rPr>
      </w:pPr>
      <w:r>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ind w:firstLine="709"/>
        <w:jc w:val="both"/>
        <w:rPr>
          <w:sz w:val="20"/>
          <w:szCs w:val="20"/>
        </w:rPr>
      </w:pPr>
      <w:r>
        <w:rPr>
          <w:sz w:val="20"/>
          <w:szCs w:val="20"/>
        </w:rPr>
      </w:r>
    </w:p>
    <w:p>
      <w:pPr>
        <w:pStyle w:val="Normal"/>
        <w:shd w:val="clear" w:color="auto" w:fill="FFFFFF"/>
        <w:tabs>
          <w:tab w:val="clear" w:pos="708"/>
          <w:tab w:val="left" w:pos="-4962" w:leader="none"/>
        </w:tabs>
        <w:jc w:val="center"/>
        <w:rPr>
          <w:b/>
          <w:sz w:val="20"/>
          <w:szCs w:val="20"/>
        </w:rPr>
      </w:pPr>
      <w:r>
        <w:rPr>
          <w:b/>
          <w:sz w:val="20"/>
          <w:szCs w:val="20"/>
        </w:rPr>
        <w:t>8. Ответственность Сторон</w:t>
      </w:r>
    </w:p>
    <w:p>
      <w:pPr>
        <w:pStyle w:val="Normal"/>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709"/>
        <w:jc w:val="both"/>
        <w:rPr>
          <w:rFonts w:eastAsia="Calibri"/>
          <w:bCs/>
          <w:sz w:val="20"/>
          <w:szCs w:val="20"/>
        </w:rPr>
      </w:pPr>
      <w:r>
        <w:rPr>
          <w:rFonts w:eastAsia="Calibri"/>
          <w:bCs/>
          <w:sz w:val="20"/>
          <w:szCs w:val="20"/>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709"/>
        <w:jc w:val="both"/>
        <w:rPr>
          <w:rFonts w:eastAsia="Calibri"/>
          <w:bCs/>
          <w:sz w:val="20"/>
          <w:szCs w:val="20"/>
        </w:rPr>
      </w:pPr>
      <w:bookmarkStart w:id="0" w:name="Par3"/>
      <w:bookmarkEnd w:id="0"/>
      <w:r>
        <w:rPr>
          <w:rFonts w:eastAsia="Calibri"/>
          <w:bCs/>
          <w:sz w:val="20"/>
          <w:szCs w:val="20"/>
        </w:rPr>
        <w:t>8.2.1.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w:t>
      </w:r>
    </w:p>
    <w:p>
      <w:pPr>
        <w:pStyle w:val="Normal"/>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pPr>
        <w:pStyle w:val="Normal"/>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pPr>
        <w:pStyle w:val="Normal"/>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pPr>
        <w:pStyle w:val="Normal"/>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pPr>
        <w:pStyle w:val="Normal"/>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pPr>
        <w:pStyle w:val="Normal"/>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pPr>
        <w:pStyle w:val="Normal"/>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pPr>
        <w:pStyle w:val="Normal"/>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pPr>
        <w:pStyle w:val="Normal"/>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pPr>
        <w:pStyle w:val="Normal"/>
        <w:ind w:firstLine="709"/>
        <w:jc w:val="both"/>
        <w:rPr>
          <w:rFonts w:eastAsia="Calibri"/>
          <w:sz w:val="20"/>
          <w:szCs w:val="20"/>
        </w:rPr>
      </w:pPr>
      <w:bookmarkStart w:id="1" w:name="Par5"/>
      <w:bookmarkEnd w:id="1"/>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
        <w:r>
          <w:rPr>
            <w:rStyle w:val="Hyperlink"/>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1 000 рублей, если цена Контракта не превышает 3 млн. рублей;</w:t>
      </w:r>
    </w:p>
    <w:p>
      <w:pPr>
        <w:pStyle w:val="Normal"/>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b/>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20"/>
          <w:szCs w:val="20"/>
        </w:rPr>
        <w:t>1000 (одна тысяча) рублей 00 копеек.</w:t>
      </w:r>
    </w:p>
    <w:p>
      <w:pPr>
        <w:pStyle w:val="Normal"/>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pPr>
        <w:pStyle w:val="Normal"/>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pPr>
        <w:pStyle w:val="Normal"/>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pPr>
        <w:pStyle w:val="Normal"/>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pPr>
        <w:pStyle w:val="Normal"/>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8.6. Применение неустойки (штрафа, пени) не освобождает Стороны от исполнения обязательств по настоящему Контракту.</w:t>
      </w:r>
    </w:p>
    <w:p>
      <w:pPr>
        <w:pStyle w:val="Normal"/>
        <w:ind w:firstLine="709"/>
        <w:jc w:val="both"/>
        <w:rPr>
          <w:rFonts w:eastAsia="Calibri"/>
          <w:bCs/>
          <w:sz w:val="20"/>
          <w:szCs w:val="20"/>
        </w:rPr>
      </w:pPr>
      <w:r>
        <w:rPr>
          <w:rFonts w:eastAsia="Calibri"/>
          <w:bCs/>
          <w:sz w:val="20"/>
          <w:szCs w:val="20"/>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pPr>
        <w:pStyle w:val="Normal"/>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pPr>
        <w:pStyle w:val="Normal"/>
        <w:shd w:val="clear" w:color="auto" w:fill="FFFFFF"/>
        <w:jc w:val="both"/>
        <w:rPr>
          <w:b/>
          <w:sz w:val="20"/>
          <w:szCs w:val="20"/>
        </w:rPr>
      </w:pPr>
      <w:r>
        <w:rPr>
          <w:b/>
          <w:sz w:val="20"/>
          <w:szCs w:val="20"/>
        </w:rPr>
      </w:r>
    </w:p>
    <w:p>
      <w:pPr>
        <w:pStyle w:val="Normal"/>
        <w:shd w:val="clear" w:color="auto" w:fill="FFFFFF"/>
        <w:jc w:val="center"/>
        <w:rPr>
          <w:b/>
          <w:sz w:val="20"/>
          <w:szCs w:val="20"/>
        </w:rPr>
      </w:pPr>
      <w:r>
        <w:rPr>
          <w:b/>
          <w:sz w:val="20"/>
          <w:szCs w:val="20"/>
        </w:rPr>
        <w:t>9. Порядок внесения изменений и расторжение Контракта</w:t>
      </w:r>
    </w:p>
    <w:p>
      <w:pPr>
        <w:pStyle w:val="Normal"/>
        <w:ind w:firstLine="708"/>
        <w:jc w:val="both"/>
        <w:rPr>
          <w:sz w:val="20"/>
          <w:szCs w:val="20"/>
        </w:rPr>
      </w:pPr>
      <w:r>
        <w:rPr>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8"/>
        <w:jc w:val="both"/>
        <w:rPr>
          <w:color w:val="000000"/>
          <w:sz w:val="20"/>
          <w:szCs w:val="20"/>
        </w:rPr>
      </w:pPr>
      <w:r>
        <w:rPr>
          <w:color w:val="000000"/>
          <w:sz w:val="20"/>
          <w:szCs w:val="20"/>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pPr>
        <w:pStyle w:val="Normal"/>
        <w:ind w:firstLine="708"/>
        <w:jc w:val="both"/>
        <w:rPr>
          <w:sz w:val="20"/>
          <w:szCs w:val="20"/>
        </w:rPr>
      </w:pPr>
      <w:r>
        <w:rPr>
          <w:sz w:val="20"/>
          <w:szCs w:val="20"/>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pPr>
        <w:pStyle w:val="Normal"/>
        <w:ind w:firstLine="708"/>
        <w:jc w:val="both"/>
        <w:rPr>
          <w:sz w:val="20"/>
          <w:szCs w:val="20"/>
        </w:rPr>
      </w:pPr>
      <w:r>
        <w:rPr>
          <w:sz w:val="20"/>
          <w:szCs w:val="20"/>
        </w:rPr>
        <w:t>9.4. Контракт может быть расторгнут в порядке, установленном действующим законодательством Российской Федерации, по следующим основаниям:</w:t>
      </w:r>
    </w:p>
    <w:p>
      <w:pPr>
        <w:pStyle w:val="Normal"/>
        <w:ind w:firstLine="708"/>
        <w:jc w:val="both"/>
        <w:rPr>
          <w:sz w:val="20"/>
          <w:szCs w:val="20"/>
        </w:rPr>
      </w:pPr>
      <w:r>
        <w:rPr>
          <w:sz w:val="20"/>
          <w:szCs w:val="20"/>
        </w:rPr>
        <w:t>9.4.1. по соглашению Сторон;</w:t>
      </w:r>
    </w:p>
    <w:p>
      <w:pPr>
        <w:pStyle w:val="Normal"/>
        <w:ind w:firstLine="708"/>
        <w:jc w:val="both"/>
        <w:rPr>
          <w:sz w:val="20"/>
          <w:szCs w:val="20"/>
        </w:rPr>
      </w:pPr>
      <w:r>
        <w:rPr>
          <w:sz w:val="20"/>
          <w:szCs w:val="20"/>
        </w:rPr>
        <w:t>9.4.2. по решению суда;</w:t>
      </w:r>
    </w:p>
    <w:p>
      <w:pPr>
        <w:pStyle w:val="Normal"/>
        <w:ind w:firstLine="708"/>
        <w:jc w:val="both"/>
        <w:rPr>
          <w:sz w:val="20"/>
          <w:szCs w:val="20"/>
        </w:rPr>
      </w:pPr>
      <w:r>
        <w:rPr>
          <w:sz w:val="20"/>
          <w:szCs w:val="20"/>
        </w:rPr>
        <w:t>9.4.3. в связи с односторонним отказом Стороны Контракта от исполнения Контракта.</w:t>
      </w:r>
    </w:p>
    <w:p>
      <w:pPr>
        <w:pStyle w:val="Normal"/>
        <w:ind w:firstLine="540"/>
        <w:jc w:val="both"/>
        <w:rPr>
          <w:sz w:val="20"/>
          <w:szCs w:val="20"/>
        </w:rPr>
      </w:pPr>
      <w:r>
        <w:rPr>
          <w:sz w:val="20"/>
          <w:szCs w:val="20"/>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pPr>
        <w:pStyle w:val="Normal"/>
        <w:ind w:firstLine="540"/>
        <w:jc w:val="both"/>
        <w:rPr>
          <w:sz w:val="20"/>
          <w:szCs w:val="20"/>
        </w:rPr>
      </w:pPr>
      <w:r>
        <w:rPr>
          <w:sz w:val="20"/>
          <w:szCs w:val="20"/>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pPr>
        <w:pStyle w:val="Normal"/>
        <w:ind w:firstLine="540"/>
        <w:jc w:val="both"/>
        <w:rPr>
          <w:sz w:val="20"/>
          <w:szCs w:val="20"/>
        </w:rPr>
      </w:pPr>
      <w:r>
        <w:rPr>
          <w:sz w:val="20"/>
          <w:szCs w:val="20"/>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ind w:firstLine="540"/>
        <w:jc w:val="both"/>
        <w:rPr>
          <w:sz w:val="20"/>
          <w:szCs w:val="20"/>
        </w:rPr>
      </w:pPr>
      <w:r>
        <w:rPr>
          <w:sz w:val="20"/>
          <w:szCs w:val="20"/>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pPr>
        <w:pStyle w:val="Normal"/>
        <w:ind w:firstLine="540"/>
        <w:jc w:val="both"/>
        <w:rPr>
          <w:sz w:val="20"/>
          <w:szCs w:val="20"/>
        </w:rPr>
      </w:pPr>
      <w:r>
        <w:rPr>
          <w:sz w:val="20"/>
          <w:szCs w:val="20"/>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540"/>
        <w:jc w:val="both"/>
        <w:rPr>
          <w:sz w:val="20"/>
          <w:szCs w:val="20"/>
        </w:rPr>
      </w:pPr>
      <w:r>
        <w:rPr>
          <w:sz w:val="20"/>
          <w:szCs w:val="20"/>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pPr>
        <w:pStyle w:val="Normal"/>
        <w:ind w:firstLine="540"/>
        <w:jc w:val="both"/>
        <w:rPr>
          <w:sz w:val="20"/>
          <w:szCs w:val="20"/>
        </w:rPr>
      </w:pPr>
      <w:r>
        <w:rPr>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jc w:val="both"/>
        <w:rPr>
          <w:sz w:val="20"/>
          <w:szCs w:val="20"/>
        </w:rPr>
      </w:pPr>
      <w:r>
        <w:rPr>
          <w:sz w:val="20"/>
          <w:szCs w:val="20"/>
        </w:rPr>
      </w:r>
    </w:p>
    <w:p>
      <w:pPr>
        <w:pStyle w:val="Normal"/>
        <w:jc w:val="center"/>
        <w:rPr>
          <w:b/>
          <w:sz w:val="20"/>
          <w:szCs w:val="20"/>
        </w:rPr>
      </w:pPr>
      <w:r>
        <w:rPr>
          <w:b/>
          <w:sz w:val="20"/>
          <w:szCs w:val="20"/>
        </w:rPr>
        <w:t>10. Порядок урегулирования споров</w:t>
      </w:r>
    </w:p>
    <w:p>
      <w:pPr>
        <w:pStyle w:val="Normal"/>
        <w:shd w:val="clear" w:color="auto" w:fill="FFFFFF"/>
        <w:ind w:firstLine="432"/>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pPr>
        <w:pStyle w:val="Normal"/>
        <w:shd w:val="clear" w:color="auto" w:fill="FFFFFF"/>
        <w:ind w:firstLine="432"/>
        <w:jc w:val="both"/>
        <w:rPr>
          <w:sz w:val="20"/>
          <w:szCs w:val="20"/>
        </w:rPr>
      </w:pPr>
      <w:r>
        <w:rPr>
          <w:sz w:val="20"/>
          <w:szCs w:val="20"/>
        </w:rPr>
        <w:t>10.2. До 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ind w:firstLine="432"/>
        <w:jc w:val="both"/>
        <w:rPr>
          <w:sz w:val="20"/>
          <w:szCs w:val="20"/>
        </w:rPr>
      </w:pPr>
      <w:r>
        <w:rPr>
          <w:sz w:val="20"/>
          <w:szCs w:val="20"/>
        </w:rPr>
      </w:r>
    </w:p>
    <w:p>
      <w:pPr>
        <w:pStyle w:val="Normal"/>
        <w:shd w:val="clear" w:color="auto" w:fill="FFFFFF"/>
        <w:jc w:val="center"/>
        <w:rPr>
          <w:b/>
          <w:sz w:val="20"/>
          <w:szCs w:val="20"/>
        </w:rPr>
      </w:pPr>
      <w:r>
        <w:rPr>
          <w:b/>
          <w:sz w:val="20"/>
          <w:szCs w:val="20"/>
        </w:rPr>
        <w:t>11. Особые условия</w:t>
      </w:r>
    </w:p>
    <w:p>
      <w:pPr>
        <w:pStyle w:val="Normal"/>
        <w:widowControl w:val="false"/>
        <w:shd w:val="clear" w:color="auto" w:fill="FFFFFF"/>
        <w:tabs>
          <w:tab w:val="clear" w:pos="708"/>
          <w:tab w:val="left" w:pos="0" w:leader="none"/>
        </w:tabs>
        <w:ind w:firstLine="426"/>
        <w:jc w:val="both"/>
        <w:rPr>
          <w:sz w:val="20"/>
          <w:szCs w:val="20"/>
        </w:rPr>
      </w:pPr>
      <w:r>
        <w:rPr>
          <w:sz w:val="20"/>
          <w:szCs w:val="20"/>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pPr>
        <w:pStyle w:val="Normal"/>
        <w:shd w:val="clear" w:color="auto" w:fill="FFFFFF"/>
        <w:tabs>
          <w:tab w:val="clear" w:pos="708"/>
          <w:tab w:val="left" w:pos="1102" w:leader="none"/>
        </w:tabs>
        <w:ind w:firstLine="426"/>
        <w:jc w:val="both"/>
        <w:rPr>
          <w:sz w:val="20"/>
          <w:szCs w:val="20"/>
        </w:rPr>
      </w:pPr>
      <w:r>
        <w:rPr>
          <w:sz w:val="20"/>
          <w:szCs w:val="20"/>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pPr>
        <w:pStyle w:val="Normal"/>
        <w:widowControl w:val="false"/>
        <w:shd w:val="clear" w:color="auto" w:fill="FFFFFF"/>
        <w:tabs>
          <w:tab w:val="clear" w:pos="708"/>
          <w:tab w:val="left" w:pos="-4820" w:leader="none"/>
        </w:tabs>
        <w:ind w:firstLine="426"/>
        <w:jc w:val="both"/>
        <w:rPr>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pPr>
        <w:pStyle w:val="Normal"/>
        <w:shd w:val="clear" w:color="auto" w:fill="FFFFFF"/>
        <w:jc w:val="center"/>
        <w:rPr>
          <w:b/>
          <w:sz w:val="20"/>
          <w:szCs w:val="20"/>
        </w:rPr>
      </w:pPr>
      <w:r>
        <w:rPr>
          <w:b/>
          <w:sz w:val="20"/>
          <w:szCs w:val="20"/>
        </w:rPr>
        <w:t>12. Срок действия Контракта</w:t>
      </w:r>
    </w:p>
    <w:p>
      <w:pPr>
        <w:pStyle w:val="Normal"/>
        <w:shd w:val="clear" w:color="auto" w:fill="FFFFFF"/>
        <w:ind w:firstLine="426"/>
        <w:jc w:val="both"/>
        <w:rPr>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pPr>
        <w:pStyle w:val="Normal"/>
        <w:shd w:val="clear" w:color="auto" w:fill="FFFFFF"/>
        <w:ind w:firstLine="426"/>
        <w:jc w:val="both"/>
        <w:rPr>
          <w:sz w:val="20"/>
          <w:szCs w:val="20"/>
        </w:rPr>
      </w:pPr>
      <w:r>
        <w:rPr>
          <w:sz w:val="20"/>
          <w:szCs w:val="20"/>
        </w:rPr>
      </w:r>
    </w:p>
    <w:p>
      <w:pPr>
        <w:pStyle w:val="Normal"/>
        <w:numPr>
          <w:ilvl w:val="0"/>
          <w:numId w:val="0"/>
        </w:numPr>
        <w:jc w:val="center"/>
        <w:outlineLvl w:val="0"/>
        <w:rPr>
          <w:b/>
          <w:sz w:val="20"/>
          <w:szCs w:val="20"/>
        </w:rPr>
      </w:pPr>
      <w:r>
        <w:rPr>
          <w:b/>
          <w:sz w:val="20"/>
          <w:szCs w:val="20"/>
        </w:rPr>
        <w:t>13. Юридические адреса, банковские реквизиты и подписи сторон:</w:t>
      </w:r>
    </w:p>
    <w:tbl>
      <w:tblPr>
        <w:tblW w:w="9816" w:type="dxa"/>
        <w:jc w:val="left"/>
        <w:tblInd w:w="216" w:type="dxa"/>
        <w:tblLayout w:type="fixed"/>
        <w:tblCellMar>
          <w:top w:w="0" w:type="dxa"/>
          <w:left w:w="108" w:type="dxa"/>
          <w:bottom w:w="0" w:type="dxa"/>
          <w:right w:w="108" w:type="dxa"/>
        </w:tblCellMar>
        <w:tblLook w:val="0000"/>
      </w:tblPr>
      <w:tblGrid>
        <w:gridCol w:w="5268"/>
        <w:gridCol w:w="4547"/>
      </w:tblGrid>
      <w:tr>
        <w:trPr>
          <w:trHeight w:val="56" w:hRule="atLeast"/>
        </w:trPr>
        <w:tc>
          <w:tcPr>
            <w:tcW w:w="5268" w:type="dxa"/>
            <w:tcBorders/>
            <w:shd w:color="auto" w:fill="auto" w:val="clear"/>
          </w:tcPr>
          <w:p>
            <w:pPr>
              <w:pStyle w:val="Normal"/>
              <w:rPr>
                <w:b/>
                <w:sz w:val="20"/>
                <w:szCs w:val="20"/>
              </w:rPr>
            </w:pPr>
            <w:r>
              <w:rPr>
                <w:b/>
                <w:sz w:val="20"/>
                <w:szCs w:val="20"/>
              </w:rPr>
              <w:t>Государственный заказчик</w:t>
            </w:r>
          </w:p>
          <w:p>
            <w:pPr>
              <w:pStyle w:val="Normal"/>
              <w:rPr>
                <w:b/>
                <w:sz w:val="20"/>
                <w:szCs w:val="20"/>
              </w:rPr>
            </w:pPr>
            <w:r>
              <w:rPr>
                <w:b/>
                <w:sz w:val="20"/>
                <w:szCs w:val="20"/>
              </w:rPr>
              <w:t>ФКУ БМТиВС УФСИН России</w:t>
            </w:r>
          </w:p>
          <w:p>
            <w:pPr>
              <w:pStyle w:val="Normal"/>
              <w:rPr>
                <w:b/>
                <w:sz w:val="20"/>
                <w:szCs w:val="20"/>
              </w:rPr>
            </w:pPr>
            <w:r>
              <w:rPr>
                <w:b/>
                <w:sz w:val="20"/>
                <w:szCs w:val="20"/>
              </w:rPr>
              <w:t xml:space="preserve"> </w:t>
            </w:r>
            <w:r>
              <w:rPr>
                <w:b/>
                <w:sz w:val="20"/>
                <w:szCs w:val="20"/>
              </w:rPr>
              <w:t>по Республике Мордовия</w:t>
            </w:r>
          </w:p>
          <w:p>
            <w:pPr>
              <w:pStyle w:val="Normal"/>
              <w:ind w:hanging="34" w:left="34"/>
              <w:rPr>
                <w:sz w:val="20"/>
                <w:szCs w:val="20"/>
              </w:rPr>
            </w:pPr>
            <w:r>
              <w:rPr>
                <w:b/>
                <w:sz w:val="20"/>
                <w:szCs w:val="20"/>
              </w:rPr>
              <w:t>Юридический адрес:</w:t>
            </w:r>
            <w:r>
              <w:rPr>
                <w:sz w:val="20"/>
                <w:szCs w:val="20"/>
              </w:rPr>
              <w:t>431160, Республика Мордовия,  Зубово-Полянский р-он, р.п. Явас, ул. Комсомольская, 25</w:t>
            </w:r>
          </w:p>
          <w:p>
            <w:pPr>
              <w:pStyle w:val="Normal"/>
              <w:ind w:hanging="34" w:left="34"/>
              <w:rPr>
                <w:b/>
                <w:sz w:val="20"/>
                <w:szCs w:val="20"/>
              </w:rPr>
            </w:pPr>
            <w:r>
              <w:rPr>
                <w:sz w:val="20"/>
                <w:szCs w:val="20"/>
              </w:rPr>
              <w:t xml:space="preserve">тел. (83457) 2-25-25, эл. почта: </w:t>
            </w:r>
            <w:hyperlink r:id="rId4">
              <w:r>
                <w:rPr>
                  <w:rStyle w:val="Hyperlink"/>
                  <w:sz w:val="20"/>
                  <w:szCs w:val="20"/>
                </w:rPr>
                <w:t>bazaois@mail.ru</w:t>
              </w:r>
            </w:hyperlink>
          </w:p>
          <w:p>
            <w:pPr>
              <w:pStyle w:val="Normal"/>
              <w:ind w:hanging="34" w:left="34"/>
              <w:rPr>
                <w:sz w:val="20"/>
                <w:szCs w:val="20"/>
              </w:rPr>
            </w:pPr>
            <w:r>
              <w:rPr>
                <w:b/>
                <w:sz w:val="20"/>
                <w:szCs w:val="20"/>
              </w:rPr>
              <w:t>Банковские реквизиты:</w:t>
            </w:r>
          </w:p>
          <w:p>
            <w:pPr>
              <w:pStyle w:val="ConsNonformat"/>
              <w:widowControl/>
              <w:ind w:right="0"/>
              <w:rPr>
                <w:rFonts w:ascii="Times New Roman" w:hAnsi="Times New Roman"/>
                <w:sz w:val="20"/>
              </w:rPr>
            </w:pPr>
            <w:r>
              <w:rPr>
                <w:rFonts w:ascii="Times New Roman" w:hAnsi="Times New Roman"/>
                <w:sz w:val="20"/>
              </w:rPr>
              <w:t xml:space="preserve">УФК по Нижегородской области (ФКУ БМТиВС </w:t>
            </w:r>
          </w:p>
          <w:p>
            <w:pPr>
              <w:pStyle w:val="ConsNonformat"/>
              <w:widowControl/>
              <w:ind w:right="0"/>
              <w:rPr>
                <w:rFonts w:ascii="Times New Roman" w:hAnsi="Times New Roman"/>
                <w:sz w:val="20"/>
              </w:rPr>
            </w:pPr>
            <w:r>
              <w:rPr>
                <w:rFonts w:ascii="Times New Roman" w:hAnsi="Times New Roman"/>
                <w:sz w:val="20"/>
              </w:rPr>
              <w:t xml:space="preserve">УФСИН России по Республике Мордовия, л\сч.03091717930); ИНН 1308082270; КПП 130801001 </w:t>
            </w:r>
          </w:p>
          <w:p>
            <w:pPr>
              <w:pStyle w:val="ConsNonformat"/>
              <w:widowControl/>
              <w:ind w:right="0"/>
              <w:rPr>
                <w:rFonts w:ascii="Times New Roman" w:hAnsi="Times New Roman"/>
                <w:sz w:val="20"/>
              </w:rPr>
            </w:pPr>
            <w:r>
              <w:rPr>
                <w:rFonts w:ascii="Times New Roman" w:hAnsi="Times New Roman"/>
                <w:sz w:val="20"/>
              </w:rPr>
              <w:t>ЕКС  40102810745370000024</w:t>
            </w:r>
          </w:p>
          <w:p>
            <w:pPr>
              <w:pStyle w:val="ConsNonformat"/>
              <w:widowControl/>
              <w:ind w:right="0"/>
              <w:rPr>
                <w:rFonts w:ascii="Times New Roman" w:hAnsi="Times New Roman"/>
                <w:sz w:val="20"/>
              </w:rPr>
            </w:pPr>
            <w:r>
              <w:rPr>
                <w:rFonts w:ascii="Times New Roman" w:hAnsi="Times New Roman"/>
                <w:sz w:val="20"/>
              </w:rPr>
              <w:t>Номер казначейского счета  03211643000000013232</w:t>
            </w:r>
          </w:p>
          <w:p>
            <w:pPr>
              <w:pStyle w:val="ConsNonformat"/>
              <w:widowControl/>
              <w:ind w:right="0"/>
              <w:rPr>
                <w:rFonts w:ascii="Times New Roman" w:hAnsi="Times New Roman"/>
                <w:sz w:val="20"/>
              </w:rPr>
            </w:pPr>
            <w:r>
              <w:rPr>
                <w:rFonts w:ascii="PT Astra Serif" w:hAnsi="PT Astra Serif"/>
                <w:sz w:val="18"/>
                <w:szCs w:val="18"/>
              </w:rPr>
              <w:t>ОКЦ №1 ВВГУ</w:t>
            </w:r>
            <w:r>
              <w:rPr>
                <w:rFonts w:ascii="Times New Roman" w:hAnsi="Times New Roman"/>
                <w:sz w:val="20"/>
              </w:rPr>
              <w:t>БАНКА РОССИИ//УФК                                     по Нижегородской области, г. Нижний Новгород</w:t>
            </w:r>
          </w:p>
          <w:p>
            <w:pPr>
              <w:pStyle w:val="ConsNonformat"/>
              <w:widowControl/>
              <w:ind w:right="0"/>
              <w:rPr>
                <w:rFonts w:ascii="Times New Roman" w:hAnsi="Times New Roman"/>
                <w:sz w:val="20"/>
              </w:rPr>
            </w:pPr>
            <w:r>
              <w:rPr>
                <w:rFonts w:ascii="Times New Roman" w:hAnsi="Times New Roman"/>
                <w:sz w:val="20"/>
              </w:rPr>
              <w:t xml:space="preserve">БИК  012202102;  ОГРН  1051308006518ОКПО  08927506;     ОКОГУ  13173;    </w:t>
            </w:r>
          </w:p>
          <w:p>
            <w:pPr>
              <w:pStyle w:val="ConsNonformat"/>
              <w:widowControl/>
              <w:ind w:right="0"/>
              <w:rPr>
                <w:rFonts w:ascii="Times New Roman" w:hAnsi="Times New Roman"/>
                <w:sz w:val="20"/>
              </w:rPr>
            </w:pPr>
            <w:r>
              <w:rPr>
                <w:rFonts w:ascii="Times New Roman" w:hAnsi="Times New Roman"/>
                <w:sz w:val="20"/>
              </w:rPr>
              <w:t xml:space="preserve">ОКАТО  89221580000; ОГРЮЛ  1051308006518;     ОКВЭД  -  52.10; ОКФС – 12;     ОКОПФ  -  81 </w:t>
            </w:r>
          </w:p>
          <w:p>
            <w:pPr>
              <w:pStyle w:val="ConsNonformat"/>
              <w:widowControl/>
              <w:ind w:right="0"/>
              <w:rPr>
                <w:rFonts w:ascii="Times New Roman" w:hAnsi="Times New Roman"/>
                <w:sz w:val="20"/>
              </w:rPr>
            </w:pPr>
            <w:r>
              <w:rPr>
                <w:rFonts w:ascii="Times New Roman" w:hAnsi="Times New Roman"/>
                <w:sz w:val="20"/>
              </w:rPr>
              <w:t>ОКТМО 89621180051</w:t>
            </w:r>
          </w:p>
          <w:p>
            <w:pPr>
              <w:pStyle w:val="Normal"/>
              <w:ind w:hanging="34" w:left="34"/>
              <w:rPr>
                <w:rFonts w:ascii="PT Astra Serif" w:hAnsi="PT Astra Serif" w:cs="PT Astra Serif"/>
                <w:sz w:val="20"/>
                <w:szCs w:val="20"/>
              </w:rPr>
            </w:pPr>
            <w:r>
              <w:rPr>
                <w:b/>
                <w:sz w:val="20"/>
                <w:szCs w:val="20"/>
              </w:rPr>
              <w:t>Реквизиты для перечисления пеней (штрафов</w:t>
            </w:r>
            <w:r>
              <w:rPr>
                <w:sz w:val="20"/>
                <w:szCs w:val="20"/>
              </w:rPr>
              <w:t xml:space="preserve">)            </w:t>
            </w:r>
          </w:p>
          <w:p>
            <w:pPr>
              <w:pStyle w:val="Normal"/>
              <w:ind w:hanging="34" w:left="34"/>
              <w:rPr>
                <w:rFonts w:ascii="PT Astra Serif" w:hAnsi="PT Astra Serif" w:cs="PT Astra Serif"/>
                <w:sz w:val="20"/>
                <w:szCs w:val="20"/>
              </w:rPr>
            </w:pPr>
            <w:r>
              <w:rPr>
                <w:rFonts w:cs="PT Astra Serif" w:ascii="PT Astra Serif" w:hAnsi="PT Astra Serif"/>
                <w:sz w:val="20"/>
                <w:szCs w:val="20"/>
              </w:rPr>
              <w:t>ОКТМО 89621180    ИНН 1308082270;</w:t>
            </w:r>
          </w:p>
          <w:p>
            <w:pPr>
              <w:pStyle w:val="Normal"/>
              <w:ind w:hanging="34" w:left="34"/>
              <w:rPr>
                <w:rFonts w:ascii="PT Astra Serif" w:hAnsi="PT Astra Serif" w:cs="PT Astra Serif"/>
                <w:sz w:val="20"/>
                <w:szCs w:val="20"/>
              </w:rPr>
            </w:pPr>
            <w:r>
              <w:rPr>
                <w:rFonts w:cs="PT Astra Serif" w:ascii="PT Astra Serif" w:hAnsi="PT Astra Serif"/>
                <w:sz w:val="20"/>
                <w:szCs w:val="20"/>
              </w:rPr>
              <w:t>КПП 130801001       Кор.счет 40102810545370000114</w:t>
            </w:r>
          </w:p>
          <w:p>
            <w:pPr>
              <w:pStyle w:val="Normal"/>
              <w:ind w:hanging="34" w:left="34"/>
              <w:rPr>
                <w:rFonts w:ascii="PT Astra Serif" w:hAnsi="PT Astra Serif" w:cs="PT Astra Serif"/>
                <w:sz w:val="20"/>
                <w:szCs w:val="20"/>
              </w:rPr>
            </w:pPr>
            <w:r>
              <w:rPr>
                <w:rFonts w:cs="PT Astra Serif" w:ascii="PT Astra Serif" w:hAnsi="PT Astra Serif"/>
                <w:sz w:val="20"/>
                <w:szCs w:val="20"/>
              </w:rPr>
              <w:t>Номер казначейского счета  03100643000000010900</w:t>
            </w:r>
          </w:p>
          <w:p>
            <w:pPr>
              <w:pStyle w:val="Normal"/>
              <w:ind w:hanging="34" w:left="34"/>
              <w:rPr>
                <w:rFonts w:ascii="PT Astra Serif" w:hAnsi="PT Astra Serif" w:cs="PT Astra Serif"/>
                <w:sz w:val="20"/>
                <w:szCs w:val="20"/>
              </w:rPr>
            </w:pPr>
            <w:r>
              <w:rPr>
                <w:rFonts w:cs="PT Astra Serif" w:ascii="PT Astra Serif" w:hAnsi="PT Astra Serif"/>
                <w:sz w:val="20"/>
                <w:szCs w:val="20"/>
              </w:rPr>
              <w:t>ОКЦ №1 Волго-Вятского  ГУ БАНКА РОССИИ//</w:t>
            </w:r>
          </w:p>
          <w:p>
            <w:pPr>
              <w:pStyle w:val="Normal"/>
              <w:ind w:hanging="34" w:left="34"/>
              <w:rPr>
                <w:rFonts w:ascii="PT Astra Serif" w:hAnsi="PT Astra Serif" w:cs="PT Astra Serif"/>
                <w:sz w:val="20"/>
                <w:szCs w:val="20"/>
              </w:rPr>
            </w:pPr>
            <w:r>
              <w:rPr>
                <w:rFonts w:cs="PT Astra Serif" w:ascii="PT Astra Serif" w:hAnsi="PT Astra Serif"/>
                <w:sz w:val="20"/>
                <w:szCs w:val="20"/>
              </w:rPr>
              <w:t>УФК по Республике Мордовия г. Саранск</w:t>
            </w:r>
          </w:p>
          <w:p>
            <w:pPr>
              <w:pStyle w:val="Normal"/>
              <w:ind w:hanging="34" w:left="34"/>
              <w:rPr>
                <w:rFonts w:ascii="PT Astra Serif" w:hAnsi="PT Astra Serif" w:cs="PT Astra Serif"/>
                <w:sz w:val="20"/>
                <w:szCs w:val="20"/>
              </w:rPr>
            </w:pPr>
            <w:r>
              <w:rPr>
                <w:rFonts w:cs="PT Astra Serif" w:ascii="PT Astra Serif" w:hAnsi="PT Astra Serif"/>
                <w:sz w:val="20"/>
                <w:szCs w:val="20"/>
              </w:rPr>
              <w:t>БИК  042202114  УФК по Республике Мордовия</w:t>
            </w:r>
          </w:p>
          <w:p>
            <w:pPr>
              <w:pStyle w:val="Normal"/>
              <w:ind w:hanging="34" w:left="34"/>
              <w:rPr>
                <w:rFonts w:ascii="PT Astra Serif" w:hAnsi="PT Astra Serif" w:cs="PT Astra Serif"/>
                <w:sz w:val="20"/>
                <w:szCs w:val="20"/>
              </w:rPr>
            </w:pPr>
            <w:r>
              <w:rPr>
                <w:rFonts w:cs="PT Astra Serif" w:ascii="PT Astra Serif" w:hAnsi="PT Astra Serif"/>
                <w:sz w:val="20"/>
                <w:szCs w:val="20"/>
              </w:rPr>
              <w:t>(ФКУ БМТиВС УФСИН России по Республике Мордовия, л\сч.04091717930)</w:t>
            </w:r>
          </w:p>
          <w:p>
            <w:pPr>
              <w:pStyle w:val="Normal"/>
              <w:ind w:hanging="34" w:left="34"/>
              <w:rPr>
                <w:rFonts w:ascii="PT Astra Serif" w:hAnsi="PT Astra Serif" w:cs="PT Astra Serif"/>
                <w:sz w:val="20"/>
                <w:szCs w:val="20"/>
              </w:rPr>
            </w:pPr>
            <w:r>
              <w:rPr>
                <w:rFonts w:cs="PT Astra Serif" w:ascii="PT Astra Serif" w:hAnsi="PT Astra Serif"/>
                <w:sz w:val="20"/>
                <w:szCs w:val="20"/>
              </w:rPr>
              <w:t>КБК 32011607010019000140</w:t>
            </w:r>
          </w:p>
          <w:p>
            <w:pPr>
              <w:pStyle w:val="Normal"/>
              <w:ind w:hanging="34" w:left="34"/>
              <w:rPr>
                <w:rFonts w:ascii="PT Astra Serif" w:hAnsi="PT Astra Serif" w:cs="PT Astra Serif"/>
                <w:sz w:val="20"/>
                <w:szCs w:val="20"/>
              </w:rPr>
            </w:pPr>
            <w:r>
              <w:rPr>
                <w:rFonts w:cs="PT Astra Serif" w:ascii="PT Astra Serif" w:hAnsi="PT Astra Serif"/>
                <w:sz w:val="20"/>
                <w:szCs w:val="20"/>
              </w:rPr>
            </w:r>
          </w:p>
          <w:p>
            <w:pPr>
              <w:pStyle w:val="Normal"/>
              <w:ind w:hanging="34" w:left="34"/>
              <w:rPr>
                <w:sz w:val="20"/>
                <w:szCs w:val="20"/>
              </w:rPr>
            </w:pPr>
            <w:r>
              <w:rPr>
                <w:sz w:val="20"/>
                <w:szCs w:val="20"/>
              </w:rPr>
              <w:t>Начальник</w:t>
            </w:r>
          </w:p>
          <w:p>
            <w:pPr>
              <w:pStyle w:val="Normal"/>
              <w:ind w:hanging="34" w:left="34"/>
              <w:rPr>
                <w:sz w:val="20"/>
                <w:szCs w:val="20"/>
              </w:rPr>
            </w:pPr>
            <w:r>
              <w:rPr>
                <w:sz w:val="20"/>
                <w:szCs w:val="20"/>
              </w:rPr>
            </w:r>
          </w:p>
          <w:p>
            <w:pPr>
              <w:pStyle w:val="Normal"/>
              <w:ind w:hanging="34" w:left="34"/>
              <w:rPr>
                <w:sz w:val="20"/>
                <w:szCs w:val="20"/>
              </w:rPr>
            </w:pPr>
            <w:r>
              <w:rPr>
                <w:sz w:val="20"/>
                <w:szCs w:val="20"/>
              </w:rPr>
              <w:t>___________________________ Е.А. Аношкин</w:t>
            </w:r>
          </w:p>
          <w:p>
            <w:pPr>
              <w:pStyle w:val="Normal"/>
              <w:ind w:hanging="34" w:left="34"/>
              <w:rPr>
                <w:sz w:val="20"/>
                <w:szCs w:val="20"/>
              </w:rPr>
            </w:pPr>
            <w:r>
              <w:rPr>
                <w:sz w:val="20"/>
                <w:szCs w:val="20"/>
              </w:rPr>
            </w:r>
          </w:p>
        </w:tc>
        <w:tc>
          <w:tcPr>
            <w:tcW w:w="4547" w:type="dxa"/>
            <w:tcBorders/>
            <w:shd w:color="auto" w:fill="auto" w:val="clear"/>
          </w:tcPr>
          <w:p>
            <w:pPr>
              <w:pStyle w:val="Normal"/>
              <w:rPr>
                <w:b/>
                <w:bCs/>
                <w:sz w:val="20"/>
                <w:szCs w:val="20"/>
              </w:rPr>
            </w:pPr>
            <w:r>
              <w:rPr>
                <w:b/>
                <w:bCs/>
                <w:sz w:val="20"/>
                <w:szCs w:val="20"/>
              </w:rPr>
              <w:t xml:space="preserve">Поставщик </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Юридический адрес:</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Банковские реквизиты:</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__________________ /_____________/</w:t>
            </w:r>
          </w:p>
          <w:p>
            <w:pPr>
              <w:pStyle w:val="Normal"/>
              <w:jc w:val="center"/>
              <w:rPr>
                <w:b/>
                <w:bCs/>
                <w:sz w:val="20"/>
                <w:szCs w:val="20"/>
              </w:rPr>
            </w:pPr>
            <w:r>
              <w:rPr>
                <w:b/>
                <w:bCs/>
                <w:sz w:val="20"/>
                <w:szCs w:val="20"/>
              </w:rPr>
            </w:r>
          </w:p>
        </w:tc>
      </w:tr>
    </w:tbl>
    <w:p>
      <w:pPr>
        <w:pStyle w:val="Normal"/>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rPr>
        <w:tab/>
      </w:r>
    </w:p>
    <w:p>
      <w:pPr>
        <w:pStyle w:val="Normal"/>
        <w:widowControl w:val="false"/>
        <w:rPr>
          <w:sz w:val="20"/>
          <w:szCs w:val="20"/>
        </w:rPr>
      </w:pPr>
      <w:r>
        <w:rPr>
          <w:sz w:val="20"/>
          <w:szCs w:val="20"/>
        </w:rPr>
      </w:r>
    </w:p>
    <w:p>
      <w:pPr>
        <w:pStyle w:val="Normal"/>
        <w:rPr>
          <w:sz w:val="20"/>
          <w:szCs w:val="20"/>
        </w:rPr>
      </w:pPr>
      <w:r>
        <w:rPr>
          <w:sz w:val="20"/>
          <w:szCs w:val="20"/>
        </w:rPr>
      </w:r>
    </w:p>
    <w:p>
      <w:pPr>
        <w:pStyle w:val="Normal"/>
        <w:widowControl w:val="false"/>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jc w:val="right"/>
        <w:rPr>
          <w:bCs/>
          <w:sz w:val="20"/>
          <w:szCs w:val="20"/>
        </w:rPr>
      </w:pPr>
      <w:r>
        <w:rPr>
          <w:bCs/>
          <w:sz w:val="20"/>
          <w:szCs w:val="20"/>
        </w:rPr>
        <w:t>Приложение № 1</w:t>
      </w:r>
    </w:p>
    <w:p>
      <w:pPr>
        <w:pStyle w:val="Normal"/>
        <w:jc w:val="right"/>
        <w:rPr>
          <w:bCs/>
          <w:sz w:val="20"/>
          <w:szCs w:val="20"/>
        </w:rPr>
      </w:pPr>
      <w:r>
        <w:rPr>
          <w:bCs/>
          <w:sz w:val="20"/>
          <w:szCs w:val="20"/>
        </w:rPr>
        <w:t xml:space="preserve">к государственному контракту </w:t>
      </w:r>
    </w:p>
    <w:p>
      <w:pPr>
        <w:pStyle w:val="Normal"/>
        <w:tabs>
          <w:tab w:val="clear" w:pos="708"/>
          <w:tab w:val="left" w:pos="5280" w:leader="none"/>
        </w:tabs>
        <w:jc w:val="right"/>
        <w:rPr>
          <w:bCs/>
          <w:sz w:val="20"/>
          <w:szCs w:val="20"/>
        </w:rPr>
      </w:pPr>
      <w:r>
        <w:rPr>
          <w:bCs/>
          <w:sz w:val="20"/>
          <w:szCs w:val="20"/>
        </w:rPr>
        <w:t>от «____»_______2026 г</w:t>
      </w:r>
      <w:r>
        <w:rPr>
          <w:b/>
          <w:bCs/>
          <w:sz w:val="20"/>
          <w:szCs w:val="20"/>
        </w:rPr>
        <w:t xml:space="preserve">.  </w:t>
      </w:r>
      <w:r>
        <w:rPr>
          <w:bCs/>
          <w:sz w:val="20"/>
          <w:szCs w:val="20"/>
        </w:rPr>
        <w:t>№______________</w:t>
      </w:r>
    </w:p>
    <w:p>
      <w:pPr>
        <w:pStyle w:val="Normal"/>
        <w:tabs>
          <w:tab w:val="clear" w:pos="708"/>
          <w:tab w:val="left" w:pos="5280" w:leader="none"/>
        </w:tabs>
        <w:jc w:val="right"/>
        <w:rPr>
          <w:bCs/>
          <w:sz w:val="20"/>
          <w:szCs w:val="20"/>
        </w:rPr>
      </w:pPr>
      <w:r>
        <w:rPr>
          <w:bCs/>
          <w:sz w:val="20"/>
          <w:szCs w:val="20"/>
        </w:rPr>
      </w:r>
    </w:p>
    <w:p>
      <w:pPr>
        <w:pStyle w:val="Normal"/>
        <w:spacing w:before="0" w:after="0"/>
        <w:contextualSpacing/>
        <w:jc w:val="center"/>
        <w:rPr>
          <w:b/>
          <w:bCs/>
          <w:sz w:val="20"/>
          <w:szCs w:val="20"/>
        </w:rPr>
      </w:pPr>
      <w:r>
        <w:rPr>
          <w:b/>
          <w:bCs/>
          <w:sz w:val="20"/>
          <w:szCs w:val="20"/>
        </w:rPr>
        <w:t>Ведомость поставки</w:t>
      </w:r>
    </w:p>
    <w:tbl>
      <w:tblPr>
        <w:tblpPr w:vertAnchor="text" w:horzAnchor="margin" w:leftFromText="180" w:rightFromText="180" w:tblpX="-459" w:tblpY="31"/>
        <w:tblW w:w="10171" w:type="dxa"/>
        <w:jc w:val="left"/>
        <w:tblInd w:w="108" w:type="dxa"/>
        <w:tblLayout w:type="fixed"/>
        <w:tblCellMar>
          <w:top w:w="0" w:type="dxa"/>
          <w:left w:w="108" w:type="dxa"/>
          <w:bottom w:w="0" w:type="dxa"/>
          <w:right w:w="108" w:type="dxa"/>
        </w:tblCellMar>
        <w:tblLook w:val="04a0"/>
      </w:tblPr>
      <w:tblGrid>
        <w:gridCol w:w="675"/>
        <w:gridCol w:w="5812"/>
        <w:gridCol w:w="708"/>
        <w:gridCol w:w="709"/>
        <w:gridCol w:w="1134"/>
        <w:gridCol w:w="1132"/>
      </w:tblGrid>
      <w:tr>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 xml:space="preserve">№ </w:t>
            </w:r>
            <w:r>
              <w:rPr>
                <w:rFonts w:ascii="PT Astra Serif" w:hAnsi="PT Astra Serif"/>
                <w:bCs/>
                <w:sz w:val="20"/>
                <w:szCs w:val="20"/>
              </w:rPr>
              <w:t>п/п</w:t>
            </w:r>
          </w:p>
        </w:tc>
        <w:tc>
          <w:tcPr>
            <w:tcW w:w="5812"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Наименование и характеристика товара</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Ед.</w:t>
            </w:r>
          </w:p>
          <w:p>
            <w:pPr>
              <w:pStyle w:val="Normal"/>
              <w:jc w:val="center"/>
              <w:rPr>
                <w:rFonts w:ascii="PT Astra Serif" w:hAnsi="PT Astra Serif"/>
                <w:bCs/>
                <w:sz w:val="20"/>
                <w:szCs w:val="20"/>
              </w:rPr>
            </w:pPr>
            <w:r>
              <w:rPr>
                <w:rFonts w:ascii="PT Astra Serif" w:hAnsi="PT Astra Serif"/>
                <w:bCs/>
                <w:sz w:val="20"/>
                <w:szCs w:val="20"/>
              </w:rPr>
              <w:t>изм.</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Кол-во</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Цена за ед.</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Общая сумма</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bCs/>
                <w:sz w:val="20"/>
                <w:szCs w:val="20"/>
              </w:rPr>
            </w:pPr>
            <w:r>
              <w:rPr>
                <w:rFonts w:ascii="PT Astra Serif" w:hAnsi="PT Astra Serif"/>
                <w:bCs/>
                <w:sz w:val="20"/>
                <w:szCs w:val="20"/>
              </w:rPr>
              <w:t>1.</w:t>
            </w:r>
          </w:p>
        </w:tc>
        <w:tc>
          <w:tcPr>
            <w:tcW w:w="5812"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rFonts w:ascii="PT Astra Serif" w:hAnsi="PT Astra Serif" w:cs="Arial"/>
                <w:color w:val="333333"/>
                <w:sz w:val="20"/>
                <w:szCs w:val="20"/>
              </w:rPr>
            </w:pPr>
            <w:r>
              <w:rPr>
                <w:rFonts w:cs="Arial" w:ascii="PT Astra Serif" w:hAnsi="PT Astra Serif"/>
                <w:color w:val="333333"/>
                <w:sz w:val="20"/>
                <w:szCs w:val="20"/>
              </w:rPr>
              <w:t>Азитронит ТАБ» 400 мг №5</w:t>
            </w:r>
          </w:p>
          <w:p>
            <w:pPr>
              <w:pStyle w:val="Normal"/>
              <w:shd w:val="clear" w:color="auto" w:fill="FFFFFF"/>
              <w:rPr>
                <w:rFonts w:ascii="PT Astra Serif" w:hAnsi="PT Astra Serif" w:cs="Arial"/>
                <w:color w:val="333333"/>
                <w:sz w:val="20"/>
                <w:szCs w:val="20"/>
              </w:rPr>
            </w:pPr>
            <w:r>
              <w:rPr>
                <w:rFonts w:cs="Arial" w:ascii="PT Astra Serif" w:hAnsi="PT Astra Serif"/>
                <w:color w:val="333333"/>
                <w:sz w:val="20"/>
                <w:szCs w:val="20"/>
              </w:rPr>
              <w:t xml:space="preserve"> </w:t>
            </w:r>
            <w:r>
              <w:rPr>
                <w:rFonts w:cs="Arial" w:ascii="PT Astra Serif" w:hAnsi="PT Astra Serif"/>
                <w:color w:val="333333"/>
                <w:sz w:val="20"/>
                <w:szCs w:val="20"/>
              </w:rPr>
              <w:t>ОКПД2 21.10.54.180</w:t>
            </w:r>
          </w:p>
          <w:p>
            <w:pPr>
              <w:pStyle w:val="Normal"/>
              <w:numPr>
                <w:ilvl w:val="0"/>
                <w:numId w:val="3"/>
              </w:numPr>
              <w:shd w:val="clear" w:color="auto" w:fill="FFFFFF"/>
              <w:suppressAutoHyphens w:val="false"/>
              <w:ind w:hanging="360" w:left="0"/>
              <w:rPr>
                <w:rFonts w:ascii="PT Astra Serif" w:hAnsi="PT Astra Serif" w:cs="Arial"/>
                <w:color w:val="333333"/>
                <w:sz w:val="20"/>
                <w:szCs w:val="20"/>
              </w:rPr>
            </w:pPr>
            <w:r>
              <w:rPr>
                <w:rFonts w:cs="Arial" w:ascii="PT Astra Serif" w:hAnsi="PT Astra Serif"/>
                <w:bCs/>
                <w:color w:val="333333"/>
                <w:sz w:val="20"/>
                <w:szCs w:val="20"/>
              </w:rPr>
              <w:t>Лекарственная форма:</w:t>
            </w:r>
            <w:r>
              <w:rPr>
                <w:rFonts w:cs="Arial" w:ascii="PT Astra Serif" w:hAnsi="PT Astra Serif"/>
                <w:color w:val="333333"/>
                <w:sz w:val="20"/>
                <w:szCs w:val="20"/>
              </w:rPr>
              <w:t> диспергируемые таблетки. </w:t>
            </w:r>
          </w:p>
          <w:p>
            <w:pPr>
              <w:pStyle w:val="Normal"/>
              <w:numPr>
                <w:ilvl w:val="0"/>
                <w:numId w:val="3"/>
              </w:numPr>
              <w:shd w:val="clear" w:color="auto" w:fill="FFFFFF"/>
              <w:suppressAutoHyphens w:val="false"/>
              <w:ind w:hanging="360" w:left="0"/>
              <w:rPr>
                <w:rFonts w:ascii="PT Astra Serif" w:hAnsi="PT Astra Serif" w:cs="Arial"/>
                <w:color w:val="333333"/>
                <w:sz w:val="20"/>
                <w:szCs w:val="20"/>
              </w:rPr>
            </w:pPr>
            <w:r>
              <w:rPr>
                <w:rFonts w:cs="Arial" w:ascii="PT Astra Serif" w:hAnsi="PT Astra Serif"/>
                <w:bCs/>
                <w:color w:val="333333"/>
                <w:sz w:val="20"/>
                <w:szCs w:val="20"/>
              </w:rPr>
              <w:t xml:space="preserve"> </w:t>
            </w:r>
            <w:r>
              <w:rPr>
                <w:rFonts w:cs="Arial" w:ascii="PT Astra Serif" w:hAnsi="PT Astra Serif"/>
                <w:bCs/>
                <w:color w:val="333333"/>
                <w:sz w:val="20"/>
                <w:szCs w:val="20"/>
              </w:rPr>
              <w:t>Состав:</w:t>
            </w:r>
            <w:r>
              <w:rPr>
                <w:rFonts w:cs="Arial" w:ascii="PT Astra Serif" w:hAnsi="PT Astra Serif"/>
                <w:color w:val="333333"/>
                <w:sz w:val="20"/>
                <w:szCs w:val="20"/>
              </w:rPr>
              <w:t xml:space="preserve"> действующее вещество — азитромицин (в форме дигидрата) — 400 мг в 1 таблетке. </w:t>
            </w:r>
          </w:p>
          <w:p>
            <w:pPr>
              <w:pStyle w:val="Normal"/>
              <w:numPr>
                <w:ilvl w:val="0"/>
                <w:numId w:val="3"/>
              </w:numPr>
              <w:shd w:val="clear" w:color="auto" w:fill="FFFFFF"/>
              <w:suppressAutoHyphens w:val="false"/>
              <w:ind w:hanging="360" w:left="0"/>
              <w:rPr>
                <w:rFonts w:ascii="PT Astra Serif" w:hAnsi="PT Astra Serif" w:cs="Arial"/>
                <w:color w:val="333333"/>
                <w:sz w:val="20"/>
                <w:szCs w:val="20"/>
              </w:rPr>
            </w:pPr>
            <w:r>
              <w:rPr>
                <w:rFonts w:cs="Arial" w:ascii="PT Astra Serif" w:hAnsi="PT Astra Serif"/>
                <w:color w:val="333333"/>
                <w:sz w:val="20"/>
                <w:szCs w:val="20"/>
              </w:rPr>
              <w:t>Вспомогательные компоненты: магния стеарат, коповидон, кросповидон, целлюлоза микрокристаллическая (тип 101 и 200), сукралоза, краситель «Персиковый лак», ароматизатор «Печень», диоксид кремния коллоидный. </w:t>
            </w:r>
          </w:p>
          <w:p>
            <w:pPr>
              <w:pStyle w:val="Normal"/>
              <w:numPr>
                <w:ilvl w:val="0"/>
                <w:numId w:val="3"/>
              </w:numPr>
              <w:shd w:val="clear" w:color="auto" w:fill="FFFFFF"/>
              <w:suppressAutoHyphens w:val="false"/>
              <w:ind w:hanging="360" w:left="0"/>
              <w:rPr>
                <w:rFonts w:ascii="PT Astra Serif" w:hAnsi="PT Astra Serif" w:cs="Arial"/>
                <w:color w:val="333333"/>
                <w:sz w:val="20"/>
                <w:szCs w:val="20"/>
              </w:rPr>
            </w:pPr>
            <w:r>
              <w:rPr>
                <w:rFonts w:cs="Arial" w:ascii="PT Astra Serif" w:hAnsi="PT Astra Serif"/>
                <w:bCs/>
                <w:color w:val="333333"/>
                <w:sz w:val="20"/>
                <w:szCs w:val="20"/>
              </w:rPr>
              <w:t>Фармакотерапевтическаягруппа:</w:t>
            </w:r>
            <w:r>
              <w:rPr>
                <w:rFonts w:cs="Arial" w:ascii="PT Astra Serif" w:hAnsi="PT Astra Serif"/>
                <w:color w:val="333333"/>
                <w:sz w:val="20"/>
                <w:szCs w:val="20"/>
              </w:rPr>
              <w:t xml:space="preserve"> антибактериальные препараты — макролиды и азалиды.  </w:t>
            </w:r>
          </w:p>
          <w:p>
            <w:pPr>
              <w:pStyle w:val="Normal"/>
              <w:numPr>
                <w:ilvl w:val="0"/>
                <w:numId w:val="3"/>
              </w:numPr>
              <w:shd w:val="clear" w:color="auto" w:fill="FFFFFF"/>
              <w:suppressAutoHyphens w:val="false"/>
              <w:ind w:hanging="360" w:left="0"/>
              <w:rPr>
                <w:rFonts w:ascii="PT Astra Serif" w:hAnsi="PT Astra Serif" w:cs="Arial"/>
                <w:color w:val="333333"/>
                <w:sz w:val="20"/>
                <w:szCs w:val="20"/>
              </w:rPr>
            </w:pPr>
            <w:r>
              <w:rPr>
                <w:rFonts w:cs="Arial" w:ascii="PT Astra Serif" w:hAnsi="PT Astra Serif"/>
                <w:bCs/>
                <w:color w:val="333333"/>
                <w:sz w:val="20"/>
                <w:szCs w:val="20"/>
              </w:rPr>
              <w:t>Показания к применению:</w:t>
            </w:r>
            <w:r>
              <w:rPr>
                <w:rFonts w:cs="Arial" w:ascii="PT Astra Serif" w:hAnsi="PT Astra Serif"/>
                <w:color w:val="333333"/>
                <w:sz w:val="20"/>
                <w:szCs w:val="20"/>
              </w:rPr>
              <w:t> лечение бактериальных инфекций органов дыхания, мочеполовой системы, кожи и мягких тканей у кошек и собак, вызванных микроорганизмами, чувствительными к азитромицину.</w:t>
            </w:r>
          </w:p>
          <w:p>
            <w:pPr>
              <w:pStyle w:val="Normal"/>
              <w:numPr>
                <w:ilvl w:val="0"/>
                <w:numId w:val="3"/>
              </w:numPr>
              <w:shd w:val="clear" w:color="auto" w:fill="FFFFFF"/>
              <w:suppressAutoHyphens w:val="false"/>
              <w:spacing w:before="0" w:after="120"/>
              <w:ind w:hanging="360" w:left="0"/>
              <w:rPr>
                <w:rFonts w:ascii="PT Astra Serif" w:hAnsi="PT Astra Serif" w:cs="Arial"/>
                <w:color w:val="333333"/>
                <w:sz w:val="20"/>
                <w:szCs w:val="20"/>
              </w:rPr>
            </w:pPr>
            <w:r>
              <w:rPr>
                <w:rStyle w:val="Strong"/>
                <w:rFonts w:cs="Arial" w:ascii="PT Astra Serif" w:hAnsi="PT Astra Serif"/>
                <w:b w:val="false"/>
                <w:color w:val="333333"/>
                <w:sz w:val="20"/>
                <w:szCs w:val="20"/>
                <w:shd w:fill="FFFFFF" w:val="clear"/>
              </w:rPr>
              <w:t>Форма выпуска:</w:t>
            </w:r>
            <w:r>
              <w:rPr>
                <w:rFonts w:cs="Arial" w:ascii="PT Astra Serif" w:hAnsi="PT Astra Serif"/>
                <w:color w:val="333333"/>
                <w:sz w:val="20"/>
                <w:szCs w:val="20"/>
                <w:shd w:fill="FFFFFF" w:val="clear"/>
              </w:rPr>
              <w:t> таблетки плоские, круглые, от светло-оранжевого до розово-оранжевого цвета, допускаются более тёмные или светлые вкрапления. Поверхность гладкая, с фаской, двумя разделительными бороздками на одной стороне и логотипом на другой.</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шт</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sz w:val="20"/>
                <w:szCs w:val="20"/>
              </w:rPr>
            </w:pPr>
            <w:r>
              <w:rPr>
                <w:rFonts w:ascii="PT Astra Serif" w:hAnsi="PT Astra Serif"/>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bCs/>
                <w:sz w:val="20"/>
                <w:szCs w:val="20"/>
              </w:rPr>
            </w:pPr>
            <w:r>
              <w:rPr>
                <w:rFonts w:ascii="PT Astra Serif" w:hAnsi="PT Astra Serif"/>
                <w:bCs/>
                <w:sz w:val="20"/>
                <w:szCs w:val="20"/>
              </w:rPr>
              <w:t>2.</w:t>
            </w:r>
          </w:p>
        </w:tc>
        <w:tc>
          <w:tcPr>
            <w:tcW w:w="581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390" w:leader="none"/>
              </w:tabs>
              <w:rPr>
                <w:rFonts w:ascii="PT Astra Serif" w:hAnsi="PT Astra Serif"/>
                <w:sz w:val="20"/>
                <w:szCs w:val="20"/>
              </w:rPr>
            </w:pPr>
            <w:r>
              <w:rPr>
                <w:rFonts w:ascii="PT Astra Serif" w:hAnsi="PT Astra Serif"/>
                <w:sz w:val="20"/>
                <w:szCs w:val="20"/>
              </w:rPr>
              <w:t>Дезинфицирующее средство</w:t>
            </w:r>
            <w:r>
              <w:rPr>
                <w:rFonts w:ascii="PT Astra Serif" w:hAnsi="PT Astra Serif"/>
                <w:b/>
                <w:i/>
                <w:sz w:val="20"/>
                <w:szCs w:val="20"/>
              </w:rPr>
              <w:t xml:space="preserve"> </w:t>
            </w:r>
            <w:r>
              <w:rPr>
                <w:rFonts w:ascii="PT Astra Serif" w:hAnsi="PT Astra Serif"/>
                <w:sz w:val="20"/>
                <w:szCs w:val="20"/>
              </w:rPr>
              <w:t xml:space="preserve">ГАН 5л </w:t>
            </w:r>
          </w:p>
          <w:p>
            <w:pPr>
              <w:pStyle w:val="Normal"/>
              <w:tabs>
                <w:tab w:val="clear" w:pos="708"/>
                <w:tab w:val="left" w:pos="3390" w:leader="none"/>
              </w:tabs>
              <w:rPr>
                <w:rFonts w:ascii="PT Astra Serif" w:hAnsi="PT Astra Serif"/>
                <w:b/>
                <w:i/>
                <w:i/>
                <w:sz w:val="20"/>
                <w:szCs w:val="20"/>
              </w:rPr>
            </w:pPr>
            <w:r>
              <w:rPr>
                <w:rFonts w:ascii="PT Astra Serif" w:hAnsi="PT Astra Serif"/>
                <w:sz w:val="20"/>
                <w:szCs w:val="20"/>
              </w:rPr>
              <w:t>ОКПД2 20.20.14.000</w:t>
            </w:r>
          </w:p>
          <w:p>
            <w:pPr>
              <w:pStyle w:val="Normal"/>
              <w:tabs>
                <w:tab w:val="clear" w:pos="708"/>
                <w:tab w:val="left" w:pos="567" w:leader="none"/>
              </w:tabs>
              <w:rPr>
                <w:rFonts w:ascii="PT Astra Serif" w:hAnsi="PT Astra Serif"/>
                <w:sz w:val="20"/>
                <w:szCs w:val="20"/>
              </w:rPr>
            </w:pPr>
            <w:r>
              <w:rPr>
                <w:rFonts w:ascii="PT Astra Serif" w:hAnsi="PT Astra Serif"/>
                <w:sz w:val="20"/>
                <w:szCs w:val="20"/>
              </w:rPr>
              <w:t>Дезинфицирующее средство предназначенное для объектов ветнадзора и профилактики инфекционных болезней животных. По внешнему виду представляет собой жидкость оранжевого цвета со специфическим запахом.</w:t>
            </w:r>
          </w:p>
          <w:p>
            <w:pPr>
              <w:pStyle w:val="Normal"/>
              <w:tabs>
                <w:tab w:val="clear" w:pos="708"/>
                <w:tab w:val="left" w:pos="567" w:leader="none"/>
              </w:tabs>
              <w:rPr>
                <w:rFonts w:ascii="PT Astra Serif" w:hAnsi="PT Astra Serif"/>
                <w:sz w:val="20"/>
                <w:szCs w:val="20"/>
              </w:rPr>
            </w:pPr>
            <w:r>
              <w:rPr>
                <w:rFonts w:ascii="PT Astra Serif" w:hAnsi="PT Astra Serif"/>
                <w:sz w:val="20"/>
                <w:szCs w:val="20"/>
              </w:rPr>
              <w:t>В 1 л в качестве действующих веществ 100 г катаПАВ (септаПАВ), 50 г глутарового альдегида, 50 г глиоксаля, а также краситель-индикатор (метиловый оранжевый) и воду дистиллированную.</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t>л</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sz w:val="20"/>
                <w:szCs w:val="20"/>
              </w:rPr>
            </w:pPr>
            <w:r>
              <w:rPr>
                <w:rFonts w:ascii="PT Astra Serif" w:hAnsi="PT Astra Serif"/>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r>
          </w:p>
        </w:tc>
      </w:tr>
      <w:tr>
        <w:trPr/>
        <w:tc>
          <w:tcPr>
            <w:tcW w:w="9038" w:type="dxa"/>
            <w:gridSpan w:val="5"/>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bCs/>
                <w:sz w:val="20"/>
                <w:szCs w:val="20"/>
              </w:rPr>
            </w:pPr>
            <w:r>
              <w:rPr>
                <w:rFonts w:ascii="PT Astra Serif" w:hAnsi="PT Astra Serif"/>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tcPr>
          <w:p>
            <w:pPr>
              <w:pStyle w:val="Normal"/>
              <w:jc w:val="center"/>
              <w:rPr>
                <w:rFonts w:ascii="PT Astra Serif" w:hAnsi="PT Astra Serif"/>
                <w:bCs/>
                <w:sz w:val="20"/>
                <w:szCs w:val="20"/>
              </w:rPr>
            </w:pPr>
            <w:r>
              <w:rPr>
                <w:rFonts w:ascii="PT Astra Serif" w:hAnsi="PT Astra Serif"/>
                <w:bCs/>
                <w:sz w:val="20"/>
                <w:szCs w:val="20"/>
              </w:rPr>
            </w:r>
          </w:p>
        </w:tc>
      </w:tr>
    </w:tbl>
    <w:p>
      <w:pPr>
        <w:pStyle w:val="Normal"/>
        <w:rPr>
          <w:b/>
          <w:bCs/>
          <w:sz w:val="20"/>
          <w:szCs w:val="20"/>
        </w:rPr>
      </w:pPr>
      <w:r>
        <w:rPr>
          <w:b/>
          <w:bCs/>
          <w:sz w:val="20"/>
          <w:szCs w:val="20"/>
        </w:rPr>
      </w:r>
    </w:p>
    <w:p>
      <w:pPr>
        <w:pStyle w:val="Normal"/>
        <w:ind w:firstLine="567"/>
        <w:jc w:val="both"/>
        <w:rPr>
          <w:sz w:val="20"/>
          <w:szCs w:val="20"/>
        </w:rPr>
      </w:pPr>
      <w:r>
        <w:rPr>
          <w:color w:val="000000"/>
          <w:sz w:val="20"/>
          <w:szCs w:val="20"/>
        </w:rPr>
        <w:t>Поставка Товара должна осуществляться в оригинальной заводской упаковке, обеспечиваю</w:t>
      </w:r>
      <w:bookmarkStart w:id="2" w:name="_GoBack"/>
      <w:bookmarkEnd w:id="2"/>
      <w:r>
        <w:rPr>
          <w:color w:val="000000"/>
          <w:sz w:val="20"/>
          <w:szCs w:val="20"/>
        </w:rPr>
        <w:t>щей его сохранность. Упаковка должна обеспечивать защиту от воздействия механических, химических и климатических факторов во время транспортировки и хранения поставляемого Товара.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Поставщик обязан своим транспортом доставить Товар в адрес Заказчика.</w:t>
      </w:r>
      <w:r>
        <w:rPr>
          <w:sz w:val="20"/>
          <w:szCs w:val="20"/>
        </w:rPr>
        <w:t xml:space="preserve"> Наличие сертификата соответствия. Наличие регистрационного удостоверения.</w:t>
      </w:r>
    </w:p>
    <w:p>
      <w:pPr>
        <w:pStyle w:val="ConsPlusNormal"/>
        <w:widowControl w:val="false"/>
        <w:tabs>
          <w:tab w:val="clear" w:pos="708"/>
          <w:tab w:val="left" w:pos="0" w:leader="none"/>
        </w:tabs>
        <w:spacing w:lineRule="auto" w:line="216"/>
        <w:ind w:hanging="0"/>
        <w:jc w:val="both"/>
        <w:rPr>
          <w:rFonts w:ascii="Times New Roman" w:hAnsi="Times New Roman" w:cs="Times New Roman"/>
          <w:bCs/>
          <w:color w:val="000000"/>
          <w:sz w:val="20"/>
          <w:szCs w:val="20"/>
        </w:rPr>
      </w:pPr>
      <w:r>
        <w:rPr>
          <w:rFonts w:cs="Times New Roman" w:ascii="Times New Roman" w:hAnsi="Times New Roman"/>
          <w:b/>
          <w:color w:val="000000"/>
          <w:sz w:val="20"/>
          <w:szCs w:val="20"/>
        </w:rPr>
        <w:tab/>
        <w:t xml:space="preserve">Срок поставки: </w:t>
      </w:r>
      <w:r>
        <w:rPr>
          <w:rFonts w:cs="Times New Roman" w:ascii="Times New Roman" w:hAnsi="Times New Roman"/>
          <w:b/>
          <w:color w:val="000000"/>
          <w:sz w:val="20"/>
          <w:szCs w:val="20"/>
        </w:rPr>
        <w:t>п</w:t>
      </w:r>
      <w:r>
        <w:rPr>
          <w:rFonts w:cs="Times New Roman" w:ascii="Times New Roman" w:hAnsi="Times New Roman"/>
          <w:b/>
          <w:color w:val="000000"/>
          <w:sz w:val="20"/>
          <w:szCs w:val="20"/>
        </w:rPr>
        <w:t>о 15.09.2026 г.</w:t>
      </w:r>
    </w:p>
    <w:p>
      <w:pPr>
        <w:pStyle w:val="Normal"/>
        <w:widowControl w:val="false"/>
        <w:shd w:val="clear" w:color="auto" w:fill="FFFFFF"/>
        <w:tabs>
          <w:tab w:val="clear" w:pos="708"/>
          <w:tab w:val="left" w:pos="-4536" w:leader="none"/>
        </w:tabs>
        <w:jc w:val="both"/>
        <w:rPr>
          <w:sz w:val="20"/>
          <w:szCs w:val="20"/>
        </w:rPr>
      </w:pPr>
      <w:r>
        <w:rPr>
          <w:b/>
          <w:sz w:val="20"/>
          <w:szCs w:val="20"/>
        </w:rPr>
        <w:t>Место поставки товара</w:t>
      </w:r>
      <w:r>
        <w:rPr>
          <w:sz w:val="20"/>
          <w:szCs w:val="20"/>
        </w:rPr>
        <w:t>: Поставщик обеспечивает отгрузку и доставку товара Государственному заказчику в</w:t>
      </w:r>
      <w:r>
        <w:rPr>
          <w:iCs/>
          <w:sz w:val="20"/>
          <w:szCs w:val="20"/>
        </w:rPr>
        <w:t xml:space="preserve"> соответствии с ведомостью поставки (Приложение №1 к Государственному контракту) </w:t>
      </w:r>
      <w:r>
        <w:rPr>
          <w:sz w:val="20"/>
          <w:szCs w:val="20"/>
        </w:rPr>
        <w:t xml:space="preserve">по адресу: 431160, Республика Мордовия, Зубово-Полянский р-он, р.п. Явас, ул. Озерная, д.26. </w:t>
      </w:r>
    </w:p>
    <w:p>
      <w:pPr>
        <w:pStyle w:val="Normal"/>
        <w:widowControl w:val="false"/>
        <w:shd w:val="clear" w:color="auto" w:fill="FFFFFF"/>
        <w:tabs>
          <w:tab w:val="clear" w:pos="708"/>
          <w:tab w:val="left" w:pos="-4536" w:leader="none"/>
        </w:tabs>
        <w:ind w:firstLine="567"/>
        <w:jc w:val="both"/>
        <w:rPr>
          <w:sz w:val="20"/>
          <w:szCs w:val="20"/>
        </w:rPr>
      </w:pPr>
      <w:r>
        <w:rPr>
          <w:sz w:val="20"/>
          <w:szCs w:val="20"/>
        </w:rPr>
        <w:t>Доставка товара осуществляется Поставщиком с использованием специализированного транспорта в условиях, полностью исключающих возможность его порчи и загрязнения с соблюдением температурных режимов транспортировки.</w:t>
      </w:r>
    </w:p>
    <w:p>
      <w:pPr>
        <w:pStyle w:val="Normal"/>
        <w:widowControl w:val="false"/>
        <w:jc w:val="both"/>
        <w:rPr>
          <w:b/>
          <w:sz w:val="20"/>
          <w:szCs w:val="20"/>
        </w:rPr>
      </w:pPr>
      <w:r>
        <w:rPr>
          <w:b/>
          <w:sz w:val="20"/>
          <w:szCs w:val="20"/>
        </w:rPr>
      </w:r>
    </w:p>
    <w:p>
      <w:pPr>
        <w:pStyle w:val="Normal"/>
        <w:widowControl w:val="false"/>
        <w:jc w:val="both"/>
        <w:rPr>
          <w:b/>
          <w:sz w:val="20"/>
          <w:szCs w:val="20"/>
        </w:rPr>
      </w:pPr>
      <w:r>
        <w:rPr>
          <w:b/>
          <w:sz w:val="20"/>
          <w:szCs w:val="20"/>
        </w:rPr>
      </w:r>
    </w:p>
    <w:p>
      <w:pPr>
        <w:pStyle w:val="Normal"/>
        <w:tabs>
          <w:tab w:val="clear" w:pos="708"/>
          <w:tab w:val="left" w:pos="0" w:leader="none"/>
        </w:tabs>
        <w:jc w:val="center"/>
        <w:rPr>
          <w:b/>
          <w:sz w:val="20"/>
          <w:szCs w:val="20"/>
        </w:rPr>
      </w:pPr>
      <w:r>
        <w:rPr>
          <w:b/>
          <w:sz w:val="20"/>
          <w:szCs w:val="20"/>
        </w:rPr>
        <w:t>Подписи сторон:</w:t>
      </w:r>
    </w:p>
    <w:p>
      <w:pPr>
        <w:pStyle w:val="Normal"/>
        <w:tabs>
          <w:tab w:val="clear" w:pos="708"/>
          <w:tab w:val="left" w:pos="500" w:leader="none"/>
          <w:tab w:val="center" w:pos="3312" w:leader="none"/>
        </w:tabs>
        <w:jc w:val="both"/>
        <w:rPr>
          <w:sz w:val="20"/>
          <w:szCs w:val="20"/>
        </w:rPr>
      </w:pPr>
      <w:r>
        <w:rPr>
          <w:sz w:val="20"/>
          <w:szCs w:val="20"/>
        </w:rPr>
      </w:r>
    </w:p>
    <w:p>
      <w:pPr>
        <w:pStyle w:val="Normal"/>
        <w:tabs>
          <w:tab w:val="clear" w:pos="708"/>
          <w:tab w:val="left" w:pos="500" w:leader="none"/>
          <w:tab w:val="center" w:pos="3312" w:leader="none"/>
        </w:tabs>
        <w:jc w:val="both"/>
        <w:rPr>
          <w:b/>
          <w:sz w:val="20"/>
          <w:szCs w:val="20"/>
        </w:rPr>
      </w:pPr>
      <w:r>
        <w:rPr>
          <w:b/>
          <w:sz w:val="20"/>
          <w:szCs w:val="20"/>
        </w:rPr>
        <w:t xml:space="preserve">Государственный заказчик: </w:t>
        <w:tab/>
        <w:tab/>
        <w:tab/>
        <w:tab/>
        <w:tab/>
        <w:t xml:space="preserve">         Поставщик:</w:t>
      </w:r>
    </w:p>
    <w:p>
      <w:pPr>
        <w:pStyle w:val="Normal"/>
        <w:widowControl w:val="false"/>
        <w:rPr>
          <w:sz w:val="20"/>
          <w:szCs w:val="20"/>
        </w:rPr>
      </w:pPr>
      <w:r>
        <w:rPr>
          <w:sz w:val="20"/>
          <w:szCs w:val="20"/>
        </w:rPr>
        <w:t xml:space="preserve">ФКУ БМТиВС УФСИН России </w:t>
      </w:r>
    </w:p>
    <w:p>
      <w:pPr>
        <w:pStyle w:val="Normal"/>
        <w:widowControl w:val="false"/>
        <w:rPr>
          <w:sz w:val="20"/>
          <w:szCs w:val="20"/>
        </w:rPr>
      </w:pPr>
      <w:r>
        <w:rPr>
          <w:sz w:val="20"/>
          <w:szCs w:val="20"/>
        </w:rPr>
        <w:t>по Республике Мордовия</w:t>
        <w:tab/>
      </w:r>
    </w:p>
    <w:p>
      <w:pPr>
        <w:pStyle w:val="Normal"/>
        <w:tabs>
          <w:tab w:val="clear" w:pos="708"/>
          <w:tab w:val="left" w:pos="500" w:leader="none"/>
          <w:tab w:val="center" w:pos="3312" w:leader="none"/>
        </w:tabs>
        <w:jc w:val="both"/>
        <w:rPr>
          <w:sz w:val="20"/>
          <w:szCs w:val="20"/>
        </w:rPr>
      </w:pPr>
      <w:r>
        <w:rPr>
          <w:sz w:val="20"/>
          <w:szCs w:val="20"/>
        </w:rPr>
      </w:r>
    </w:p>
    <w:p>
      <w:pPr>
        <w:pStyle w:val="Normal"/>
        <w:widowControl w:val="false"/>
        <w:jc w:val="both"/>
        <w:rPr>
          <w:b/>
          <w:bCs/>
          <w:sz w:val="20"/>
          <w:szCs w:val="20"/>
        </w:rPr>
      </w:pPr>
      <w:r>
        <w:rPr>
          <w:sz w:val="20"/>
          <w:szCs w:val="20"/>
        </w:rPr>
        <w:t>__________________ Е.А. Аношкин</w:t>
        <w:tab/>
        <w:tab/>
        <w:tab/>
        <w:t xml:space="preserve">                       _________________/___________/</w:t>
      </w:r>
    </w:p>
    <w:p>
      <w:pPr>
        <w:pStyle w:val="Normal"/>
        <w:widowControl w:val="false"/>
        <w:jc w:val="both"/>
        <w:rPr>
          <w:sz w:val="20"/>
          <w:szCs w:val="20"/>
        </w:rPr>
      </w:pPr>
      <w:r>
        <w:rPr>
          <w:sz w:val="20"/>
          <w:szCs w:val="20"/>
        </w:rPr>
        <w:tab/>
        <w:tab/>
        <w:tab/>
        <w:tab/>
        <w:tab/>
        <w:tab/>
        <w:tab/>
        <w:tab/>
      </w:r>
    </w:p>
    <w:sectPr>
      <w:type w:val="nextPage"/>
      <w:pgSz w:w="11906" w:h="16838"/>
      <w:pgMar w:left="1701" w:right="709"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Open Sans">
    <w:charset w:val="01"/>
    <w:family w:val="swiss"/>
    <w:pitch w:val="variable"/>
  </w:font>
  <w:font w:name="Courier New">
    <w:charset w:val="01"/>
    <w:family w:val="auto"/>
    <w:pitch w:val="variable"/>
  </w:font>
  <w:font w:name="PT Astra 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71a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link w:val="2"/>
    <w:qFormat/>
    <w:rsid w:val="00a52d92"/>
    <w:pPr>
      <w:keepNext w:val="true"/>
      <w:spacing w:before="240" w:after="60"/>
      <w:outlineLvl w:val="1"/>
    </w:pPr>
    <w:rPr>
      <w:rFonts w:ascii="Arial" w:hAnsi="Arial"/>
      <w:b/>
      <w:bCs/>
      <w:i/>
      <w:iCs/>
      <w:sz w:val="28"/>
      <w:szCs w:val="28"/>
    </w:rPr>
  </w:style>
  <w:style w:type="character" w:styleId="DefaultParagraphFont" w:default="1">
    <w:name w:val="Default Paragraph Font"/>
    <w:uiPriority w:val="1"/>
    <w:semiHidden/>
    <w:unhideWhenUsed/>
    <w:qFormat/>
    <w:rPr/>
  </w:style>
  <w:style w:type="character" w:styleId="Hyperlink">
    <w:name w:val="Hyperlink"/>
    <w:unhideWhenUsed/>
    <w:rsid w:val="00f171a6"/>
    <w:rPr>
      <w:color w:val="0000FF"/>
      <w:u w:val="single"/>
    </w:rPr>
  </w:style>
  <w:style w:type="character" w:styleId="Style13" w:customStyle="1">
    <w:name w:val="Без интервала Знак"/>
    <w:link w:val="NoSpacing"/>
    <w:qFormat/>
    <w:locked/>
    <w:rsid w:val="00f171a6"/>
    <w:rPr>
      <w:sz w:val="24"/>
      <w:szCs w:val="24"/>
      <w:lang w:val="ru-RU" w:eastAsia="en-US" w:bidi="ar-SA"/>
    </w:rPr>
  </w:style>
  <w:style w:type="character" w:styleId="NoSpacingChar" w:customStyle="1">
    <w:name w:val="No Spacing Char"/>
    <w:link w:val="11"/>
    <w:qFormat/>
    <w:locked/>
    <w:rsid w:val="00f171a6"/>
    <w:rPr>
      <w:sz w:val="22"/>
      <w:szCs w:val="22"/>
      <w:lang w:val="ru-RU" w:eastAsia="en-US" w:bidi="ar-SA"/>
    </w:rPr>
  </w:style>
  <w:style w:type="character" w:styleId="2" w:customStyle="1">
    <w:name w:val="Заголовок 2 Знак"/>
    <w:qFormat/>
    <w:rsid w:val="00a52d92"/>
    <w:rPr>
      <w:rFonts w:ascii="Arial" w:hAnsi="Arial" w:eastAsia="Times New Roman" w:cs="Arial"/>
      <w:b/>
      <w:bCs/>
      <w:i/>
      <w:iCs/>
      <w:sz w:val="28"/>
      <w:szCs w:val="28"/>
      <w:lang w:eastAsia="ru-RU"/>
    </w:rPr>
  </w:style>
  <w:style w:type="character" w:styleId="tooltip2" w:customStyle="1">
    <w:name w:val="tooltip2"/>
    <w:basedOn w:val="DefaultParagraphFont"/>
    <w:qFormat/>
    <w:rsid w:val="00b67e1c"/>
    <w:rPr/>
  </w:style>
  <w:style w:type="character" w:styleId="name-link" w:customStyle="1">
    <w:name w:val="name-link"/>
    <w:basedOn w:val="DefaultParagraphFont"/>
    <w:qFormat/>
    <w:rsid w:val="00b67e1c"/>
    <w:rPr/>
  </w:style>
  <w:style w:type="character" w:styleId="Style14" w:customStyle="1">
    <w:name w:val="Текст выноски Знак"/>
    <w:link w:val="BalloonText"/>
    <w:uiPriority w:val="99"/>
    <w:semiHidden/>
    <w:qFormat/>
    <w:rsid w:val="00fb4d58"/>
    <w:rPr>
      <w:rFonts w:ascii="Tahoma" w:hAnsi="Tahoma" w:eastAsia="Times New Roman" w:cs="Tahoma"/>
      <w:sz w:val="16"/>
      <w:szCs w:val="16"/>
    </w:rPr>
  </w:style>
  <w:style w:type="character" w:styleId="FontStyle23" w:customStyle="1">
    <w:name w:val="Font Style23"/>
    <w:qFormat/>
    <w:rsid w:val="00ad3648"/>
    <w:rPr>
      <w:rFonts w:ascii="Times New Roman" w:hAnsi="Times New Roman" w:cs="Times New Roman"/>
      <w:i/>
      <w:iCs/>
      <w:sz w:val="22"/>
      <w:szCs w:val="22"/>
    </w:rPr>
  </w:style>
  <w:style w:type="character" w:styleId="FontStyle24" w:customStyle="1">
    <w:name w:val="Font Style24"/>
    <w:qFormat/>
    <w:rsid w:val="00ad3648"/>
    <w:rPr>
      <w:rFonts w:ascii="Times New Roman" w:hAnsi="Times New Roman" w:cs="Times New Roman"/>
      <w:sz w:val="26"/>
      <w:szCs w:val="26"/>
    </w:rPr>
  </w:style>
  <w:style w:type="character" w:styleId="FontStyle25" w:customStyle="1">
    <w:name w:val="Font Style25"/>
    <w:qFormat/>
    <w:rsid w:val="008a7baf"/>
    <w:rPr>
      <w:rFonts w:ascii="Times New Roman" w:hAnsi="Times New Roman" w:cs="Times New Roman"/>
      <w:sz w:val="22"/>
      <w:szCs w:val="22"/>
    </w:rPr>
  </w:style>
  <w:style w:type="character" w:styleId="FontStyle26" w:customStyle="1">
    <w:name w:val="Font Style26"/>
    <w:qFormat/>
    <w:rsid w:val="008a7baf"/>
    <w:rPr>
      <w:rFonts w:ascii="Times New Roman" w:hAnsi="Times New Roman" w:cs="Times New Roman"/>
      <w:b/>
      <w:bCs/>
      <w:sz w:val="22"/>
      <w:szCs w:val="22"/>
    </w:rPr>
  </w:style>
  <w:style w:type="character" w:styleId="FontStyle27" w:customStyle="1">
    <w:name w:val="Font Style27"/>
    <w:qFormat/>
    <w:rsid w:val="008a7baf"/>
    <w:rPr>
      <w:rFonts w:ascii="Times New Roman" w:hAnsi="Times New Roman" w:cs="Times New Roman"/>
      <w:sz w:val="26"/>
      <w:szCs w:val="26"/>
    </w:rPr>
  </w:style>
  <w:style w:type="character" w:styleId="Strong">
    <w:name w:val="Strong"/>
    <w:basedOn w:val="DefaultParagraphFont"/>
    <w:uiPriority w:val="22"/>
    <w:qFormat/>
    <w:rsid w:val="00642e8d"/>
    <w:rPr>
      <w:b/>
      <w:bCs/>
    </w:rPr>
  </w:style>
  <w:style w:type="paragraph" w:styleId="Style15" w:customStyle="1">
    <w:name w:val="Заголовок"/>
    <w:basedOn w:val="Normal"/>
    <w:next w:val="BodyText"/>
    <w:qFormat/>
    <w:rsid w:val="00e30ec1"/>
    <w:pPr>
      <w:keepNext w:val="true"/>
      <w:spacing w:before="240" w:after="120"/>
    </w:pPr>
    <w:rPr>
      <w:rFonts w:ascii="Open Sans" w:hAnsi="Open Sans" w:eastAsia="DejaVu Sans" w:cs="Droid Sans"/>
      <w:sz w:val="28"/>
      <w:szCs w:val="28"/>
    </w:rPr>
  </w:style>
  <w:style w:type="paragraph" w:styleId="BodyText">
    <w:name w:val="Body Text"/>
    <w:basedOn w:val="Normal"/>
    <w:rsid w:val="00e30ec1"/>
    <w:pPr>
      <w:spacing w:lineRule="auto" w:line="276" w:before="0" w:after="140"/>
    </w:pPr>
    <w:rPr/>
  </w:style>
  <w:style w:type="paragraph" w:styleId="List">
    <w:name w:val="List"/>
    <w:basedOn w:val="BodyText"/>
    <w:rsid w:val="00e30ec1"/>
    <w:pPr/>
    <w:rPr>
      <w:rFonts w:cs="Droid Sans"/>
    </w:rPr>
  </w:style>
  <w:style w:type="paragraph" w:styleId="Caption">
    <w:name w:val="caption"/>
    <w:basedOn w:val="Normal"/>
    <w:qFormat/>
    <w:rsid w:val="00e30ec1"/>
    <w:pPr>
      <w:suppressLineNumbers/>
      <w:spacing w:before="120" w:after="120"/>
    </w:pPr>
    <w:rPr>
      <w:rFonts w:cs="Droid Sans"/>
      <w:i/>
      <w:iCs/>
    </w:rPr>
  </w:style>
  <w:style w:type="paragraph" w:styleId="Style16">
    <w:name w:val="Указатель"/>
    <w:basedOn w:val="Normal"/>
    <w:qFormat/>
    <w:pPr>
      <w:suppressLineNumbers/>
    </w:pPr>
    <w:rPr>
      <w:rFonts w:cs="Droid Sans"/>
    </w:rPr>
  </w:style>
  <w:style w:type="paragraph" w:styleId="IndexHeading">
    <w:name w:val="index heading"/>
    <w:basedOn w:val="Normal"/>
    <w:qFormat/>
    <w:rsid w:val="00e30ec1"/>
    <w:pPr>
      <w:suppressLineNumbers/>
    </w:pPr>
    <w:rPr>
      <w:rFonts w:cs="Droid Sans"/>
    </w:rPr>
  </w:style>
  <w:style w:type="paragraph" w:styleId="NormalWeb">
    <w:name w:val="Normal (Web)"/>
    <w:basedOn w:val="Normal"/>
    <w:uiPriority w:val="99"/>
    <w:unhideWhenUsed/>
    <w:qFormat/>
    <w:rsid w:val="00f171a6"/>
    <w:pPr>
      <w:spacing w:beforeAutospacing="1" w:afterAutospacing="1"/>
    </w:pPr>
    <w:rPr/>
  </w:style>
  <w:style w:type="paragraph" w:styleId="NoSpacing">
    <w:name w:val="No Spacing"/>
    <w:link w:val="Style13"/>
    <w:qFormat/>
    <w:rsid w:val="00f171a6"/>
    <w:pPr>
      <w:widowControl/>
      <w:suppressAutoHyphens w:val="true"/>
      <w:bidi w:val="0"/>
      <w:spacing w:before="0" w:after="0"/>
      <w:jc w:val="both"/>
    </w:pPr>
    <w:rPr>
      <w:rFonts w:ascii="Calibri" w:hAnsi="Calibri" w:eastAsia="Calibri" w:cs="Times New Roman"/>
      <w:color w:val="auto"/>
      <w:kern w:val="0"/>
      <w:sz w:val="24"/>
      <w:szCs w:val="24"/>
      <w:lang w:eastAsia="en-US" w:val="ru-RU" w:bidi="ar-SA"/>
    </w:rPr>
  </w:style>
  <w:style w:type="paragraph" w:styleId="ConsPlusNormal" w:customStyle="1">
    <w:name w:val="ConsPlusNormal"/>
    <w:uiPriority w:val="99"/>
    <w:qFormat/>
    <w:rsid w:val="00f171a6"/>
    <w:pPr>
      <w:widowControl/>
      <w:suppressAutoHyphens w:val="true"/>
      <w:bidi w:val="0"/>
      <w:spacing w:before="0" w:after="0"/>
      <w:ind w:firstLine="720"/>
      <w:jc w:val="left"/>
    </w:pPr>
    <w:rPr>
      <w:rFonts w:ascii="Arial" w:hAnsi="Arial" w:eastAsia="Times New Roman" w:cs="Arial"/>
      <w:color w:val="auto"/>
      <w:kern w:val="0"/>
      <w:sz w:val="24"/>
      <w:szCs w:val="24"/>
      <w:lang w:val="ru-RU" w:eastAsia="ru-RU" w:bidi="ar-SA"/>
    </w:rPr>
  </w:style>
  <w:style w:type="paragraph" w:styleId="1" w:customStyle="1">
    <w:name w:val="Обычный1"/>
    <w:uiPriority w:val="99"/>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 w:customStyle="1">
    <w:name w:val="Без интервала1"/>
    <w:link w:val="NoSpacingChar"/>
    <w:uiPriority w:val="99"/>
    <w:qFormat/>
    <w:rsid w:val="00f171a6"/>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21" w:customStyle="1">
    <w:name w:val="Обычный2"/>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17" w:customStyle="1">
    <w:name w:val="Обычный.Нормальный абзац"/>
    <w:uiPriority w:val="99"/>
    <w:qFormat/>
    <w:rsid w:val="00f171a6"/>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ConsNonformat" w:customStyle="1">
    <w:name w:val="ConsNonformat"/>
    <w:qFormat/>
    <w:rsid w:val="00f171a6"/>
    <w:pPr>
      <w:widowControl w:val="false"/>
      <w:suppressAutoHyphens w:val="true"/>
      <w:bidi w:val="0"/>
      <w:snapToGrid w:val="false"/>
      <w:spacing w:before="0" w:after="0"/>
      <w:ind w:right="19772"/>
      <w:jc w:val="left"/>
    </w:pPr>
    <w:rPr>
      <w:rFonts w:ascii="Courier New" w:hAnsi="Courier New" w:eastAsia="Times New Roman" w:cs="Times New Roman"/>
      <w:color w:val="auto"/>
      <w:kern w:val="0"/>
      <w:sz w:val="24"/>
      <w:szCs w:val="20"/>
      <w:lang w:val="ru-RU" w:eastAsia="ru-RU" w:bidi="ar-SA"/>
    </w:rPr>
  </w:style>
  <w:style w:type="paragraph" w:styleId="BalloonText">
    <w:name w:val="Balloon Text"/>
    <w:basedOn w:val="Normal"/>
    <w:link w:val="Style14"/>
    <w:uiPriority w:val="99"/>
    <w:semiHidden/>
    <w:unhideWhenUsed/>
    <w:qFormat/>
    <w:rsid w:val="00fb4d58"/>
    <w:pPr/>
    <w:rPr>
      <w:rFonts w:ascii="Tahoma" w:hAnsi="Tahoma"/>
      <w:sz w:val="16"/>
      <w:szCs w:val="16"/>
    </w:rPr>
  </w:style>
  <w:style w:type="paragraph" w:styleId="Style41" w:customStyle="1">
    <w:name w:val="Style4"/>
    <w:basedOn w:val="Normal"/>
    <w:qFormat/>
    <w:rsid w:val="00ad3648"/>
    <w:pPr>
      <w:widowControl w:val="false"/>
      <w:spacing w:lineRule="exact" w:line="300"/>
    </w:pPr>
    <w:rPr/>
  </w:style>
  <w:style w:type="paragraph" w:styleId="Style171" w:customStyle="1">
    <w:name w:val="Style17"/>
    <w:basedOn w:val="Normal"/>
    <w:qFormat/>
    <w:rsid w:val="008a7baf"/>
    <w:pPr>
      <w:widowControl w:val="false"/>
      <w:spacing w:lineRule="exact" w:line="329"/>
      <w:jc w:val="both"/>
    </w:pPr>
    <w:rPr/>
  </w:style>
  <w:style w:type="paragraph" w:styleId="111" w:customStyle="1">
    <w:name w:val="Без интервала11"/>
    <w:uiPriority w:val="99"/>
    <w:qFormat/>
    <w:rsid w:val="00916b87"/>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Style21" w:customStyle="1">
    <w:name w:val="Style2"/>
    <w:basedOn w:val="Normal"/>
    <w:qFormat/>
    <w:rsid w:val="00a440e4"/>
    <w:pPr>
      <w:widowControl w:val="false"/>
    </w:pPr>
    <w:rPr/>
  </w:style>
  <w:style w:type="paragraph" w:styleId="Style18" w:customStyle="1">
    <w:name w:val="Содержимое врезки"/>
    <w:basedOn w:val="Normal"/>
    <w:qFormat/>
    <w:rsid w:val="00e30ec1"/>
    <w:pPr/>
    <w:rPr/>
  </w:style>
  <w:style w:type="numbering" w:styleId="Style19" w:customStyle="1">
    <w:name w:val="Без списка"/>
    <w:uiPriority w:val="99"/>
    <w:semiHidden/>
    <w:unhideWhenUsed/>
    <w:qFormat/>
    <w:rsid w:val="00e30ec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1">
    <w:name w:val="Table Grid"/>
    <w:basedOn w:val="a1"/>
    <w:rsid w:val="00785d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Style1">
    <w:name w:val="TableStyle1"/>
    <w:rsid w:val="00351666"/>
    <w:rPr>
      <w:rFonts w:eastAsiaTheme="minorEastAsia" w:cstheme="minorBidi"/>
      <w:sz w:val="13"/>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60366D61D8CC976573B00562A0E8F759485B7D1E0C6D775F65282286922F950C4CE625D511A18BC666D29D8294E6A791CCA7723DA965C92cFP8L" TargetMode="External"/><Relationship Id="rId3" Type="http://schemas.openxmlformats.org/officeDocument/2006/relationships/hyperlink" Target="consultantplus://offline/ref=75D22BD195EDADE6C0B22A05846404E7EB91BC170E22A997010D8D075D81BF49C726F1BF40DE05BA116BEB6A81A7KBX" TargetMode="External"/><Relationship Id="rId4" Type="http://schemas.openxmlformats.org/officeDocument/2006/relationships/hyperlink" Target="mailto:bazaois@mail.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EE365-07CD-4D58-B5B5-695A14C0E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LibreOffice/24.8.4.1$Linux_X86_64 LibreOffice_project/480$Build-1</Application>
  <AppVersion>15.0000</AppVersion>
  <Pages>10</Pages>
  <Words>5525</Words>
  <Characters>39890</Characters>
  <CharactersWithSpaces>45533</CharactersWithSpaces>
  <Paragraphs>258</Paragraphs>
  <Company>Kraftway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2026-08-12T08:05:00Z</dcterms:created>
  <dc:creator>User</dc:creator>
  <dc:description/>
  <dc:language>ru-RU</dc:language>
  <cp:lastModifiedBy/>
  <cp:lastPrinted>2020-09-29T13:19:00Z</cp:lastPrinted>
  <dcterms:modified xsi:type="dcterms:W3CDTF">2026-08-12T12:01:07Z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