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_rels/document.xml.rels" ContentType="application/vnd.openxmlformats-package.relationships+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r>
        <w:rPr>
          <w:b/>
          <w:bCs/>
        </w:rPr>
        <w:t>Договор №</w:t>
      </w:r>
      <w:r>
        <w:rPr>
          <w:b/>
          <w:bCs/>
        </w:rPr>
        <w:t>_</w:t>
      </w:r>
      <w:r>
        <w:rPr>
          <w:rFonts w:eastAsia="Times New Roman" w:cs="Times New Roman"/>
          <w:b/>
          <w:bCs/>
          <w:color w:val="auto"/>
          <w:kern w:val="0"/>
          <w:sz w:val="20"/>
          <w:szCs w:val="20"/>
          <w:lang w:val="ru-RU" w:eastAsia="ru-RU" w:bidi="ar-SA"/>
        </w:rPr>
        <w:t>_</w:t>
      </w:r>
      <w:r>
        <w:rPr>
          <w:rFonts w:eastAsia="Times New Roman" w:cs="Times New Roman"/>
          <w:b/>
          <w:bCs/>
          <w:color w:val="auto"/>
          <w:kern w:val="0"/>
          <w:sz w:val="20"/>
          <w:szCs w:val="20"/>
          <w:lang w:val="ru-RU" w:eastAsia="ru-RU" w:bidi="ar-SA"/>
        </w:rPr>
        <w:t>_</w:t>
      </w:r>
      <w:r>
        <w:rPr>
          <w:rFonts w:eastAsia="Times New Roman" w:cs="Times New Roman"/>
          <w:b/>
          <w:bCs/>
          <w:color w:val="auto"/>
          <w:kern w:val="0"/>
          <w:sz w:val="20"/>
          <w:szCs w:val="20"/>
          <w:lang w:val="ru-RU" w:eastAsia="ru-RU" w:bidi="ar-SA"/>
        </w:rPr>
        <w:t>_</w:t>
      </w:r>
      <w:r>
        <w:rPr>
          <w:rFonts w:eastAsia="Times New Roman" w:cs="Times New Roman"/>
          <w:b/>
          <w:bCs/>
          <w:color w:val="auto"/>
          <w:kern w:val="0"/>
          <w:sz w:val="20"/>
          <w:szCs w:val="20"/>
          <w:lang w:val="ru-RU" w:eastAsia="ru-RU" w:bidi="ar-SA"/>
        </w:rPr>
        <w:t>_</w:t>
      </w:r>
      <w:r>
        <w:rPr>
          <w:rFonts w:eastAsia="Times New Roman" w:cs="Times New Roman"/>
          <w:b/>
          <w:bCs/>
          <w:color w:val="auto"/>
          <w:kern w:val="0"/>
          <w:sz w:val="20"/>
          <w:szCs w:val="20"/>
          <w:lang w:val="ru-RU" w:eastAsia="ru-RU" w:bidi="ar-SA"/>
        </w:rPr>
        <w:t>_</w:t>
      </w:r>
      <w:r>
        <w:rPr>
          <w:rFonts w:eastAsia="Times New Roman" w:cs="Times New Roman"/>
          <w:b/>
          <w:bCs/>
          <w:color w:val="auto"/>
          <w:kern w:val="0"/>
          <w:sz w:val="20"/>
          <w:szCs w:val="20"/>
          <w:lang w:val="ru-RU" w:eastAsia="ru-RU" w:bidi="ar-SA"/>
        </w:rPr>
        <w:t>_</w:t>
      </w:r>
    </w:p>
    <w:p>
      <w:pPr>
        <w:pStyle w:val="Normal"/>
        <w:jc w:val="center"/>
        <w:rPr>
          <w:b/>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suppressAutoHyphens w:val="true"/>
        <w:jc w:val="both"/>
        <w:rPr>
          <w:lang w:eastAsia="zh-CN"/>
        </w:rPr>
      </w:pPr>
      <w:r>
        <w:rPr/>
        <w:t>Кемеровская область-Кузбасс, г. Кемерово</w:t>
      </w:r>
      <w:r>
        <w:rPr>
          <w:b/>
          <w:bCs/>
          <w:color w:val="000000"/>
        </w:rPr>
        <w:t xml:space="preserve">                                                                       </w:t>
      </w:r>
      <w:bookmarkStart w:id="0" w:name="_Hlk159928058"/>
      <w:r>
        <w:rPr>
          <w:b/>
          <w:bCs/>
          <w:color w:val="000000"/>
        </w:rPr>
        <w:t xml:space="preserve">                    </w:t>
      </w:r>
      <w:r>
        <w:rPr/>
        <w:t>« __» ___________ 2026г.</w:t>
      </w:r>
      <w:bookmarkEnd w:id="0"/>
    </w:p>
    <w:p>
      <w:pPr>
        <w:pStyle w:val="Normal"/>
        <w:spacing w:before="0" w:after="60"/>
        <w:jc w:val="both"/>
        <w:rPr/>
      </w:pPr>
      <w:r>
        <w:rPr/>
      </w:r>
    </w:p>
    <w:p>
      <w:pPr>
        <w:pStyle w:val="Normal"/>
        <w:jc w:val="both"/>
        <w:rPr/>
      </w:pPr>
      <w:bookmarkStart w:id="1"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bCs/>
        </w:rPr>
        <w:t>,</w:t>
      </w:r>
      <w:r>
        <w:rPr/>
        <w:t xml:space="preserve"> в лице начальника отдела материально-технического снабжения Кузнецовой Александры Евгеньевны, действующего на основании доверенности от 08.06.2026, именуемое в дальнейшем «Заказчик», с одной стороны, </w:t>
      </w:r>
      <w:r>
        <w:rPr>
          <w:rFonts w:eastAsia="Times New Roman" w:cs="Times New Roman"/>
          <w:b/>
          <w:bCs/>
          <w:color w:val="auto"/>
          <w:kern w:val="0"/>
          <w:sz w:val="20"/>
          <w:szCs w:val="20"/>
          <w:lang w:val="ru-RU" w:eastAsia="ru-RU" w:bidi="ar-SA"/>
        </w:rPr>
        <w:t>_</w:t>
      </w:r>
      <w:r>
        <w:rPr>
          <w:rFonts w:eastAsia="Times New Roman" w:cs="Times New Roman"/>
          <w:b/>
          <w:bCs/>
          <w:color w:val="auto"/>
          <w:kern w:val="0"/>
          <w:sz w:val="20"/>
          <w:szCs w:val="20"/>
          <w:lang w:val="ru-RU" w:eastAsia="ru-RU" w:bidi="ar-SA"/>
        </w:rPr>
        <w:t>_</w:t>
      </w:r>
      <w:r>
        <w:rPr>
          <w:rFonts w:eastAsia="Times New Roman" w:cs="Times New Roman"/>
          <w:b/>
          <w:bCs/>
          <w:color w:val="auto"/>
          <w:kern w:val="0"/>
          <w:sz w:val="20"/>
          <w:szCs w:val="20"/>
          <w:lang w:val="ru-RU" w:eastAsia="ru-RU" w:bidi="ar-SA"/>
        </w:rPr>
        <w:t>_</w:t>
      </w:r>
      <w:r>
        <w:rPr>
          <w:rFonts w:eastAsia="Times New Roman" w:cs="Times New Roman"/>
          <w:b/>
          <w:bCs/>
          <w:color w:val="auto"/>
          <w:kern w:val="0"/>
          <w:sz w:val="20"/>
          <w:szCs w:val="20"/>
          <w:lang w:val="ru-RU" w:eastAsia="ru-RU" w:bidi="ar-SA"/>
        </w:rPr>
        <w:t>_</w:t>
      </w:r>
      <w:r>
        <w:rPr>
          <w:rFonts w:eastAsia="Times New Roman" w:cs="Times New Roman"/>
          <w:b/>
          <w:bCs/>
          <w:color w:val="auto"/>
          <w:kern w:val="0"/>
          <w:sz w:val="20"/>
          <w:szCs w:val="20"/>
          <w:lang w:val="ru-RU" w:eastAsia="ru-RU" w:bidi="ar-SA"/>
        </w:rPr>
        <w:t>_</w:t>
      </w:r>
      <w:r>
        <w:rPr>
          <w:rFonts w:eastAsia="Times New Roman" w:cs="Times New Roman"/>
          <w:b/>
          <w:bCs/>
          <w:color w:val="auto"/>
          <w:kern w:val="0"/>
          <w:sz w:val="20"/>
          <w:szCs w:val="20"/>
          <w:lang w:val="ru-RU" w:eastAsia="ru-RU" w:bidi="ar-SA"/>
        </w:rPr>
        <w:t>_</w:t>
      </w:r>
      <w:r>
        <w:rPr>
          <w:rFonts w:eastAsia="Times New Roman" w:cs="Times New Roman"/>
          <w:b/>
          <w:bCs/>
          <w:color w:val="auto"/>
          <w:kern w:val="0"/>
          <w:sz w:val="20"/>
          <w:szCs w:val="20"/>
          <w:lang w:val="ru-RU" w:eastAsia="ru-RU" w:bidi="ar-SA"/>
        </w:rPr>
        <w:t>_</w:t>
      </w:r>
      <w:r>
        <w:rPr>
          <w:rFonts w:eastAsia="Times New Roman" w:cs="Times New Roman"/>
          <w:b/>
          <w:bCs/>
          <w:color w:val="auto"/>
          <w:kern w:val="0"/>
          <w:sz w:val="20"/>
          <w:szCs w:val="20"/>
          <w:lang w:val="ru-RU" w:eastAsia="ru-RU" w:bidi="ar-SA"/>
        </w:rPr>
        <w:t>_</w:t>
      </w:r>
      <w:r>
        <w:rPr>
          <w:rFonts w:eastAsia="Times New Roman" w:cs="Times New Roman"/>
          <w:b/>
          <w:bCs/>
          <w:color w:val="auto"/>
          <w:kern w:val="0"/>
          <w:sz w:val="20"/>
          <w:szCs w:val="20"/>
          <w:lang w:val="ru-RU" w:eastAsia="ru-RU" w:bidi="ar-SA"/>
        </w:rPr>
        <w:t>_</w:t>
      </w:r>
      <w:r>
        <w:rPr>
          <w:rFonts w:eastAsia="Times New Roman" w:cs="Times New Roman"/>
          <w:b/>
          <w:bCs/>
          <w:color w:val="auto"/>
          <w:kern w:val="0"/>
          <w:sz w:val="20"/>
          <w:szCs w:val="20"/>
          <w:lang w:val="ru-RU" w:eastAsia="ru-RU" w:bidi="ar-SA"/>
        </w:rPr>
        <w:t>_</w:t>
      </w:r>
      <w:r>
        <w:rPr>
          <w:rFonts w:eastAsia="Times New Roman" w:cs="Times New Roman"/>
          <w:b/>
          <w:bCs/>
          <w:color w:val="auto"/>
          <w:kern w:val="0"/>
          <w:sz w:val="20"/>
          <w:szCs w:val="20"/>
          <w:lang w:val="ru-RU" w:eastAsia="ru-RU" w:bidi="ar-SA"/>
        </w:rPr>
        <w:t>_</w:t>
      </w:r>
      <w:r>
        <w:rPr>
          <w:rFonts w:eastAsia="Times New Roman" w:cs="Times New Roman"/>
          <w:b/>
          <w:bCs/>
          <w:color w:val="auto"/>
          <w:kern w:val="0"/>
          <w:sz w:val="20"/>
          <w:szCs w:val="20"/>
          <w:lang w:val="ru-RU" w:eastAsia="ru-RU" w:bidi="ar-SA"/>
        </w:rPr>
        <w:t>_</w:t>
      </w:r>
      <w:r>
        <w:rPr>
          <w:rFonts w:eastAsia="Times New Roman" w:cs="Times New Roman"/>
          <w:b/>
          <w:bCs/>
          <w:color w:val="auto"/>
          <w:kern w:val="0"/>
          <w:sz w:val="20"/>
          <w:szCs w:val="20"/>
          <w:lang w:val="ru-RU" w:eastAsia="ru-RU" w:bidi="ar-SA"/>
        </w:rPr>
        <w:t>_</w:t>
      </w:r>
      <w:r>
        <w:rPr>
          <w:rFonts w:eastAsia="Times New Roman" w:cs="Times New Roman"/>
          <w:b/>
          <w:bCs/>
          <w:color w:val="auto"/>
          <w:kern w:val="0"/>
          <w:sz w:val="20"/>
          <w:szCs w:val="20"/>
          <w:lang w:val="ru-RU" w:eastAsia="ru-RU" w:bidi="ar-SA"/>
        </w:rPr>
        <w:t>_</w:t>
      </w:r>
      <w:r>
        <w:rPr>
          <w:rFonts w:eastAsia="Times New Roman" w:cs="Times New Roman"/>
          <w:b/>
          <w:bCs/>
          <w:color w:val="auto"/>
          <w:kern w:val="0"/>
          <w:sz w:val="20"/>
          <w:szCs w:val="20"/>
          <w:lang w:val="ru-RU" w:eastAsia="ru-RU" w:bidi="ar-SA"/>
        </w:rPr>
        <w:t>_</w:t>
      </w:r>
      <w:r>
        <w:rPr>
          <w:rFonts w:eastAsia="Times New Roman" w:cs="Times New Roman"/>
          <w:b/>
          <w:bCs/>
          <w:color w:val="auto"/>
          <w:kern w:val="0"/>
          <w:sz w:val="20"/>
          <w:szCs w:val="20"/>
          <w:lang w:val="ru-RU" w:eastAsia="ru-RU" w:bidi="ar-SA"/>
        </w:rPr>
        <w:t>_</w:t>
      </w:r>
      <w:r>
        <w:rPr>
          <w:rFonts w:eastAsia="Times New Roman" w:cs="Times New Roman"/>
          <w:b/>
          <w:bCs/>
          <w:color w:val="auto"/>
          <w:kern w:val="0"/>
          <w:sz w:val="20"/>
          <w:szCs w:val="20"/>
          <w:lang w:val="ru-RU" w:eastAsia="ru-RU" w:bidi="ar-SA"/>
        </w:rPr>
        <w:t>_</w:t>
      </w:r>
      <w:r>
        <w:rPr>
          <w:rFonts w:eastAsia="Times New Roman" w:cs="Times New Roman"/>
          <w:b/>
          <w:bCs/>
          <w:color w:val="auto"/>
          <w:kern w:val="0"/>
          <w:sz w:val="20"/>
          <w:szCs w:val="20"/>
          <w:lang w:val="ru-RU" w:eastAsia="ru-RU" w:bidi="ar-SA"/>
        </w:rPr>
        <w:t>_</w:t>
      </w:r>
      <w:r>
        <w:rPr>
          <w:rFonts w:eastAsia="Times New Roman" w:cs="Times New Roman"/>
          <w:b/>
          <w:bCs/>
          <w:color w:val="auto"/>
          <w:kern w:val="0"/>
          <w:sz w:val="20"/>
          <w:szCs w:val="20"/>
          <w:lang w:val="ru-RU" w:eastAsia="ru-RU" w:bidi="ar-SA"/>
        </w:rPr>
        <w:t>_</w:t>
      </w:r>
      <w:r>
        <w:rPr>
          <w:rFonts w:eastAsia="Times New Roman" w:cs="Times New Roman"/>
          <w:b/>
          <w:bCs/>
          <w:color w:val="auto"/>
          <w:kern w:val="0"/>
          <w:sz w:val="20"/>
          <w:szCs w:val="20"/>
          <w:lang w:val="ru-RU" w:eastAsia="ru-RU" w:bidi="ar-SA"/>
        </w:rPr>
        <w:t>_</w:t>
      </w:r>
      <w:r>
        <w:rPr>
          <w:rFonts w:eastAsia="Times New Roman" w:cs="Times New Roman"/>
          <w:b/>
          <w:bCs/>
          <w:color w:val="auto"/>
          <w:kern w:val="0"/>
          <w:sz w:val="20"/>
          <w:szCs w:val="20"/>
          <w:lang w:val="ru-RU" w:eastAsia="ru-RU" w:bidi="ar-SA"/>
        </w:rPr>
        <w:t>_</w:t>
      </w:r>
      <w:r>
        <w:rPr>
          <w:rFonts w:eastAsia="Times New Roman" w:cs="Times New Roman"/>
          <w:b/>
          <w:bCs/>
          <w:color w:val="auto"/>
          <w:kern w:val="0"/>
          <w:sz w:val="20"/>
          <w:szCs w:val="20"/>
          <w:lang w:val="ru-RU" w:eastAsia="ru-RU" w:bidi="ar-SA"/>
        </w:rPr>
        <w:t>_</w:t>
      </w:r>
      <w:r>
        <w:rPr>
          <w:rFonts w:eastAsia="Times New Roman" w:cs="Times New Roman"/>
          <w:b/>
          <w:bCs/>
          <w:color w:val="auto"/>
          <w:kern w:val="0"/>
          <w:sz w:val="20"/>
          <w:szCs w:val="20"/>
          <w:lang w:val="ru-RU" w:eastAsia="ru-RU" w:bidi="ar-SA"/>
        </w:rPr>
        <w:t>_</w:t>
      </w:r>
      <w:r>
        <w:rPr>
          <w:rFonts w:eastAsia="Times New Roman" w:cs="Times New Roman"/>
          <w:b/>
          <w:bCs/>
          <w:color w:val="auto"/>
          <w:kern w:val="0"/>
          <w:sz w:val="20"/>
          <w:szCs w:val="20"/>
          <w:lang w:val="ru-RU" w:eastAsia="ru-RU" w:bidi="ar-SA"/>
        </w:rPr>
        <w:t>_</w:t>
      </w:r>
      <w:r>
        <w:rPr/>
        <w:t xml:space="preserve">, в лице </w:t>
      </w:r>
      <w:r>
        <w:rPr>
          <w:rFonts w:eastAsia="Times New Roman" w:cs="Times New Roman"/>
          <w:color w:val="auto"/>
          <w:kern w:val="0"/>
          <w:sz w:val="20"/>
          <w:szCs w:val="20"/>
          <w:lang w:val="ru-RU" w:eastAsia="ru-RU" w:bidi="ar-SA"/>
        </w:rPr>
        <w:t>_________________</w:t>
      </w:r>
      <w:r>
        <w:rPr/>
        <w:t xml:space="preserve">, действующего на основании </w:t>
      </w:r>
      <w:r>
        <w:rPr/>
        <w:t>_____________</w:t>
      </w:r>
      <w:r>
        <w:rPr/>
        <w:t>, именуемый в дальнейшем «Поставщик», с другой стороны, на основании пп.</w:t>
      </w:r>
      <w:r>
        <w:rPr>
          <w:rFonts w:eastAsia="Times New Roman" w:cs="Times New Roman"/>
          <w:color w:val="auto"/>
          <w:kern w:val="0"/>
          <w:sz w:val="20"/>
          <w:szCs w:val="20"/>
          <w:lang w:val="ru-RU" w:eastAsia="ru-RU" w:bidi="ar-SA"/>
        </w:rPr>
        <w:t>54</w:t>
      </w:r>
      <w:r>
        <w:rPr/>
        <w:t xml:space="preserve"> п.1, раздела 2, главы IV ПОЛОЖЕНИЯ о закупке товаров, работ, услуг для нужд Федерального государственного бюджетного научного учреждения «Научно-исследовательский институт комплексных проблем сердечно-сосудистых заболеваний», Федерального Закона от 18.07.2011 года №223-ФЗ», заключили настоящий Договор о нижеследующем:</w:t>
      </w:r>
    </w:p>
    <w:p>
      <w:pPr>
        <w:pStyle w:val="Normal"/>
        <w:spacing w:before="0" w:after="60"/>
        <w:jc w:val="center"/>
        <w:rPr>
          <w:b/>
          <w:bCs/>
        </w:rPr>
      </w:pPr>
      <w:r>
        <w:rPr>
          <w:b/>
        </w:rPr>
        <w:t xml:space="preserve">1. Предмет </w:t>
      </w:r>
      <w:r>
        <w:rPr>
          <w:b/>
          <w:bCs/>
        </w:rPr>
        <w:t>Договора</w:t>
      </w:r>
    </w:p>
    <w:p>
      <w:pPr>
        <w:pStyle w:val="Normal"/>
        <w:numPr>
          <w:ilvl w:val="0"/>
          <w:numId w:val="0"/>
        </w:numPr>
        <w:ind w:hanging="0" w:start="0"/>
        <w:jc w:val="both"/>
        <w:outlineLvl w:val="0"/>
        <w:rPr>
          <w:b/>
          <w:bCs/>
        </w:rPr>
      </w:pPr>
      <w:r>
        <w:rPr/>
        <w:t xml:space="preserve">1.1. Поставщик по настоящему </w:t>
      </w:r>
      <w:r>
        <w:rPr>
          <w:bCs/>
        </w:rPr>
        <w:t>Договору</w:t>
      </w:r>
      <w:r>
        <w:rPr/>
        <w:t xml:space="preserve"> обязуется поставить товар: азотной кислоты и передать его Заказчику, а Заказчик по настоящему </w:t>
      </w:r>
      <w:r>
        <w:rPr>
          <w:bCs/>
        </w:rPr>
        <w:t>Договору</w:t>
      </w:r>
      <w:r>
        <w:rPr/>
        <w:t xml:space="preserve"> обязуется принять и оплатить поставленную Поставщиком продукцию (далее – Товар). Наименование и количество Товара устанавливается настоящим </w:t>
      </w:r>
      <w:r>
        <w:rPr>
          <w:bCs/>
        </w:rPr>
        <w:t xml:space="preserve">Договором </w:t>
      </w:r>
      <w:r>
        <w:rPr/>
        <w:t xml:space="preserve">и спецификацией (Приложение №1 к настоящему </w:t>
      </w:r>
      <w:r>
        <w:rPr>
          <w:bCs/>
        </w:rPr>
        <w:t>Договору</w:t>
      </w:r>
      <w:r>
        <w:rPr/>
        <w:t>), которая является его неотъемлемой частью.</w:t>
      </w:r>
    </w:p>
    <w:p>
      <w:pPr>
        <w:pStyle w:val="Normal"/>
        <w:jc w:val="both"/>
        <w:rPr>
          <w:color w:val="000000"/>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BodyTextIndent"/>
        <w:ind w:hanging="0"/>
        <w:jc w:val="center"/>
        <w:rPr>
          <w:b/>
          <w:lang w:val="ru-RU"/>
        </w:rPr>
      </w:pPr>
      <w:r>
        <w:rPr>
          <w:b/>
          <w:lang w:val="ru-RU"/>
        </w:rPr>
        <w:t>2. Цена Договора и порядок расчетов</w:t>
      </w:r>
    </w:p>
    <w:p>
      <w:pPr>
        <w:pStyle w:val="CommentText"/>
        <w:rPr/>
      </w:pPr>
      <w:r>
        <w:rPr/>
        <w:t xml:space="preserve">2.1. Цена Договора составляет </w:t>
      </w:r>
      <w:r>
        <w:rPr/>
        <w:t>_________________</w:t>
      </w:r>
      <w:r>
        <w:rPr>
          <w:b/>
          <w:bCs/>
        </w:rPr>
        <w:t xml:space="preserve">, в т.ч. НДС </w:t>
      </w:r>
      <w:r>
        <w:rPr>
          <w:b/>
          <w:bCs/>
        </w:rPr>
        <w:t>____</w:t>
      </w:r>
      <w:r>
        <w:rPr>
          <w:b/>
          <w:bCs/>
        </w:rPr>
        <w:t>% (</w:t>
      </w:r>
      <w:r>
        <w:rPr>
          <w:b/>
          <w:bCs/>
        </w:rPr>
        <w:t>_____</w:t>
      </w:r>
      <w:r>
        <w:rPr>
          <w:b/>
          <w:bCs/>
        </w:rPr>
        <w:t xml:space="preserve"> руб).</w:t>
      </w:r>
    </w:p>
    <w:p>
      <w:pPr>
        <w:pStyle w:val="CommentText"/>
        <w:rPr/>
      </w:pPr>
      <w:r>
        <w:rPr/>
        <w:t>Цена Договора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Договору в соответствии  с законодательством Российской Федерации.</w:t>
      </w:r>
    </w:p>
    <w:p>
      <w:pPr>
        <w:pStyle w:val="Normal"/>
        <w:widowControl w:val="false"/>
        <w:jc w:val="both"/>
        <w:rPr/>
      </w:pPr>
      <w:r>
        <w:rPr/>
        <w:t xml:space="preserve">2.2. Цена Договора является твердой и определяется на весь срок исполнения Договора. </w:t>
      </w:r>
    </w:p>
    <w:p>
      <w:pPr>
        <w:pStyle w:val="BodyTextIndent"/>
        <w:tabs>
          <w:tab w:val="clear" w:pos="708"/>
          <w:tab w:val="left" w:pos="540" w:leader="none"/>
        </w:tabs>
        <w:ind w:hanging="0"/>
        <w:rPr>
          <w:lang w:val="ru-RU"/>
        </w:rPr>
      </w:pPr>
      <w:r>
        <w:rPr>
          <w:lang w:val="ru-RU"/>
        </w:rPr>
        <w:t xml:space="preserve">2.3. </w:t>
      </w:r>
      <w:r>
        <w:rPr>
          <w:rFonts w:eastAsia="Times New Roman"/>
          <w:color w:themeColor="text1" w:val="000000"/>
          <w:lang w:val="ru-RU"/>
        </w:rPr>
        <w:t>Расчет по настоящему Договору производится Заказчиком в течение 10 рабочих дней с момента приемки товара по качеству на основании подписанного Заказчиком и Поставщиком Акта приемки (ф. 0510452), счет-фактуры (УПД) или товарной накладной</w:t>
      </w:r>
      <w:r>
        <w:rPr>
          <w:rFonts w:eastAsia="Times New Roman"/>
          <w:color w:themeColor="text1" w:val="000000"/>
          <w:sz w:val="24"/>
          <w:lang w:val="ru-RU"/>
        </w:rPr>
        <w:t>.</w:t>
      </w:r>
    </w:p>
    <w:p>
      <w:pPr>
        <w:pStyle w:val="BodyTextIndent"/>
        <w:tabs>
          <w:tab w:val="clear" w:pos="708"/>
          <w:tab w:val="left" w:pos="540" w:leader="none"/>
        </w:tabs>
        <w:ind w:hanging="0"/>
        <w:rPr>
          <w:lang w:val="ru-RU"/>
        </w:rPr>
      </w:pPr>
      <w:r>
        <w:rPr>
          <w:lang w:val="ru-RU"/>
        </w:rPr>
        <w:t xml:space="preserve">2.4. </w:t>
      </w:r>
      <w:bookmarkStart w:id="2" w:name="_Hlk178155259"/>
      <w:r>
        <w:rPr>
          <w:lang w:val="ru-RU"/>
        </w:rPr>
        <w:t>Оплата по Договору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708"/>
          <w:tab w:val="left" w:pos="540" w:leader="none"/>
        </w:tabs>
        <w:ind w:hanging="0"/>
        <w:rPr>
          <w:lang w:val="ru-RU"/>
        </w:rPr>
      </w:pPr>
      <w:r>
        <w:rPr>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bookmarkEnd w:id="2"/>
    </w:p>
    <w:p>
      <w:pPr>
        <w:pStyle w:val="Normal"/>
        <w:jc w:val="both"/>
        <w:rPr>
          <w:rFonts w:eastAsia="Calibri"/>
        </w:rPr>
      </w:pPr>
      <w:r>
        <w:rPr/>
        <w:t>2.5. Источник финансирования:</w:t>
      </w:r>
      <w:bookmarkStart w:id="3" w:name="_Hlk174882174"/>
      <w:r>
        <w:rPr/>
        <w:t xml:space="preserve"> </w:t>
      </w:r>
      <w:bookmarkEnd w:id="3"/>
      <w:r>
        <w:rPr/>
        <w:t>средства бюджетного учреждения.</w:t>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Договору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Договора, Спецификации (Приложение № 1 к Договору).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Договора,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3.1.8. Предложить увеличить или уменьшить в процессе исполнения Договора количество поставляемого Товара, предусмотренного Договором,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Заказчик по Договору обязан:</w:t>
      </w:r>
    </w:p>
    <w:p>
      <w:pPr>
        <w:pStyle w:val="BodyTextIndent"/>
        <w:tabs>
          <w:tab w:val="clear" w:pos="708"/>
          <w:tab w:val="left" w:pos="0" w:leader="none"/>
        </w:tabs>
        <w:ind w:hanging="0"/>
        <w:rPr>
          <w:lang w:val="ru-RU"/>
        </w:rPr>
      </w:pPr>
      <w:r>
        <w:rPr>
          <w:lang w:val="ru-RU"/>
        </w:rPr>
        <w:t>3.2.1.</w:t>
      </w:r>
      <w:r>
        <w:rPr/>
        <w:t> </w:t>
      </w:r>
      <w:r>
        <w:rPr>
          <w:lang w:val="ru-RU"/>
        </w:rPr>
        <w:t>Произвести оплату в соответствии с условиями Договора.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bookmarkStart w:id="4" w:name="_Hlk178155480"/>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Договором.  3.2.4 Требовать уплаты неустойки (штрафа, пени) в соответствии с разделом 8 Договора.</w:t>
      </w:r>
      <w:bookmarkEnd w:id="4"/>
    </w:p>
    <w:p>
      <w:pPr>
        <w:pStyle w:val="BodyTextIndent"/>
        <w:tabs>
          <w:tab w:val="clear" w:pos="708"/>
          <w:tab w:val="left" w:pos="0" w:leader="none"/>
        </w:tabs>
        <w:ind w:hanging="0"/>
        <w:rPr>
          <w:b/>
          <w:lang w:val="ru-RU"/>
        </w:rPr>
      </w:pPr>
      <w:r>
        <w:rPr>
          <w:b/>
          <w:lang w:val="ru-RU"/>
        </w:rPr>
        <w:t>3.3.</w:t>
      </w:r>
      <w:r>
        <w:rPr>
          <w:b/>
        </w:rPr>
        <w:t> </w:t>
      </w:r>
      <w:r>
        <w:rPr>
          <w:b/>
          <w:lang w:val="ru-RU"/>
        </w:rPr>
        <w:t>Поставщик по Договору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Поставщик по Договору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3.4.2. Представить Заказчику, в установленный Договором срок, надлежаще оформленные документы, предусмотренные Договором.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Договором (п.5.5).</w:t>
      </w:r>
    </w:p>
    <w:p>
      <w:pPr>
        <w:pStyle w:val="BodyTextIndent"/>
        <w:tabs>
          <w:tab w:val="clear" w:pos="708"/>
          <w:tab w:val="left" w:pos="0" w:leader="none"/>
        </w:tabs>
        <w:ind w:hanging="0"/>
        <w:rPr>
          <w:lang w:val="ru-RU"/>
        </w:rPr>
      </w:pPr>
      <w:r>
        <w:rPr>
          <w:lang w:val="ru-RU"/>
        </w:rPr>
        <w:t>3.4.4 После оплаты Заказчиком всего поставленного Товара по Договору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pPr>
      <w:r>
        <w:rPr/>
        <w:t xml:space="preserve">4.1. Поставка товара осуществляется в течении </w:t>
      </w:r>
      <w:r>
        <w:rPr/>
        <w:t>6</w:t>
      </w:r>
      <w:r>
        <w:rPr/>
        <w:t>0 дней с момента заключения договора</w:t>
      </w:r>
      <w:r>
        <w:rPr>
          <w:b/>
          <w:bCs/>
        </w:rPr>
        <w:t>.</w:t>
      </w:r>
      <w:r>
        <w:rPr/>
        <w:t xml:space="preserve">  </w:t>
      </w:r>
    </w:p>
    <w:p>
      <w:pPr>
        <w:pStyle w:val="Normal"/>
        <w:shd w:val="clear" w:color="auto"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708"/>
          <w:tab w:val="left" w:pos="0" w:leader="none"/>
          <w:tab w:val="left" w:pos="900" w:leader="none"/>
        </w:tabs>
        <w:jc w:val="both"/>
        <w:rPr>
          <w:color w:themeColor="text1" w:val="000000"/>
        </w:rPr>
      </w:pPr>
      <w:r>
        <w:rPr/>
        <w:t xml:space="preserve">4.3. </w:t>
      </w:r>
      <w:r>
        <w:rPr>
          <w:color w:themeColor="text1" w:val="000000"/>
        </w:rPr>
        <w:t>Датой поставки Товара считается дата подписания Заказчиком счет-фактуры (УПД) или товарной накладной.</w:t>
      </w:r>
    </w:p>
    <w:p>
      <w:pPr>
        <w:pStyle w:val="Normal"/>
        <w:jc w:val="both"/>
        <w:rPr>
          <w:color w:themeColor="text1" w:val="000000"/>
        </w:rPr>
      </w:pPr>
      <w:r>
        <w:rPr>
          <w:color w:themeColor="text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color w:themeColor="text1" w:val="000000"/>
        </w:rPr>
      </w:pPr>
      <w:r>
        <w:rPr>
          <w:color w:themeColor="text1" w:val="000000"/>
        </w:rPr>
        <w:t> </w:t>
      </w:r>
      <w:r>
        <w:rPr>
          <w:color w:themeColor="text1" w:val="000000"/>
        </w:rPr>
        <w:t>- Счет-фактура – 2 экз. или Универсальный передаточный документ (УПД) – 2 экз. (по 1 экз. Заказчику и Поставщику).</w:t>
      </w:r>
    </w:p>
    <w:p>
      <w:pPr>
        <w:pStyle w:val="BodyTextIndent"/>
        <w:ind w:hanging="0"/>
        <w:jc w:val="center"/>
        <w:rPr>
          <w:b/>
          <w:lang w:val="ru-RU"/>
        </w:rPr>
      </w:pPr>
      <w:r>
        <w:rPr>
          <w:b/>
          <w:lang w:val="ru-RU"/>
        </w:rPr>
        <w:t>5. Порядок приемки Товара</w:t>
      </w:r>
    </w:p>
    <w:p>
      <w:pPr>
        <w:pStyle w:val="Normal"/>
        <w:jc w:val="both"/>
        <w:rPr>
          <w:rFonts w:eastAsia="Calibri"/>
        </w:rPr>
      </w:pPr>
      <w:r>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Normal"/>
        <w:jc w:val="both"/>
        <w:rPr/>
      </w:pPr>
      <w:r>
        <w:rPr/>
        <w:t xml:space="preserve">5.2. В течение 5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Договора. </w:t>
      </w:r>
    </w:p>
    <w:p>
      <w:pPr>
        <w:pStyle w:val="Normal"/>
        <w:jc w:val="both"/>
        <w:rPr>
          <w:rFonts w:eastAsia="Calibri"/>
        </w:rPr>
      </w:pPr>
      <w:r>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Normal"/>
        <w:jc w:val="both"/>
        <w:rPr>
          <w:rFonts w:eastAsia="Calibri"/>
        </w:rPr>
      </w:pPr>
      <w:r>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Normal"/>
        <w:jc w:val="both"/>
        <w:rPr>
          <w:rFonts w:eastAsia="Calibri"/>
        </w:rPr>
      </w:pPr>
      <w:r>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Normal"/>
        <w:jc w:val="both"/>
        <w:rPr>
          <w:rFonts w:eastAsia="Calibri"/>
        </w:rPr>
      </w:pPr>
      <w:r>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Normal"/>
        <w:jc w:val="both"/>
        <w:rPr>
          <w:rFonts w:eastAsia="Calibri"/>
        </w:rPr>
      </w:pPr>
      <w:r>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w:t>
      </w:r>
      <w:r>
        <w:rPr/>
        <w:t>6</w:t>
      </w:r>
      <w:r>
        <w:rPr/>
        <w:t xml:space="preserve">0 дней с момента получения письменной претензии. </w:t>
      </w:r>
    </w:p>
    <w:p>
      <w:pPr>
        <w:pStyle w:val="Normal"/>
        <w:jc w:val="both"/>
        <w:rPr>
          <w:rFonts w:eastAsia="Calibri"/>
        </w:rPr>
      </w:pPr>
      <w:r>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Normal"/>
        <w:jc w:val="both"/>
        <w:rPr>
          <w:rFonts w:eastAsia="Calibri"/>
        </w:rPr>
      </w:pPr>
      <w:r>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jc w:val="center"/>
        <w:rPr>
          <w:b/>
          <w:lang w:val="ru-RU"/>
        </w:rPr>
      </w:pPr>
      <w:r>
        <w:rPr>
          <w:b/>
          <w:lang w:val="ru-RU"/>
        </w:rPr>
        <w:t>6. Гарантия качества</w:t>
      </w:r>
    </w:p>
    <w:p>
      <w:pPr>
        <w:pStyle w:val="Normal"/>
        <w:numPr>
          <w:ilvl w:val="0"/>
          <w:numId w:val="0"/>
        </w:numPr>
        <w:ind w:hanging="0" w:start="0"/>
        <w:jc w:val="both"/>
        <w:outlineLvl w:val="1"/>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№1 к Договору.</w:t>
      </w:r>
    </w:p>
    <w:p>
      <w:pPr>
        <w:pStyle w:val="Normal"/>
        <w:jc w:val="both"/>
        <w:rPr/>
      </w:pPr>
      <w:r>
        <w:rPr/>
        <w:t xml:space="preserve">6.2. Товар должен быть новым, ранее не использованным. </w:t>
      </w:r>
    </w:p>
    <w:p>
      <w:pPr>
        <w:pStyle w:val="Normal"/>
        <w:jc w:val="both"/>
        <w:rPr/>
      </w:pPr>
      <w:r>
        <w:rPr/>
        <w:t xml:space="preserve">6.3. </w:t>
      </w:r>
      <w:bookmarkStart w:id="5" w:name="_Hlk177570061"/>
      <w:bookmarkEnd w:id="5"/>
      <w:r>
        <w:rPr/>
        <w:t>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w:t>
      </w:r>
    </w:p>
    <w:p>
      <w:pPr>
        <w:pStyle w:val="Normal"/>
        <w:jc w:val="both"/>
        <w:rPr/>
      </w:pPr>
      <w:r>
        <w:rPr/>
        <w:t xml:space="preserve">6.4. Остаточный срок годности на момент поставки не менее </w:t>
      </w:r>
      <w:r>
        <w:rPr/>
        <w:t>3</w:t>
      </w:r>
      <w:r>
        <w:rPr/>
        <w:t xml:space="preserve"> месяцев на момент поставки.</w:t>
      </w:r>
    </w:p>
    <w:p>
      <w:pPr>
        <w:pStyle w:val="Normal"/>
        <w:jc w:val="both"/>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b/>
          <w:lang w:val="ru-RU"/>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rPr>
          <w:b/>
        </w:rPr>
      </w:pPr>
      <w:r>
        <w:rPr>
          <w:b/>
        </w:rPr>
        <w:t xml:space="preserve">                                                                           </w:t>
      </w:r>
      <w:r>
        <w:rPr>
          <w:b/>
        </w:rPr>
        <w:t xml:space="preserve">8. Ответственность сторон                                                                                                                                                                           </w:t>
      </w:r>
      <w:r>
        <w:rPr/>
        <w:t xml:space="preserve">8.1. </w:t>
      </w:r>
      <w:bookmarkStart w:id="6" w:name="_Hlk177570087"/>
      <w:r>
        <w:rPr/>
        <w:t>Стороны несут ответственность за неисполнение или ненадлежащее исполнение условий настоящего Договора в соответствии с законодательством Российской Федерации. Под ненадлежащим исполнение условий настоящего Договора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End w:id="6"/>
    </w:p>
    <w:p>
      <w:pPr>
        <w:pStyle w:val="Normal"/>
        <w:jc w:val="both"/>
        <w:rPr/>
      </w:pPr>
      <w:r>
        <w:rPr/>
        <w:t>8.2. В случае просрочки исполнения Заказчиком обязательств, предусмотренных настоящим Договором,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Договору.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w:t>
      </w:r>
      <w:r>
        <w:rPr>
          <w:rFonts w:cs="Times New Roman"/>
          <w:sz w:val="20"/>
          <w:szCs w:val="20"/>
        </w:rPr>
        <w:t>В случае просрочки исполнения Поставщиком своих обязательств, предусмотренных настоящим Договором,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Договору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pPr>
        <w:pStyle w:val="Normal"/>
        <w:jc w:val="both"/>
        <w:rPr/>
      </w:pPr>
      <w:r>
        <w:rPr/>
        <w:t>8.4. За неисполнение или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начисляются штрафы. Размер штрафа устанавливается настоящим Договором в виде фиксированной суммы 1000 рублей 00 копеек (одна тысяча рублей 00 копеек).</w:t>
      </w:r>
    </w:p>
    <w:p>
      <w:pPr>
        <w:pStyle w:val="Normal"/>
        <w:jc w:val="both"/>
        <w:rPr/>
      </w:pPr>
      <w:r>
        <w:rPr/>
        <w:t xml:space="preserve">8.5. За неисполнение или ненадлежащее исполнение Поставщиком обязательств, предусмотренных настоящим Договором, за исключением просрочки исполнения обязательств, предусмотренных настоящим Договором, начисляются штрафы. Размер штрафа устанавливается настоящим Договором в виде фиксированной суммы </w:t>
      </w:r>
      <w:r>
        <w:rPr>
          <w:b/>
          <w:bCs/>
        </w:rPr>
        <w:t>______</w:t>
      </w:r>
      <w:r>
        <w:rPr/>
        <w:t xml:space="preserve"> руб. и составляет 10% от цены настоящего Договора.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Договору.</w:t>
      </w:r>
    </w:p>
    <w:p>
      <w:pPr>
        <w:pStyle w:val="BodyTextIndent"/>
        <w:ind w:hanging="0"/>
        <w:jc w:val="center"/>
        <w:rPr>
          <w:b/>
          <w:lang w:val="ru-RU"/>
        </w:rPr>
      </w:pPr>
      <w:r>
        <w:rPr>
          <w:b/>
          <w:lang w:val="ru-RU"/>
        </w:rPr>
        <w:t>9. Срок действия, изменение и прекращение Договора</w:t>
      </w:r>
    </w:p>
    <w:p>
      <w:pPr>
        <w:pStyle w:val="ConsPlusNormal1"/>
        <w:widowControl/>
        <w:ind w:hanging="0"/>
        <w:jc w:val="both"/>
        <w:rPr>
          <w:rFonts w:ascii="Times New Roman" w:hAnsi="Times New Roman"/>
          <w:sz w:val="20"/>
          <w:szCs w:val="20"/>
        </w:rPr>
      </w:pPr>
      <w:r>
        <w:rPr>
          <w:rFonts w:ascii="Times New Roman" w:hAnsi="Times New Roman"/>
          <w:sz w:val="20"/>
          <w:szCs w:val="20"/>
        </w:rPr>
        <w:t xml:space="preserve">9.1. </w:t>
      </w:r>
      <w:bookmarkStart w:id="7" w:name="_Hlk177570138"/>
      <w:r>
        <w:rPr>
          <w:rFonts w:ascii="Times New Roman" w:hAnsi="Times New Roman"/>
          <w:sz w:val="20"/>
          <w:szCs w:val="20"/>
        </w:rPr>
        <w:t>Настоящий Договор вступает в силу с момента заключения и действует до 3</w:t>
      </w:r>
      <w:r>
        <w:rPr>
          <w:rFonts w:ascii="Times New Roman" w:hAnsi="Times New Roman"/>
          <w:sz w:val="20"/>
          <w:szCs w:val="20"/>
        </w:rPr>
        <w:t>1</w:t>
      </w:r>
      <w:r>
        <w:rPr>
          <w:rFonts w:ascii="Times New Roman" w:hAnsi="Times New Roman"/>
          <w:sz w:val="20"/>
          <w:szCs w:val="20"/>
        </w:rPr>
        <w:t>.</w:t>
      </w:r>
      <w:r>
        <w:rPr>
          <w:rFonts w:ascii="Times New Roman" w:hAnsi="Times New Roman"/>
          <w:sz w:val="20"/>
          <w:szCs w:val="20"/>
        </w:rPr>
        <w:t>10</w:t>
      </w:r>
      <w:r>
        <w:rPr>
          <w:rFonts w:ascii="Times New Roman" w:hAnsi="Times New Roman"/>
          <w:sz w:val="20"/>
          <w:szCs w:val="20"/>
        </w:rPr>
        <w:t>.2026 г., а в части оплаты – до исполнения обязательств.</w:t>
      </w:r>
      <w:bookmarkEnd w:id="7"/>
    </w:p>
    <w:p>
      <w:pPr>
        <w:pStyle w:val="ConsPlusNormal1"/>
        <w:ind w:hanging="0"/>
        <w:jc w:val="both"/>
        <w:rPr>
          <w:rFonts w:ascii="Times New Roman" w:hAnsi="Times New Roman"/>
          <w:sz w:val="20"/>
          <w:szCs w:val="20"/>
        </w:rPr>
      </w:pPr>
      <w:r>
        <w:rPr>
          <w:rFonts w:ascii="Times New Roman" w:hAnsi="Times New Roman"/>
          <w:sz w:val="20"/>
          <w:szCs w:val="20"/>
        </w:rPr>
        <w:t>9.2. Расторжение Договора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Договора – в соответствии с действующим законодательством.</w:t>
      </w:r>
    </w:p>
    <w:p>
      <w:pPr>
        <w:pStyle w:val="ConsPlusNormal1"/>
        <w:widowControl/>
        <w:ind w:hanging="0"/>
        <w:jc w:val="both"/>
        <w:rPr>
          <w:rFonts w:ascii="Times New Roman" w:hAnsi="Times New Roman"/>
          <w:sz w:val="20"/>
          <w:szCs w:val="20"/>
        </w:rPr>
      </w:pPr>
      <w:r>
        <w:rPr>
          <w:rFonts w:ascii="Times New Roman" w:hAnsi="Times New Roman"/>
          <w:sz w:val="20"/>
          <w:szCs w:val="20"/>
        </w:rPr>
        <w:t>9.3. Заказчик вправе принять решение об одностороннем отказе от исполнения Договора в соответствии с действующим законодательством. В случае задержки поставки товара на 30 дней и более Заказчик имеет право расторгнуть Договор в одностороннем порядке.</w:t>
      </w:r>
    </w:p>
    <w:p>
      <w:pPr>
        <w:pStyle w:val="ConsPlusNormal1"/>
        <w:widowControl/>
        <w:ind w:hanging="0"/>
        <w:jc w:val="both"/>
        <w:rPr>
          <w:rFonts w:ascii="Times New Roman" w:hAnsi="Times New Roman"/>
          <w:sz w:val="20"/>
          <w:szCs w:val="20"/>
        </w:rPr>
      </w:pPr>
      <w:r>
        <w:rPr>
          <w:rFonts w:ascii="Times New Roman" w:hAnsi="Times New Roman"/>
          <w:sz w:val="20"/>
          <w:szCs w:val="20"/>
        </w:rPr>
        <w:t>9.4. Дополнительные соглашения к настоящему Договору, оформленные письменно и подписанные Сторонами, являются его неотъемлемыми частями.</w:t>
      </w:r>
    </w:p>
    <w:p>
      <w:pPr>
        <w:pStyle w:val="Normal"/>
        <w:shd w:val="clear" w:color="auto" w:fill="FFFFFF"/>
        <w:jc w:val="center"/>
        <w:rPr>
          <w:b/>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Поставщиком и Заказчиком Акта приемки  ф. 0510452.</w:t>
      </w:r>
    </w:p>
    <w:p>
      <w:pPr>
        <w:pStyle w:val="Normal"/>
        <w:shd w:val="clear" w:color="auto" w:fill="FFFFFF"/>
        <w:tabs>
          <w:tab w:val="clear" w:pos="708"/>
          <w:tab w:val="left" w:pos="540" w:leader="none"/>
          <w:tab w:val="left" w:pos="1248" w:leader="none"/>
        </w:tabs>
        <w:jc w:val="center"/>
        <w:rPr>
          <w:b/>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11.1.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Договора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Договору,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end="-142"/>
        <w:rPr/>
      </w:pPr>
      <w:r>
        <w:rPr/>
        <w:t>13.1. Все споры и разногласия, которые могут возникнуть по настоящему договору,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end="-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Договора (Договора,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end="-142"/>
        <w:rPr/>
      </w:pPr>
      <w:r>
        <w:rPr/>
        <w:t>13.3. Настоящий договор,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pPr>
        <w:pStyle w:val="Normal"/>
        <w:tabs>
          <w:tab w:val="clear" w:pos="708"/>
          <w:tab w:val="left" w:pos="540" w:leader="none"/>
        </w:tabs>
        <w:ind w:end="-142"/>
        <w:rPr/>
      </w:pPr>
      <w:r>
        <w:rPr/>
        <w:t>Любые приложения, изменения и дополнения к настоящему договору действительны и являются неотъемлемой частью настоящего договора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end="-142"/>
        <w:rPr/>
      </w:pPr>
      <w:r>
        <w:rPr/>
        <w:t>Стороны прямо договорились, что заключение договора в виде электронного документа с использованием ЭП не является препятствием для подписания дополнительных соглашений к договору на бумажном носителе собственноручными подписями уполномоченных представителей сторон.</w:t>
      </w:r>
    </w:p>
    <w:p>
      <w:pPr>
        <w:pStyle w:val="Normal"/>
        <w:tabs>
          <w:tab w:val="clear" w:pos="708"/>
          <w:tab w:val="left" w:pos="540" w:leader="none"/>
        </w:tabs>
        <w:ind w:end="-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end="-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end="-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end="-142"/>
        <w:rPr/>
      </w:pPr>
      <w:r>
        <w:rPr/>
        <w:t>13.7. Использование ЭП, владельцем которой является уполномоченное лицо стороны договора, с нарушением конфиденциальности соответствующего ключа не освобождает сторону договора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end="-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end="-142"/>
        <w:rPr/>
      </w:pPr>
      <w:r>
        <w:rPr/>
        <w:t>13.9. Настоящий договор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t>14. Адреса, реквизиты и подписи Сторон</w:t>
      </w:r>
    </w:p>
    <w:tbl>
      <w:tblPr>
        <w:tblW w:w="10456" w:type="dxa"/>
        <w:jc w:val="center"/>
        <w:tblInd w:w="0" w:type="dxa"/>
        <w:tblLayout w:type="fixed"/>
        <w:tblCellMar>
          <w:top w:w="0" w:type="dxa"/>
          <w:start w:w="108" w:type="dxa"/>
          <w:bottom w:w="0" w:type="dxa"/>
          <w:end w:w="108" w:type="dxa"/>
        </w:tblCellMar>
        <w:tblLook w:val="01e0" w:noHBand="0" w:noVBand="0" w:firstColumn="1" w:lastRow="1" w:lastColumn="1" w:firstRow="1"/>
      </w:tblPr>
      <w:tblGrid>
        <w:gridCol w:w="5632"/>
        <w:gridCol w:w="4824"/>
      </w:tblGrid>
      <w:tr>
        <w:trPr>
          <w:trHeight w:val="7632" w:hRule="atLeast"/>
        </w:trPr>
        <w:tc>
          <w:tcPr>
            <w:tcW w:w="5632" w:type="dxa"/>
            <w:tcBorders/>
          </w:tcPr>
          <w:p>
            <w:pPr>
              <w:pStyle w:val="Normal"/>
              <w:numPr>
                <w:ilvl w:val="0"/>
                <w:numId w:val="0"/>
              </w:numPr>
              <w:ind w:hanging="0" w:start="0"/>
              <w:jc w:val="both"/>
              <w:outlineLvl w:val="5"/>
              <w:rPr>
                <w:b/>
                <w:iCs/>
              </w:rPr>
            </w:pPr>
            <w:r>
              <w:rPr>
                <w:b/>
                <w:iCs/>
              </w:rPr>
            </w:r>
          </w:p>
          <w:p>
            <w:pPr>
              <w:pStyle w:val="Normal"/>
              <w:numPr>
                <w:ilvl w:val="0"/>
                <w:numId w:val="0"/>
              </w:numPr>
              <w:ind w:hanging="0" w:start="0"/>
              <w:jc w:val="both"/>
              <w:outlineLvl w:val="5"/>
              <w:rPr>
                <w:b/>
                <w:iCs/>
              </w:rPr>
            </w:pPr>
            <w:r>
              <w:rPr>
                <w:b/>
                <w:iCs/>
              </w:rPr>
              <w:t>Заказчик:</w:t>
            </w:r>
          </w:p>
          <w:p>
            <w:pPr>
              <w:pStyle w:val="Normal"/>
              <w:widowControl/>
              <w:jc w:val="start"/>
              <w:rPr>
                <w:rFonts w:eastAsia="Calibri"/>
                <w:sz w:val="20"/>
                <w:szCs w:val="20"/>
                <w:lang w:eastAsia="en-US"/>
              </w:rPr>
            </w:pPr>
            <w:r>
              <w:rPr>
                <w:rFonts w:eastAsia="Calibri"/>
                <w:b/>
                <w:bCs/>
                <w:sz w:val="20"/>
                <w:szCs w:val="20"/>
                <w:lang w:eastAsia="en-US"/>
              </w:rPr>
              <w:t xml:space="preserve">Федеральное государственное бюджетное научное учреждение «Научно-исследовательский институт комплексных проблем сердечно-сосудистых заболеваний»   </w:t>
            </w:r>
            <w:r>
              <w:rPr>
                <w:rFonts w:eastAsia="Calibri"/>
                <w:sz w:val="20"/>
                <w:szCs w:val="20"/>
                <w:lang w:eastAsia="en-US"/>
              </w:rPr>
              <w:t xml:space="preserve">   </w:t>
            </w:r>
          </w:p>
          <w:p>
            <w:pPr>
              <w:pStyle w:val="Normal"/>
              <w:spacing w:lineRule="auto" w:line="288"/>
              <w:ind w:end="540"/>
              <w:rPr/>
            </w:pPr>
            <w:r>
              <w:rPr>
                <w:sz w:val="20"/>
                <w:szCs w:val="20"/>
                <w:shd w:fill="FFFFFF" w:val="clear"/>
              </w:rPr>
              <w:t>Юридический и фактический адрес:</w:t>
            </w:r>
          </w:p>
          <w:p>
            <w:pPr>
              <w:pStyle w:val="Normal"/>
              <w:spacing w:lineRule="auto" w:line="288"/>
              <w:ind w:end="540"/>
              <w:rPr>
                <w:sz w:val="20"/>
                <w:szCs w:val="20"/>
                <w:shd w:fill="FFFFFF" w:val="clear"/>
              </w:rPr>
            </w:pPr>
            <w:r>
              <w:rPr>
                <w:sz w:val="20"/>
                <w:szCs w:val="20"/>
                <w:shd w:fill="FFFFFF" w:val="clear"/>
              </w:rPr>
              <w:t>650002, г. Кемерово, бульвар имени академика Л.С. Барбараша, стр. 6</w:t>
            </w:r>
          </w:p>
          <w:p>
            <w:pPr>
              <w:pStyle w:val="Normal"/>
              <w:spacing w:lineRule="auto" w:line="288"/>
              <w:ind w:end="540"/>
              <w:rPr>
                <w:sz w:val="20"/>
                <w:szCs w:val="20"/>
                <w:shd w:fill="FFFFFF" w:val="clear"/>
              </w:rPr>
            </w:pPr>
            <w:r>
              <w:rPr>
                <w:sz w:val="20"/>
                <w:szCs w:val="20"/>
                <w:shd w:fill="FFFFFF" w:val="clear"/>
              </w:rPr>
              <w:t>Тел.: +7 (3842) 34-53-72</w:t>
            </w:r>
          </w:p>
          <w:p>
            <w:pPr>
              <w:pStyle w:val="Normal"/>
              <w:spacing w:lineRule="auto" w:line="288"/>
              <w:ind w:end="540"/>
              <w:rPr>
                <w:sz w:val="20"/>
                <w:szCs w:val="20"/>
                <w:shd w:fill="FFFFFF" w:val="clear"/>
              </w:rPr>
            </w:pPr>
            <w:r>
              <w:rPr>
                <w:sz w:val="20"/>
                <w:szCs w:val="20"/>
                <w:shd w:fill="FFFFFF" w:val="clear"/>
              </w:rPr>
              <w:t>Банковские реквизиты:</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20396Х66880)</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22396Х66880)</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21396Х66880)</w:t>
            </w:r>
          </w:p>
          <w:p>
            <w:pPr>
              <w:pStyle w:val="Normal"/>
              <w:spacing w:lineRule="auto" w:line="288"/>
              <w:ind w:end="540"/>
              <w:rPr>
                <w:sz w:val="20"/>
                <w:szCs w:val="20"/>
                <w:shd w:fill="FFFFFF" w:val="clear"/>
              </w:rPr>
            </w:pPr>
            <w:r>
              <w:rPr>
                <w:sz w:val="20"/>
                <w:szCs w:val="20"/>
                <w:shd w:fill="FFFFFF" w:val="clear"/>
              </w:rPr>
              <w:t>ИНН 4205012290  КПП 420501001</w:t>
            </w:r>
          </w:p>
          <w:p>
            <w:pPr>
              <w:pStyle w:val="Normal"/>
              <w:spacing w:lineRule="auto" w:line="288"/>
              <w:ind w:end="540"/>
              <w:rPr>
                <w:sz w:val="20"/>
                <w:szCs w:val="20"/>
                <w:shd w:fill="FFFFFF" w:val="clear"/>
              </w:rPr>
            </w:pPr>
            <w:r>
              <w:rPr>
                <w:sz w:val="20"/>
                <w:szCs w:val="20"/>
                <w:shd w:fill="FFFFFF" w:val="clear"/>
              </w:rPr>
              <w:t>КС 03214643000000015106</w:t>
            </w:r>
          </w:p>
          <w:p>
            <w:pPr>
              <w:pStyle w:val="Normal"/>
              <w:spacing w:lineRule="auto" w:line="288"/>
              <w:ind w:end="540"/>
              <w:rPr>
                <w:sz w:val="20"/>
                <w:szCs w:val="20"/>
                <w:shd w:fill="FFFFFF" w:val="clear"/>
              </w:rPr>
            </w:pPr>
            <w:r>
              <w:rPr>
                <w:sz w:val="20"/>
                <w:szCs w:val="20"/>
                <w:shd w:fill="FFFFFF" w:val="clear"/>
              </w:rPr>
              <w:t>ОКЦ № 1 СибГУ Банка России//УФК по Новосибирской области, г. Новосибирск</w:t>
            </w:r>
          </w:p>
          <w:p>
            <w:pPr>
              <w:pStyle w:val="Normal"/>
              <w:spacing w:lineRule="auto" w:line="288"/>
              <w:ind w:end="540"/>
              <w:rPr>
                <w:sz w:val="20"/>
                <w:szCs w:val="20"/>
                <w:shd w:fill="FFFFFF" w:val="clear"/>
              </w:rPr>
            </w:pPr>
            <w:r>
              <w:rPr>
                <w:sz w:val="20"/>
                <w:szCs w:val="20"/>
                <w:shd w:fill="FFFFFF" w:val="clear"/>
              </w:rPr>
              <w:t>БИК 015004950</w:t>
            </w:r>
          </w:p>
          <w:p>
            <w:pPr>
              <w:pStyle w:val="Normal"/>
              <w:spacing w:lineRule="auto" w:line="288"/>
              <w:ind w:end="540"/>
              <w:rPr>
                <w:sz w:val="20"/>
                <w:szCs w:val="20"/>
                <w:shd w:fill="FFFFFF" w:val="clear"/>
              </w:rPr>
            </w:pPr>
            <w:r>
              <w:rPr>
                <w:sz w:val="20"/>
                <w:szCs w:val="20"/>
                <w:shd w:fill="FFFFFF" w:val="clear"/>
              </w:rPr>
              <w:t>ЕКС 40102810445370000043</w:t>
            </w:r>
          </w:p>
          <w:p>
            <w:pPr>
              <w:pStyle w:val="Normal"/>
              <w:spacing w:lineRule="auto" w:line="288"/>
              <w:ind w:end="540"/>
              <w:rPr>
                <w:sz w:val="20"/>
                <w:szCs w:val="20"/>
                <w:shd w:fill="FFFFFF" w:val="clear"/>
              </w:rPr>
            </w:pPr>
            <w:r>
              <w:rPr>
                <w:sz w:val="20"/>
                <w:szCs w:val="20"/>
                <w:shd w:fill="FFFFFF" w:val="clear"/>
              </w:rPr>
              <w:t>КБК 00000000000000000130</w:t>
            </w:r>
          </w:p>
          <w:p>
            <w:pPr>
              <w:pStyle w:val="Normal"/>
              <w:spacing w:lineRule="auto" w:line="288"/>
              <w:ind w:end="540"/>
              <w:rPr>
                <w:sz w:val="20"/>
                <w:szCs w:val="20"/>
                <w:shd w:fill="FFFFFF" w:val="clear"/>
              </w:rPr>
            </w:pPr>
            <w:r>
              <w:rPr>
                <w:sz w:val="20"/>
                <w:szCs w:val="20"/>
                <w:shd w:fill="FFFFFF" w:val="clear"/>
              </w:rPr>
              <w:t>ОГРН 1034205024479</w:t>
            </w:r>
          </w:p>
          <w:p>
            <w:pPr>
              <w:pStyle w:val="Normal"/>
              <w:spacing w:lineRule="auto" w:line="288"/>
              <w:ind w:end="540"/>
              <w:rPr>
                <w:sz w:val="20"/>
                <w:szCs w:val="20"/>
                <w:shd w:fill="FFFFFF" w:val="clear"/>
              </w:rPr>
            </w:pPr>
            <w:r>
              <w:rPr>
                <w:sz w:val="20"/>
                <w:szCs w:val="20"/>
                <w:shd w:fill="FFFFFF" w:val="clear"/>
              </w:rPr>
              <w:t>ОКПО 55608705</w:t>
            </w:r>
          </w:p>
          <w:p>
            <w:pPr>
              <w:pStyle w:val="Normal"/>
              <w:spacing w:lineRule="auto" w:line="288"/>
              <w:ind w:end="540"/>
              <w:rPr>
                <w:sz w:val="20"/>
                <w:szCs w:val="20"/>
                <w:shd w:fill="FFFFFF" w:val="clear"/>
              </w:rPr>
            </w:pPr>
            <w:r>
              <w:rPr>
                <w:sz w:val="20"/>
                <w:szCs w:val="20"/>
                <w:shd w:fill="FFFFFF" w:val="clear"/>
              </w:rPr>
              <w:t>ОКАТО 32401000000</w:t>
            </w:r>
          </w:p>
          <w:p>
            <w:pPr>
              <w:pStyle w:val="Normal"/>
              <w:spacing w:lineRule="auto" w:line="288"/>
              <w:ind w:end="540"/>
              <w:rPr>
                <w:sz w:val="20"/>
                <w:szCs w:val="20"/>
                <w:shd w:fill="FFFFFF" w:val="clear"/>
              </w:rPr>
            </w:pPr>
            <w:r>
              <w:rPr>
                <w:sz w:val="20"/>
                <w:szCs w:val="20"/>
                <w:shd w:fill="FFFFFF" w:val="clear"/>
              </w:rPr>
              <w:t>ОКТМО 32701000</w:t>
            </w:r>
          </w:p>
          <w:p>
            <w:pPr>
              <w:pStyle w:val="Normal"/>
              <w:spacing w:lineRule="auto" w:line="288"/>
              <w:ind w:end="540"/>
              <w:rPr>
                <w:sz w:val="20"/>
                <w:szCs w:val="20"/>
                <w:shd w:fill="FFFFFF" w:val="clear"/>
              </w:rPr>
            </w:pPr>
            <w:r>
              <w:rPr>
                <w:sz w:val="20"/>
                <w:szCs w:val="20"/>
                <w:shd w:fill="FFFFFF" w:val="clear"/>
              </w:rPr>
              <w:t>ОКОГУ 1330612</w:t>
            </w:r>
          </w:p>
          <w:p>
            <w:pPr>
              <w:pStyle w:val="Normal"/>
              <w:spacing w:lineRule="auto" w:line="288"/>
              <w:ind w:end="540"/>
              <w:rPr>
                <w:sz w:val="20"/>
                <w:szCs w:val="20"/>
                <w:shd w:fill="FFFFFF" w:val="clear"/>
              </w:rPr>
            </w:pPr>
            <w:r>
              <w:rPr>
                <w:sz w:val="20"/>
                <w:szCs w:val="20"/>
                <w:shd w:fill="FFFFFF" w:val="clear"/>
              </w:rPr>
              <w:t>ОКФС 12</w:t>
            </w:r>
          </w:p>
          <w:p>
            <w:pPr>
              <w:pStyle w:val="Normal"/>
              <w:spacing w:lineRule="auto" w:line="288"/>
              <w:ind w:end="540"/>
              <w:rPr>
                <w:sz w:val="20"/>
                <w:szCs w:val="20"/>
                <w:shd w:fill="FFFFFF" w:val="clear"/>
              </w:rPr>
            </w:pPr>
            <w:r>
              <w:rPr>
                <w:sz w:val="20"/>
                <w:szCs w:val="20"/>
                <w:shd w:fill="FFFFFF" w:val="clear"/>
              </w:rPr>
              <w:t>ОКОПФ 75103</w:t>
            </w:r>
          </w:p>
          <w:p>
            <w:pPr>
              <w:pStyle w:val="Normal"/>
              <w:spacing w:lineRule="auto" w:line="288"/>
              <w:ind w:end="540"/>
              <w:rPr>
                <w:sz w:val="20"/>
                <w:szCs w:val="20"/>
                <w:shd w:fill="FFFFFF" w:val="clear"/>
              </w:rPr>
            </w:pPr>
            <w:r>
              <w:rPr>
                <w:sz w:val="20"/>
                <w:szCs w:val="20"/>
                <w:shd w:fill="FFFFFF" w:val="clear"/>
              </w:rPr>
              <w:t>ОКВЭД 72.19</w:t>
            </w:r>
          </w:p>
          <w:p>
            <w:pPr>
              <w:pStyle w:val="Normal"/>
              <w:spacing w:lineRule="auto" w:line="288"/>
              <w:ind w:end="540"/>
              <w:rPr>
                <w:sz w:val="20"/>
                <w:szCs w:val="20"/>
                <w:shd w:fill="FFFFFF" w:val="clear"/>
              </w:rPr>
            </w:pPr>
            <w:r>
              <w:rPr>
                <w:sz w:val="20"/>
                <w:szCs w:val="20"/>
                <w:shd w:fill="FFFFFF" w:val="clear"/>
              </w:rPr>
              <w:t>Тел/факс: +7 (3842) 64-33-08</w:t>
            </w:r>
          </w:p>
          <w:p>
            <w:pPr>
              <w:pStyle w:val="Normal"/>
              <w:spacing w:lineRule="auto" w:line="288"/>
              <w:ind w:end="540"/>
              <w:rPr>
                <w:sz w:val="20"/>
                <w:szCs w:val="20"/>
                <w:shd w:fill="FFFFFF" w:val="clear"/>
              </w:rPr>
            </w:pPr>
            <w:r>
              <w:rPr>
                <w:sz w:val="20"/>
                <w:szCs w:val="20"/>
                <w:shd w:fill="FFFFFF" w:val="clear"/>
              </w:rPr>
              <w:t>E-mail:  reception@kemcardio.ru</w:t>
            </w:r>
          </w:p>
          <w:p>
            <w:pPr>
              <w:pStyle w:val="11"/>
              <w:rPr>
                <w:rFonts w:ascii="Times New Roman" w:hAnsi="Times New Roman" w:cs="Times New Roman"/>
                <w:sz w:val="20"/>
                <w:szCs w:val="20"/>
              </w:rPr>
            </w:pPr>
            <w:r>
              <w:rPr>
                <w:rFonts w:cs="Times New Roman" w:ascii="Times New Roman" w:hAnsi="Times New Roman"/>
                <w:sz w:val="20"/>
                <w:szCs w:val="20"/>
              </w:rPr>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материально-технического снабжения</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pPr>
            <w:r>
              <w:rPr/>
              <w:t>____________  А.Е.Кузнецова</w:t>
            </w:r>
          </w:p>
          <w:p>
            <w:pPr>
              <w:pStyle w:val="Normal"/>
              <w:rPr/>
            </w:pPr>
            <w:r>
              <w:rPr/>
              <w:t>м.п.</w:t>
            </w:r>
          </w:p>
        </w:tc>
        <w:tc>
          <w:tcPr>
            <w:tcW w:w="4824" w:type="dxa"/>
            <w:tcBorders/>
          </w:tcPr>
          <w:p>
            <w:pPr>
              <w:pStyle w:val="Normal"/>
              <w:jc w:val="both"/>
              <w:rPr/>
            </w:pPr>
            <w:r>
              <w:rPr/>
            </w:r>
          </w:p>
          <w:p>
            <w:pPr>
              <w:pStyle w:val="Normal"/>
              <w:jc w:val="both"/>
              <w:rPr>
                <w:b/>
                <w:bCs/>
              </w:rPr>
            </w:pPr>
            <w:r>
              <w:rPr>
                <w:b/>
                <w:bCs/>
              </w:rPr>
              <w:t>Поставщик:</w:t>
            </w:r>
          </w:p>
          <w:p>
            <w:pPr>
              <w:pStyle w:val="Normal"/>
              <w:rPr>
                <w:rFonts w:eastAsia="Calibri"/>
                <w:b/>
                <w:bCs/>
                <w:lang w:eastAsia="en-US"/>
              </w:rPr>
            </w:pPr>
            <w:r>
              <w:rPr>
                <w:rFonts w:eastAsia="Calibri"/>
                <w:lang w:eastAsia="en-US"/>
              </w:rPr>
            </w:r>
          </w:p>
          <w:p>
            <w:pPr>
              <w:pStyle w:val="Normal"/>
              <w:rPr>
                <w:rFonts w:eastAsia="Calibri"/>
                <w:lang w:eastAsia="en-US"/>
              </w:rPr>
            </w:pPr>
            <w:r>
              <w:rPr>
                <w:rFonts w:eastAsia="Calibri"/>
                <w:lang w:eastAsia="en-US"/>
              </w:rPr>
            </w:r>
          </w:p>
          <w:p>
            <w:pPr>
              <w:pStyle w:val="Normal"/>
              <w:rPr>
                <w:rFonts w:eastAsia="Calibri"/>
                <w:lang w:eastAsia="en-US"/>
              </w:rPr>
            </w:pPr>
            <w:r>
              <w:rPr>
                <w:rFonts w:eastAsia="Calibri"/>
                <w:lang w:eastAsia="en-US"/>
              </w:rPr>
            </w:r>
          </w:p>
          <w:p>
            <w:pPr>
              <w:pStyle w:val="Normal"/>
              <w:rPr>
                <w:rFonts w:eastAsia="Calibri"/>
                <w:lang w:eastAsia="en-US"/>
              </w:rPr>
            </w:pPr>
            <w:r>
              <w:rPr>
                <w:rFonts w:eastAsia="Calibri"/>
                <w:lang w:eastAsia="en-US"/>
              </w:rPr>
            </w:r>
          </w:p>
          <w:p>
            <w:pPr>
              <w:pStyle w:val="Normal"/>
              <w:rPr>
                <w:rFonts w:eastAsia="Calibri"/>
                <w:lang w:eastAsia="en-US"/>
              </w:rPr>
            </w:pPr>
            <w:r>
              <w:rPr>
                <w:rFonts w:eastAsia="Calibri"/>
                <w:lang w:eastAsia="en-US"/>
              </w:rPr>
            </w:r>
          </w:p>
          <w:p>
            <w:pPr>
              <w:pStyle w:val="Normal"/>
              <w:rPr>
                <w:rFonts w:eastAsia="Calibri"/>
                <w:lang w:eastAsia="en-US"/>
              </w:rPr>
            </w:pPr>
            <w:r>
              <w:rPr>
                <w:rFonts w:eastAsia="Calibri"/>
                <w:lang w:eastAsia="en-US"/>
              </w:rPr>
            </w:r>
          </w:p>
          <w:p>
            <w:pPr>
              <w:pStyle w:val="Normal"/>
              <w:rPr>
                <w:rFonts w:eastAsia="Calibri"/>
                <w:lang w:eastAsia="en-US"/>
              </w:rPr>
            </w:pPr>
            <w:r>
              <w:rPr>
                <w:rFonts w:eastAsia="Calibri"/>
                <w:lang w:eastAsia="en-US"/>
              </w:rPr>
            </w:r>
          </w:p>
          <w:p>
            <w:pPr>
              <w:pStyle w:val="Normal"/>
              <w:rPr>
                <w:rFonts w:eastAsia="Calibri"/>
                <w:lang w:eastAsia="en-US"/>
              </w:rPr>
            </w:pPr>
            <w:r>
              <w:rPr>
                <w:rFonts w:eastAsia="Calibri"/>
                <w:lang w:eastAsia="en-US"/>
              </w:rPr>
            </w:r>
          </w:p>
          <w:p>
            <w:pPr>
              <w:pStyle w:val="Normal"/>
              <w:rPr>
                <w:rFonts w:eastAsia="Calibri"/>
                <w:lang w:eastAsia="en-US"/>
              </w:rPr>
            </w:pPr>
            <w:r>
              <w:rPr>
                <w:rFonts w:eastAsia="Calibri"/>
                <w:lang w:eastAsia="en-US"/>
              </w:rPr>
            </w:r>
          </w:p>
          <w:p>
            <w:pPr>
              <w:pStyle w:val="Normal"/>
              <w:rPr>
                <w:rFonts w:eastAsia="Calibri"/>
                <w:lang w:eastAsia="en-US"/>
              </w:rPr>
            </w:pPr>
            <w:r>
              <w:rPr>
                <w:rFonts w:eastAsia="Calibri"/>
                <w:lang w:eastAsia="en-US"/>
              </w:rPr>
            </w:r>
          </w:p>
          <w:p>
            <w:pPr>
              <w:pStyle w:val="Normal"/>
              <w:rPr>
                <w:rFonts w:eastAsia="Calibri"/>
                <w:lang w:eastAsia="en-US"/>
              </w:rPr>
            </w:pPr>
            <w:r>
              <w:rPr>
                <w:rFonts w:eastAsia="Calibri"/>
                <w:lang w:eastAsia="en-US"/>
              </w:rPr>
            </w:r>
          </w:p>
          <w:p>
            <w:pPr>
              <w:pStyle w:val="Normal"/>
              <w:rPr>
                <w:rFonts w:eastAsia="Calibri"/>
                <w:lang w:eastAsia="en-US"/>
              </w:rPr>
            </w:pPr>
            <w:r>
              <w:rPr>
                <w:rFonts w:eastAsia="Calibri"/>
                <w:lang w:eastAsia="en-US"/>
              </w:rPr>
            </w:r>
          </w:p>
          <w:p>
            <w:pPr>
              <w:pStyle w:val="Normal"/>
              <w:rPr>
                <w:rFonts w:eastAsia="Calibri"/>
                <w:lang w:eastAsia="en-US"/>
              </w:rPr>
            </w:pPr>
            <w:r>
              <w:rPr>
                <w:rFonts w:eastAsia="Calibri"/>
                <w:lang w:eastAsia="en-US"/>
              </w:rPr>
            </w:r>
          </w:p>
          <w:p>
            <w:pPr>
              <w:pStyle w:val="Normal"/>
              <w:rPr>
                <w:rFonts w:eastAsia="Calibri"/>
                <w:lang w:eastAsia="en-US"/>
              </w:rPr>
            </w:pPr>
            <w:r>
              <w:rPr>
                <w:rFonts w:eastAsia="Calibri"/>
                <w:lang w:eastAsia="en-US"/>
              </w:rPr>
            </w:r>
          </w:p>
          <w:p>
            <w:pPr>
              <w:pStyle w:val="Normal"/>
              <w:rPr>
                <w:rFonts w:eastAsia="Calibri"/>
                <w:lang w:eastAsia="en-US"/>
              </w:rPr>
            </w:pPr>
            <w:r>
              <w:rPr>
                <w:rFonts w:eastAsia="Calibri"/>
                <w:lang w:eastAsia="en-US"/>
              </w:rPr>
            </w:r>
          </w:p>
          <w:p>
            <w:pPr>
              <w:pStyle w:val="Normal"/>
              <w:rPr>
                <w:rFonts w:eastAsia="Calibri"/>
                <w:lang w:eastAsia="en-US"/>
              </w:rPr>
            </w:pPr>
            <w:r>
              <w:rPr>
                <w:rFonts w:eastAsia="Calibri"/>
                <w:lang w:eastAsia="en-US"/>
              </w:rPr>
            </w:r>
          </w:p>
          <w:p>
            <w:pPr>
              <w:pStyle w:val="Normal"/>
              <w:rPr>
                <w:rFonts w:eastAsia="Calibri"/>
                <w:lang w:eastAsia="en-US"/>
              </w:rPr>
            </w:pPr>
            <w:r>
              <w:rPr>
                <w:rFonts w:eastAsia="Calibri"/>
                <w:lang w:eastAsia="en-US"/>
              </w:rPr>
            </w:r>
          </w:p>
          <w:p>
            <w:pPr>
              <w:pStyle w:val="Normal"/>
              <w:rPr>
                <w:rFonts w:eastAsia="Calibri"/>
                <w:lang w:eastAsia="en-US"/>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0"/>
        </w:sectPr>
      </w:pPr>
    </w:p>
    <w:p>
      <w:pPr>
        <w:pStyle w:val="Normal"/>
        <w:spacing w:before="0" w:after="60"/>
        <w:jc w:val="end"/>
        <w:rPr/>
      </w:pPr>
      <w:r>
        <w:rPr/>
        <w:t xml:space="preserve">Приложение №1 </w:t>
      </w:r>
    </w:p>
    <w:p>
      <w:pPr>
        <w:pStyle w:val="Normal"/>
        <w:spacing w:before="0" w:after="60"/>
        <w:jc w:val="end"/>
        <w:rPr/>
      </w:pPr>
      <w:r>
        <w:rPr/>
        <w:t xml:space="preserve">                                                                                                                         </w:t>
      </w:r>
      <w:bookmarkStart w:id="8" w:name="_Hlk180496427"/>
      <w:r>
        <w:rPr/>
        <w:t xml:space="preserve">к Договору </w:t>
      </w:r>
      <w:r>
        <w:rPr>
          <w:b/>
          <w:bCs/>
        </w:rPr>
        <w:t>№</w:t>
      </w:r>
      <w:r>
        <w:rPr>
          <w:rFonts w:eastAsia="Times New Roman" w:cs="Times New Roman"/>
          <w:b/>
          <w:bCs/>
          <w:color w:val="auto"/>
          <w:kern w:val="0"/>
          <w:sz w:val="20"/>
          <w:szCs w:val="20"/>
          <w:lang w:val="ru-RU" w:eastAsia="ru-RU" w:bidi="ar-SA"/>
        </w:rPr>
        <w:t>_</w:t>
      </w:r>
      <w:r>
        <w:rPr>
          <w:rFonts w:eastAsia="Times New Roman" w:cs="Times New Roman"/>
          <w:b/>
          <w:bCs/>
          <w:color w:val="auto"/>
          <w:kern w:val="0"/>
          <w:sz w:val="20"/>
          <w:szCs w:val="20"/>
          <w:lang w:val="ru-RU" w:eastAsia="ru-RU" w:bidi="ar-SA"/>
        </w:rPr>
        <w:t>_</w:t>
      </w:r>
      <w:r>
        <w:rPr>
          <w:rFonts w:eastAsia="Times New Roman" w:cs="Times New Roman"/>
          <w:b/>
          <w:bCs/>
          <w:color w:val="auto"/>
          <w:kern w:val="0"/>
          <w:sz w:val="20"/>
          <w:szCs w:val="20"/>
          <w:lang w:val="ru-RU" w:eastAsia="ru-RU" w:bidi="ar-SA"/>
        </w:rPr>
        <w:t>_</w:t>
      </w:r>
      <w:r>
        <w:rPr>
          <w:rFonts w:eastAsia="Times New Roman" w:cs="Times New Roman"/>
          <w:b/>
          <w:bCs/>
          <w:color w:val="auto"/>
          <w:kern w:val="0"/>
          <w:sz w:val="20"/>
          <w:szCs w:val="20"/>
          <w:lang w:val="ru-RU" w:eastAsia="ru-RU" w:bidi="ar-SA"/>
        </w:rPr>
        <w:t>_</w:t>
      </w:r>
      <w:r>
        <w:rPr>
          <w:rFonts w:eastAsia="Times New Roman" w:cs="Times New Roman"/>
          <w:b/>
          <w:bCs/>
          <w:color w:val="auto"/>
          <w:kern w:val="0"/>
          <w:sz w:val="20"/>
          <w:szCs w:val="20"/>
          <w:lang w:val="ru-RU" w:eastAsia="ru-RU" w:bidi="ar-SA"/>
        </w:rPr>
        <w:t>_</w:t>
      </w:r>
      <w:r>
        <w:rPr>
          <w:rFonts w:eastAsia="Times New Roman" w:cs="Times New Roman"/>
          <w:b/>
          <w:bCs/>
          <w:color w:val="auto"/>
          <w:kern w:val="0"/>
          <w:sz w:val="20"/>
          <w:szCs w:val="20"/>
          <w:lang w:val="ru-RU" w:eastAsia="ru-RU" w:bidi="ar-SA"/>
        </w:rPr>
        <w:t>_</w:t>
      </w:r>
      <w:r>
        <w:rPr>
          <w:rFonts w:eastAsia="Times New Roman" w:cs="Times New Roman"/>
          <w:b/>
          <w:bCs/>
          <w:color w:val="auto"/>
          <w:kern w:val="0"/>
          <w:sz w:val="20"/>
          <w:szCs w:val="20"/>
          <w:lang w:val="ru-RU" w:eastAsia="ru-RU" w:bidi="ar-SA"/>
        </w:rPr>
        <w:t>_</w:t>
      </w:r>
    </w:p>
    <w:p>
      <w:pPr>
        <w:pStyle w:val="Normal"/>
        <w:spacing w:before="0" w:after="60"/>
        <w:jc w:val="end"/>
        <w:rPr>
          <w:b/>
          <w:bCs/>
        </w:rPr>
      </w:pPr>
      <w:r>
        <w:rPr/>
        <w:t xml:space="preserve">                                                                                                                                </w:t>
      </w:r>
      <w:r>
        <w:rPr>
          <w:rFonts w:eastAsia="Calibri"/>
          <w:lang w:eastAsia="en-US"/>
        </w:rPr>
        <w:t>«______» _________ 2026г.</w:t>
      </w:r>
      <w:bookmarkEnd w:id="8"/>
    </w:p>
    <w:p>
      <w:pPr>
        <w:pStyle w:val="Normal"/>
        <w:spacing w:before="0" w:after="60"/>
        <w:jc w:val="center"/>
        <w:rPr>
          <w:b/>
          <w:bCs/>
          <w:sz w:val="24"/>
          <w:szCs w:val="24"/>
        </w:rPr>
      </w:pPr>
      <w:r>
        <w:rPr>
          <w:b/>
          <w:bCs/>
          <w:sz w:val="24"/>
          <w:szCs w:val="24"/>
        </w:rPr>
      </w:r>
    </w:p>
    <w:p>
      <w:pPr>
        <w:pStyle w:val="Normal"/>
        <w:spacing w:before="0" w:after="60"/>
        <w:jc w:val="center"/>
        <w:rPr>
          <w:b/>
          <w:bCs/>
        </w:rPr>
      </w:pPr>
      <w:r>
        <w:rPr>
          <w:b/>
          <w:bCs/>
        </w:rPr>
        <w:t>Спецификация</w:t>
      </w:r>
    </w:p>
    <w:p>
      <w:pPr>
        <w:pStyle w:val="Normal"/>
        <w:spacing w:before="0" w:after="60"/>
        <w:rPr>
          <w:b/>
          <w:bCs/>
          <w:sz w:val="24"/>
          <w:szCs w:val="24"/>
        </w:rPr>
      </w:pPr>
      <w:r>
        <w:rPr>
          <w:b/>
          <w:bCs/>
          <w:sz w:val="24"/>
          <w:szCs w:val="24"/>
        </w:rPr>
        <mc:AlternateContent>
          <mc:Choice Requires="wps">
            <w:drawing>
              <wp:anchor behindDoc="0" distT="0" distB="0" distL="114300" distR="114300" simplePos="0" locked="0" layoutInCell="0" allowOverlap="1" relativeHeight="2">
                <wp:simplePos x="0" y="0"/>
                <wp:positionH relativeFrom="page">
                  <wp:posOffset>426085</wp:posOffset>
                </wp:positionH>
                <wp:positionV relativeFrom="paragraph">
                  <wp:posOffset>603250</wp:posOffset>
                </wp:positionV>
                <wp:extent cx="10692130" cy="5332095"/>
                <wp:effectExtent l="0" t="0" r="0" b="0"/>
                <wp:wrapSquare wrapText="bothSides"/>
                <wp:docPr id="1" name="Врезка1"/>
                <a:graphic xmlns:a="http://schemas.openxmlformats.org/drawingml/2006/main">
                  <a:graphicData uri="http://schemas.microsoft.com/office/word/2010/wordprocessingShape">
                    <wps:wsp>
                      <wps:cNvSpPr/>
                      <wps:spPr>
                        <a:xfrm>
                          <a:off x="0" y="0"/>
                          <a:ext cx="10692000" cy="5331960"/>
                        </a:xfrm>
                        <a:prstGeom prst="rect">
                          <a:avLst/>
                        </a:prstGeom>
                        <a:noFill/>
                        <a:ln w="0">
                          <a:noFill/>
                        </a:ln>
                      </wps:spPr>
                      <wps:style>
                        <a:lnRef idx="0"/>
                        <a:fillRef idx="0"/>
                        <a:effectRef idx="0"/>
                        <a:fontRef idx="minor"/>
                      </wps:style>
                      <wps:txbx>
                        <w:txbxContent>
                          <w:p>
                            <w:pPr>
                              <w:pStyle w:val="BodyText"/>
                              <w:rPr>
                                <w:color w:val="000000"/>
                              </w:rPr>
                            </w:pPr>
                            <w:r>
                              <w:rPr>
                                <w:color w:val="000000"/>
                              </w:rPr>
                            </w:r>
                          </w:p>
                          <w:tbl>
                            <w:tblPr>
                              <w:tblW w:w="17190" w:type="dxa"/>
                              <w:jc w:val="start"/>
                              <w:tblInd w:w="916" w:type="dxa"/>
                              <w:tblLayout w:type="fixed"/>
                              <w:tblCellMar>
                                <w:top w:w="0" w:type="dxa"/>
                                <w:start w:w="108" w:type="dxa"/>
                                <w:bottom w:w="0" w:type="dxa"/>
                                <w:end w:w="108" w:type="dxa"/>
                              </w:tblCellMar>
                              <w:tblLook w:val="01e0" w:noHBand="0" w:noVBand="0" w:firstColumn="1" w:lastRow="1" w:lastColumn="1" w:firstRow="1"/>
                            </w:tblPr>
                            <w:tblGrid>
                              <w:gridCol w:w="739"/>
                              <w:gridCol w:w="5110"/>
                              <w:gridCol w:w="375"/>
                              <w:gridCol w:w="762"/>
                              <w:gridCol w:w="235"/>
                              <w:gridCol w:w="899"/>
                              <w:gridCol w:w="997"/>
                              <w:gridCol w:w="1468"/>
                              <w:gridCol w:w="1650"/>
                              <w:gridCol w:w="1157"/>
                              <w:gridCol w:w="1843"/>
                              <w:gridCol w:w="1955"/>
                            </w:tblGrid>
                            <w:tr>
                              <w:trPr>
                                <w:trHeight w:val="572" w:hRule="atLeast"/>
                              </w:trPr>
                              <w:tc>
                                <w:tcPr>
                                  <w:tcW w:w="73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before="0" w:after="0"/>
                                    <w:ind w:hanging="0" w:start="170" w:end="0"/>
                                    <w:jc w:val="start"/>
                                    <w:rPr/>
                                  </w:pPr>
                                  <w:r>
                                    <w:rPr/>
                                    <w:t>№</w:t>
                                  </w:r>
                                </w:p>
                                <w:p>
                                  <w:pPr>
                                    <w:pStyle w:val="Normal"/>
                                    <w:widowControl w:val="false"/>
                                    <w:bidi w:val="0"/>
                                    <w:spacing w:before="0" w:after="0"/>
                                    <w:ind w:hanging="0" w:start="170" w:end="0"/>
                                    <w:jc w:val="start"/>
                                    <w:rPr/>
                                  </w:pPr>
                                  <w:r>
                                    <w:rPr/>
                                    <w:t>п/п</w:t>
                                  </w:r>
                                </w:p>
                              </w:tc>
                              <w:tc>
                                <w:tcPr>
                                  <w:tcW w:w="548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before="0" w:after="0"/>
                                    <w:ind w:hanging="0" w:start="0" w:end="0"/>
                                    <w:jc w:val="center"/>
                                    <w:rPr/>
                                  </w:pPr>
                                  <w:r>
                                    <w:rPr/>
                                    <w:t>Наименование, минимальные технические (качественные) характеристики  товара</w:t>
                                  </w:r>
                                </w:p>
                              </w:tc>
                              <w:tc>
                                <w:tcPr>
                                  <w:tcW w:w="1896" w:type="dxa"/>
                                  <w:gridSpan w:val="3"/>
                                  <w:tcBorders>
                                    <w:top w:val="single" w:sz="4" w:space="0" w:color="000000"/>
                                    <w:start w:val="single" w:sz="4" w:space="0" w:color="000000"/>
                                    <w:bottom w:val="single" w:sz="4" w:space="0" w:color="000000"/>
                                    <w:end w:val="single" w:sz="4" w:space="0" w:color="000000"/>
                                  </w:tcBorders>
                                </w:tcPr>
                                <w:p>
                                  <w:pPr>
                                    <w:pStyle w:val="Normal"/>
                                    <w:widowControl w:val="false"/>
                                    <w:bidi w:val="0"/>
                                    <w:spacing w:before="0" w:after="0"/>
                                    <w:ind w:hanging="0" w:start="510" w:end="0"/>
                                    <w:jc w:val="center"/>
                                    <w:rPr/>
                                  </w:pPr>
                                  <w:r>
                                    <w:rPr/>
                                    <w:t>Страна происхождения товара</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before="0" w:after="0"/>
                                    <w:ind w:hanging="0" w:start="57" w:end="0"/>
                                    <w:jc w:val="center"/>
                                    <w:rPr/>
                                  </w:pPr>
                                  <w:r>
                                    <w:rPr/>
                                    <w:t>Кол-во</w:t>
                                  </w:r>
                                </w:p>
                              </w:tc>
                              <w:tc>
                                <w:tcPr>
                                  <w:tcW w:w="14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before="0" w:after="0"/>
                                    <w:ind w:hanging="0" w:start="0" w:end="0"/>
                                    <w:jc w:val="center"/>
                                    <w:rPr/>
                                  </w:pPr>
                                  <w:r>
                                    <w:rPr/>
                                    <w:t>Ед. изм.</w:t>
                                  </w:r>
                                </w:p>
                              </w:tc>
                              <w:tc>
                                <w:tcPr>
                                  <w:tcW w:w="165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bidi w:val="0"/>
                                    <w:spacing w:before="0" w:after="0"/>
                                    <w:ind w:hanging="0" w:start="0" w:end="0"/>
                                    <w:jc w:val="center"/>
                                    <w:rPr/>
                                  </w:pPr>
                                  <w:r>
                                    <w:rPr>
                                      <w:color w:val="000000"/>
                                      <w:spacing w:val="-11"/>
                                    </w:rPr>
                                    <w:t xml:space="preserve">Стоимость единицы без НДС, рублей </w:t>
                                  </w:r>
                                </w:p>
                              </w:tc>
                              <w:tc>
                                <w:tcPr>
                                  <w:tcW w:w="115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bidi w:val="0"/>
                                    <w:spacing w:before="0" w:after="0"/>
                                    <w:ind w:hanging="0" w:start="0" w:end="0"/>
                                    <w:jc w:val="center"/>
                                    <w:rPr/>
                                  </w:pPr>
                                  <w:r>
                                    <w:rPr>
                                      <w:color w:val="000000"/>
                                      <w:spacing w:val="-11"/>
                                    </w:rPr>
                                    <w:t>НДС, рублей</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bidi w:val="0"/>
                                    <w:spacing w:before="0" w:after="0"/>
                                    <w:ind w:hanging="0" w:start="0" w:end="0"/>
                                    <w:jc w:val="center"/>
                                    <w:rPr/>
                                  </w:pPr>
                                  <w:r>
                                    <w:rPr>
                                      <w:color w:val="000000"/>
                                      <w:spacing w:val="-11"/>
                                    </w:rPr>
                                    <w:t>Общая стоимость с НДС, рублей</w:t>
                                  </w:r>
                                </w:p>
                              </w:tc>
                              <w:tc>
                                <w:tcPr>
                                  <w:tcW w:w="1955" w:type="dxa"/>
                                  <w:tcBorders/>
                                </w:tcPr>
                                <w:p>
                                  <w:pPr>
                                    <w:pStyle w:val="Normal"/>
                                    <w:rPr/>
                                  </w:pPr>
                                  <w:r>
                                    <w:rPr/>
                                  </w:r>
                                </w:p>
                              </w:tc>
                            </w:tr>
                            <w:tr>
                              <w:trPr>
                                <w:trHeight w:val="405" w:hRule="atLeast"/>
                              </w:trPr>
                              <w:tc>
                                <w:tcPr>
                                  <w:tcW w:w="739" w:type="dxa"/>
                                  <w:tcBorders>
                                    <w:top w:val="single" w:sz="4" w:space="0" w:color="000000"/>
                                    <w:start w:val="single" w:sz="10" w:space="0" w:color="000000"/>
                                    <w:bottom w:val="single" w:sz="4" w:space="0" w:color="000000"/>
                                    <w:end w:val="single" w:sz="4" w:space="0" w:color="000000"/>
                                  </w:tcBorders>
                                  <w:shd w:color="FFFFFF" w:fill="auto" w:val="clear"/>
                                  <w:vAlign w:val="center"/>
                                </w:tcPr>
                                <w:p>
                                  <w:pPr>
                                    <w:pStyle w:val="Normal"/>
                                    <w:bidi w:val="0"/>
                                    <w:spacing w:before="0" w:after="0"/>
                                    <w:ind w:hanging="0" w:start="170" w:end="0"/>
                                    <w:jc w:val="start"/>
                                    <w:rPr/>
                                  </w:pPr>
                                  <w:r>
                                    <w:rPr/>
                                    <w:t>1</w:t>
                                  </w:r>
                                </w:p>
                              </w:tc>
                              <w:tc>
                                <w:tcPr>
                                  <w:tcW w:w="5485" w:type="dxa"/>
                                  <w:gridSpan w:val="2"/>
                                  <w:tcBorders>
                                    <w:top w:val="single" w:sz="4" w:space="0" w:color="000001"/>
                                    <w:start w:val="single" w:sz="4" w:space="0" w:color="000001"/>
                                    <w:bottom w:val="single" w:sz="4" w:space="0" w:color="000000"/>
                                    <w:end w:val="single" w:sz="4" w:space="0" w:color="000000"/>
                                  </w:tcBorders>
                                </w:tcPr>
                                <w:p>
                                  <w:pPr>
                                    <w:pStyle w:val="NoSpacing"/>
                                    <w:rPr>
                                      <w:rFonts w:ascii="Times New Roman" w:hAnsi="Times New Roman" w:eastAsia="Calibri"/>
                                      <w:b/>
                                      <w:bCs/>
                                      <w:sz w:val="20"/>
                                      <w:szCs w:val="20"/>
                                    </w:rPr>
                                  </w:pPr>
                                  <w:r>
                                    <w:rPr>
                                      <w:rFonts w:eastAsia="Calibri" w:ascii="Times New Roman" w:hAnsi="Times New Roman"/>
                                      <w:b/>
                                      <w:bCs/>
                                      <w:sz w:val="20"/>
                                      <w:szCs w:val="20"/>
                                    </w:rPr>
                                    <w:t>Азотная кислота</w:t>
                                  </w:r>
                                </w:p>
                                <w:p>
                                  <w:pPr>
                                    <w:pStyle w:val="NoSpacing"/>
                                    <w:rPr>
                                      <w:rFonts w:ascii="Times New Roman" w:hAnsi="Times New Roman" w:eastAsia="Calibri"/>
                                      <w:sz w:val="16"/>
                                      <w:szCs w:val="16"/>
                                    </w:rPr>
                                  </w:pPr>
                                  <w:r>
                                    <w:rPr>
                                      <w:rFonts w:eastAsia="Calibri" w:ascii="Times New Roman" w:hAnsi="Times New Roman"/>
                                      <w:sz w:val="16"/>
                                      <w:szCs w:val="16"/>
                                    </w:rPr>
                                  </w:r>
                                </w:p>
                                <w:tbl>
                                  <w:tblPr>
                                    <w:tblW w:w="5100" w:type="dxa"/>
                                    <w:jc w:val="start"/>
                                    <w:tblInd w:w="0" w:type="dxa"/>
                                    <w:tblLayout w:type="fixed"/>
                                    <w:tblCellMar>
                                      <w:top w:w="55" w:type="dxa"/>
                                      <w:start w:w="108" w:type="dxa"/>
                                      <w:bottom w:w="55" w:type="dxa"/>
                                      <w:end w:w="108" w:type="dxa"/>
                                    </w:tblCellMar>
                                  </w:tblPr>
                                  <w:tblGrid>
                                    <w:gridCol w:w="2379"/>
                                    <w:gridCol w:w="1818"/>
                                    <w:gridCol w:w="903"/>
                                  </w:tblGrid>
                                  <w:tr>
                                    <w:trPr>
                                      <w:trHeight w:val="59" w:hRule="atLeast"/>
                                    </w:trPr>
                                    <w:tc>
                                      <w:tcPr>
                                        <w:tcW w:w="2379" w:type="dxa"/>
                                        <w:tcBorders>
                                          <w:top w:val="single" w:sz="4" w:space="0" w:color="000000"/>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 xml:space="preserve">Молекулярная масса </w:t>
                                        </w:r>
                                      </w:p>
                                    </w:tc>
                                    <w:tc>
                                      <w:tcPr>
                                        <w:tcW w:w="1818" w:type="dxa"/>
                                        <w:tcBorders>
                                          <w:top w:val="single" w:sz="4" w:space="0" w:color="000000"/>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63,01</w:t>
                                        </w:r>
                                      </w:p>
                                    </w:tc>
                                    <w:tc>
                                      <w:tcPr>
                                        <w:tcW w:w="903" w:type="dxa"/>
                                        <w:tcBorders>
                                          <w:top w:val="single" w:sz="4" w:space="0" w:color="000000"/>
                                          <w:start w:val="single" w:sz="4" w:space="0" w:color="000000"/>
                                          <w:bottom w:val="single" w:sz="4" w:space="0" w:color="000000"/>
                                          <w:end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г/моль</w:t>
                                        </w:r>
                                      </w:p>
                                    </w:tc>
                                  </w:tr>
                                  <w:tr>
                                    <w:trPr>
                                      <w:trHeight w:val="142" w:hRule="atLeast"/>
                                    </w:trPr>
                                    <w:tc>
                                      <w:tcPr>
                                        <w:tcW w:w="2379"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Содержание основного вещества</w:t>
                                        </w:r>
                                      </w:p>
                                    </w:tc>
                                    <w:tc>
                                      <w:tcPr>
                                        <w:tcW w:w="1818"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 xml:space="preserve">Не менее </w:t>
                                        </w:r>
                                        <w:r>
                                          <w:rPr>
                                            <w:rFonts w:cs="Tinos"/>
                                            <w:sz w:val="16"/>
                                            <w:szCs w:val="16"/>
                                          </w:rPr>
                                          <w:t>65</w:t>
                                        </w:r>
                                      </w:p>
                                    </w:tc>
                                    <w:tc>
                                      <w:tcPr>
                                        <w:tcW w:w="903" w:type="dxa"/>
                                        <w:tcBorders>
                                          <w:start w:val="single" w:sz="4" w:space="0" w:color="000000"/>
                                          <w:bottom w:val="single" w:sz="4" w:space="0" w:color="000000"/>
                                          <w:end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w:t>
                                        </w:r>
                                      </w:p>
                                    </w:tc>
                                  </w:tr>
                                  <w:tr>
                                    <w:trPr>
                                      <w:trHeight w:val="346" w:hRule="atLeast"/>
                                    </w:trPr>
                                    <w:tc>
                                      <w:tcPr>
                                        <w:tcW w:w="2379"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Массовая доля остатка после прокаливания в виде сульфатов</w:t>
                                        </w:r>
                                      </w:p>
                                    </w:tc>
                                    <w:tc>
                                      <w:tcPr>
                                        <w:tcW w:w="1818"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 xml:space="preserve">Не более </w:t>
                                        </w:r>
                                        <w:r>
                                          <w:rPr>
                                            <w:rFonts w:cs="Tinos"/>
                                            <w:sz w:val="16"/>
                                            <w:szCs w:val="16"/>
                                          </w:rPr>
                                          <w:t>0,0005</w:t>
                                        </w:r>
                                      </w:p>
                                    </w:tc>
                                    <w:tc>
                                      <w:tcPr>
                                        <w:tcW w:w="903" w:type="dxa"/>
                                        <w:tcBorders>
                                          <w:start w:val="single" w:sz="4" w:space="0" w:color="000000"/>
                                          <w:bottom w:val="single" w:sz="4" w:space="0" w:color="000000"/>
                                          <w:end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w:t>
                                        </w:r>
                                      </w:p>
                                    </w:tc>
                                  </w:tr>
                                  <w:tr>
                                    <w:trPr>
                                      <w:trHeight w:val="86" w:hRule="atLeast"/>
                                    </w:trPr>
                                    <w:tc>
                                      <w:tcPr>
                                        <w:tcW w:w="2379"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Массовая доля сульфатов (SO₄)</w:t>
                                        </w:r>
                                      </w:p>
                                    </w:tc>
                                    <w:tc>
                                      <w:tcPr>
                                        <w:tcW w:w="1818"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 xml:space="preserve">Не более </w:t>
                                        </w:r>
                                        <w:r>
                                          <w:rPr>
                                            <w:rFonts w:cs="Tinos"/>
                                            <w:sz w:val="16"/>
                                            <w:szCs w:val="16"/>
                                          </w:rPr>
                                          <w:t>0,0001</w:t>
                                        </w:r>
                                      </w:p>
                                    </w:tc>
                                    <w:tc>
                                      <w:tcPr>
                                        <w:tcW w:w="903" w:type="dxa"/>
                                        <w:tcBorders>
                                          <w:start w:val="single" w:sz="4" w:space="0" w:color="000000"/>
                                          <w:bottom w:val="single" w:sz="4" w:space="0" w:color="000000"/>
                                          <w:end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w:t>
                                        </w:r>
                                      </w:p>
                                    </w:tc>
                                  </w:tr>
                                  <w:tr>
                                    <w:trPr/>
                                    <w:tc>
                                      <w:tcPr>
                                        <w:tcW w:w="2379"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Массовая доля фосфатов (PO₄)</w:t>
                                        </w:r>
                                      </w:p>
                                    </w:tc>
                                    <w:tc>
                                      <w:tcPr>
                                        <w:tcW w:w="1818"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 xml:space="preserve">Не более </w:t>
                                        </w:r>
                                        <w:r>
                                          <w:rPr>
                                            <w:rFonts w:cs="Tinos"/>
                                            <w:sz w:val="16"/>
                                            <w:szCs w:val="16"/>
                                          </w:rPr>
                                          <w:t>0,00002</w:t>
                                        </w:r>
                                      </w:p>
                                    </w:tc>
                                    <w:tc>
                                      <w:tcPr>
                                        <w:tcW w:w="903" w:type="dxa"/>
                                        <w:tcBorders>
                                          <w:start w:val="single" w:sz="4" w:space="0" w:color="000000"/>
                                          <w:bottom w:val="single" w:sz="4" w:space="0" w:color="000000"/>
                                          <w:end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w:t>
                                        </w:r>
                                      </w:p>
                                    </w:tc>
                                  </w:tr>
                                  <w:tr>
                                    <w:trPr/>
                                    <w:tc>
                                      <w:tcPr>
                                        <w:tcW w:w="2379"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Массовая доля хлоридов (Cl)</w:t>
                                        </w:r>
                                      </w:p>
                                    </w:tc>
                                    <w:tc>
                                      <w:tcPr>
                                        <w:tcW w:w="1818"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 xml:space="preserve">Не более </w:t>
                                        </w:r>
                                        <w:r>
                                          <w:rPr>
                                            <w:rFonts w:cs="Tinos"/>
                                            <w:sz w:val="16"/>
                                            <w:szCs w:val="16"/>
                                          </w:rPr>
                                          <w:t>0,00003</w:t>
                                        </w:r>
                                      </w:p>
                                    </w:tc>
                                    <w:tc>
                                      <w:tcPr>
                                        <w:tcW w:w="903" w:type="dxa"/>
                                        <w:tcBorders>
                                          <w:start w:val="single" w:sz="4" w:space="0" w:color="000000"/>
                                          <w:bottom w:val="single" w:sz="4" w:space="0" w:color="000000"/>
                                          <w:end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w:t>
                                        </w:r>
                                      </w:p>
                                    </w:tc>
                                  </w:tr>
                                  <w:tr>
                                    <w:trPr/>
                                    <w:tc>
                                      <w:tcPr>
                                        <w:tcW w:w="2379"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Массовая доля железа (Fe)</w:t>
                                        </w:r>
                                      </w:p>
                                    </w:tc>
                                    <w:tc>
                                      <w:tcPr>
                                        <w:tcW w:w="1818"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 xml:space="preserve">Не более </w:t>
                                        </w:r>
                                        <w:r>
                                          <w:rPr>
                                            <w:rFonts w:cs="Tinos"/>
                                            <w:sz w:val="16"/>
                                            <w:szCs w:val="16"/>
                                          </w:rPr>
                                          <w:t>0,00002</w:t>
                                        </w:r>
                                      </w:p>
                                    </w:tc>
                                    <w:tc>
                                      <w:tcPr>
                                        <w:tcW w:w="903" w:type="dxa"/>
                                        <w:tcBorders>
                                          <w:start w:val="single" w:sz="4" w:space="0" w:color="000000"/>
                                          <w:bottom w:val="single" w:sz="4" w:space="0" w:color="000000"/>
                                          <w:end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w:t>
                                        </w:r>
                                      </w:p>
                                    </w:tc>
                                  </w:tr>
                                  <w:tr>
                                    <w:trPr/>
                                    <w:tc>
                                      <w:tcPr>
                                        <w:tcW w:w="2379"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Массовая доля мышьяка (As)</w:t>
                                        </w:r>
                                      </w:p>
                                    </w:tc>
                                    <w:tc>
                                      <w:tcPr>
                                        <w:tcW w:w="1818"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 xml:space="preserve">Не более </w:t>
                                        </w:r>
                                        <w:r>
                                          <w:rPr>
                                            <w:rFonts w:cs="Tinos"/>
                                            <w:sz w:val="16"/>
                                            <w:szCs w:val="16"/>
                                          </w:rPr>
                                          <w:t>,000001</w:t>
                                        </w:r>
                                      </w:p>
                                    </w:tc>
                                    <w:tc>
                                      <w:tcPr>
                                        <w:tcW w:w="903" w:type="dxa"/>
                                        <w:tcBorders>
                                          <w:start w:val="single" w:sz="4" w:space="0" w:color="000000"/>
                                          <w:bottom w:val="single" w:sz="4" w:space="0" w:color="000000"/>
                                          <w:end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w:t>
                                        </w:r>
                                      </w:p>
                                    </w:tc>
                                  </w:tr>
                                  <w:tr>
                                    <w:trPr>
                                      <w:trHeight w:val="507" w:hRule="atLeast"/>
                                    </w:trPr>
                                    <w:tc>
                                      <w:tcPr>
                                        <w:tcW w:w="2379"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Массовая доля тяжелых металлов (Pb)</w:t>
                                        </w:r>
                                      </w:p>
                                    </w:tc>
                                    <w:tc>
                                      <w:tcPr>
                                        <w:tcW w:w="1818"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 xml:space="preserve">Не более </w:t>
                                        </w:r>
                                        <w:r>
                                          <w:rPr>
                                            <w:rFonts w:cs="Tinos"/>
                                            <w:sz w:val="16"/>
                                            <w:szCs w:val="16"/>
                                          </w:rPr>
                                          <w:t>0,00002</w:t>
                                        </w:r>
                                      </w:p>
                                    </w:tc>
                                    <w:tc>
                                      <w:tcPr>
                                        <w:tcW w:w="903" w:type="dxa"/>
                                        <w:tcBorders>
                                          <w:start w:val="single" w:sz="4" w:space="0" w:color="000000"/>
                                          <w:bottom w:val="single" w:sz="4" w:space="0" w:color="000000"/>
                                          <w:end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r>
                                      </w:p>
                                    </w:tc>
                                  </w:tr>
                                  <w:tr>
                                    <w:trPr>
                                      <w:trHeight w:val="507" w:hRule="atLeast"/>
                                    </w:trPr>
                                    <w:tc>
                                      <w:tcPr>
                                        <w:tcW w:w="2379"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ГОСТ 4461-77</w:t>
                                        </w:r>
                                      </w:p>
                                    </w:tc>
                                    <w:tc>
                                      <w:tcPr>
                                        <w:tcW w:w="1818"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Соответствует</w:t>
                                        </w:r>
                                      </w:p>
                                    </w:tc>
                                    <w:tc>
                                      <w:tcPr>
                                        <w:tcW w:w="903" w:type="dxa"/>
                                        <w:tcBorders>
                                          <w:start w:val="single" w:sz="4" w:space="0" w:color="000000"/>
                                          <w:bottom w:val="single" w:sz="4" w:space="0" w:color="000000"/>
                                          <w:end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r>
                                      </w:p>
                                    </w:tc>
                                  </w:tr>
                                </w:tbl>
                                <w:p>
                                  <w:pPr>
                                    <w:pStyle w:val="Normal"/>
                                    <w:tabs>
                                      <w:tab w:val="clear" w:pos="708"/>
                                    </w:tabs>
                                    <w:spacing w:lineRule="auto" w:line="240" w:before="0" w:after="0"/>
                                    <w:ind w:end="0"/>
                                    <w:rPr>
                                      <w:rFonts w:ascii="Times New Roman" w:hAnsi="Times New Roman" w:cs="Tinos"/>
                                      <w:sz w:val="16"/>
                                      <w:szCs w:val="16"/>
                                    </w:rPr>
                                  </w:pPr>
                                  <w:r>
                                    <w:rPr>
                                      <w:rFonts w:cs="Tinos"/>
                                      <w:sz w:val="16"/>
                                      <w:szCs w:val="16"/>
                                    </w:rPr>
                                  </w:r>
                                </w:p>
                              </w:tc>
                              <w:tc>
                                <w:tcPr>
                                  <w:tcW w:w="1896" w:type="dxa"/>
                                  <w:gridSpan w:val="3"/>
                                  <w:tcBorders>
                                    <w:top w:val="single" w:sz="4" w:space="0" w:color="000000"/>
                                    <w:start w:val="single" w:sz="4" w:space="0" w:color="000000"/>
                                    <w:bottom w:val="single" w:sz="4" w:space="0" w:color="000000"/>
                                    <w:end w:val="single" w:sz="4" w:space="0" w:color="000000"/>
                                  </w:tcBorders>
                                  <w:shd w:color="FFFFFF" w:fill="auto" w:val="clear"/>
                                </w:tcPr>
                                <w:p>
                                  <w:pPr>
                                    <w:pStyle w:val="Normal"/>
                                    <w:bidi w:val="0"/>
                                    <w:spacing w:before="0" w:after="0"/>
                                    <w:ind w:hanging="0" w:start="0" w:end="0"/>
                                    <w:jc w:val="center"/>
                                    <w:rPr>
                                      <w:lang w:val="en-US"/>
                                    </w:rPr>
                                  </w:pPr>
                                  <w:r>
                                    <w:rPr/>
                                  </w:r>
                                </w:p>
                              </w:tc>
                              <w:tc>
                                <w:tcPr>
                                  <w:tcW w:w="997" w:type="dxa"/>
                                  <w:tcBorders>
                                    <w:top w:val="single" w:sz="4" w:space="0" w:color="000001"/>
                                    <w:start w:val="single" w:sz="4" w:space="0" w:color="000001"/>
                                    <w:bottom w:val="single" w:sz="4" w:space="0" w:color="000000"/>
                                  </w:tcBorders>
                                </w:tcPr>
                                <w:p>
                                  <w:pPr>
                                    <w:pStyle w:val="Normal"/>
                                    <w:bidi w:val="0"/>
                                    <w:spacing w:before="0" w:after="0"/>
                                    <w:ind w:hanging="0" w:start="57" w:end="0"/>
                                    <w:jc w:val="center"/>
                                    <w:rPr>
                                      <w:lang w:val="en-US"/>
                                    </w:rPr>
                                  </w:pPr>
                                  <w:r>
                                    <w:rPr>
                                      <w:lang w:val="en-US"/>
                                    </w:rPr>
                                    <w:t>1,3</w:t>
                                  </w:r>
                                </w:p>
                              </w:tc>
                              <w:tc>
                                <w:tcPr>
                                  <w:tcW w:w="1468" w:type="dxa"/>
                                  <w:tcBorders>
                                    <w:top w:val="single" w:sz="4" w:space="0" w:color="000001"/>
                                    <w:start w:val="single" w:sz="4" w:space="0" w:color="000001"/>
                                    <w:bottom w:val="single" w:sz="4" w:space="0" w:color="000000"/>
                                  </w:tcBorders>
                                </w:tcPr>
                                <w:p>
                                  <w:pPr>
                                    <w:pStyle w:val="Normal"/>
                                    <w:bidi w:val="0"/>
                                    <w:spacing w:before="0" w:after="0"/>
                                    <w:ind w:hanging="0" w:start="0" w:end="0"/>
                                    <w:jc w:val="center"/>
                                    <w:rPr/>
                                  </w:pPr>
                                  <w:r>
                                    <w:rPr/>
                                    <w:t>кг</w:t>
                                  </w:r>
                                </w:p>
                              </w:tc>
                              <w:tc>
                                <w:tcPr>
                                  <w:tcW w:w="1650" w:type="dxa"/>
                                  <w:tcBorders>
                                    <w:top w:val="single" w:sz="4" w:space="0" w:color="000000"/>
                                    <w:start w:val="single" w:sz="4" w:space="0" w:color="000000"/>
                                    <w:bottom w:val="single" w:sz="4" w:space="0" w:color="000000"/>
                                    <w:end w:val="single" w:sz="4" w:space="0" w:color="000000"/>
                                  </w:tcBorders>
                                  <w:shd w:color="FFFFFF" w:fill="auto" w:val="clear"/>
                                  <w:vAlign w:val="center"/>
                                </w:tcPr>
                                <w:p>
                                  <w:pPr>
                                    <w:pStyle w:val="Normal"/>
                                    <w:bidi w:val="0"/>
                                    <w:spacing w:before="0" w:after="0"/>
                                    <w:ind w:hanging="0" w:start="0" w:end="0"/>
                                    <w:jc w:val="center"/>
                                    <w:rPr/>
                                  </w:pPr>
                                  <w:r>
                                    <w:rPr/>
                                  </w:r>
                                </w:p>
                              </w:tc>
                              <w:tc>
                                <w:tcPr>
                                  <w:tcW w:w="1157" w:type="dxa"/>
                                  <w:tcBorders>
                                    <w:top w:val="single" w:sz="4" w:space="0" w:color="000000"/>
                                    <w:start w:val="single" w:sz="4" w:space="0" w:color="000000"/>
                                    <w:bottom w:val="single" w:sz="4" w:space="0" w:color="000000"/>
                                    <w:end w:val="single" w:sz="4" w:space="0" w:color="000000"/>
                                  </w:tcBorders>
                                  <w:shd w:color="FFFFFF" w:fill="auto" w:val="clear"/>
                                  <w:vAlign w:val="center"/>
                                </w:tcPr>
                                <w:p>
                                  <w:pPr>
                                    <w:pStyle w:val="Normal"/>
                                    <w:bidi w:val="0"/>
                                    <w:spacing w:lineRule="atLeast" w:line="57" w:before="0" w:after="0"/>
                                    <w:ind w:hanging="0" w:start="0" w:end="0"/>
                                    <w:jc w:val="center"/>
                                    <w:rPr>
                                      <w:highlight w:val="none"/>
                                      <w:shd w:fill="auto" w:val="clear"/>
                                    </w:rPr>
                                  </w:pPr>
                                  <w:r>
                                    <w:rPr/>
                                  </w:r>
                                </w:p>
                              </w:tc>
                              <w:tc>
                                <w:tcPr>
                                  <w:tcW w:w="1843" w:type="dxa"/>
                                  <w:tcBorders>
                                    <w:top w:val="single" w:sz="4" w:space="0" w:color="000000"/>
                                    <w:start w:val="single" w:sz="4" w:space="0" w:color="000000"/>
                                    <w:bottom w:val="single" w:sz="4" w:space="0" w:color="000000"/>
                                    <w:end w:val="single" w:sz="10" w:space="0" w:color="000000"/>
                                  </w:tcBorders>
                                  <w:shd w:color="FFFFFF" w:fill="auto" w:val="clear"/>
                                  <w:vAlign w:val="center"/>
                                </w:tcPr>
                                <w:p>
                                  <w:pPr>
                                    <w:pStyle w:val="Normal"/>
                                    <w:bidi w:val="0"/>
                                    <w:spacing w:lineRule="atLeast" w:line="57" w:before="0" w:after="0"/>
                                    <w:ind w:hanging="0" w:start="0" w:end="0"/>
                                    <w:jc w:val="center"/>
                                    <w:rPr>
                                      <w:b w:val="false"/>
                                      <w:bCs w:val="false"/>
                                      <w:highlight w:val="none"/>
                                      <w:shd w:fill="auto" w:val="clear"/>
                                    </w:rPr>
                                  </w:pPr>
                                  <w:r>
                                    <w:rPr/>
                                  </w:r>
                                </w:p>
                              </w:tc>
                              <w:tc>
                                <w:tcPr>
                                  <w:tcW w:w="1955" w:type="dxa"/>
                                  <w:tcBorders/>
                                </w:tcPr>
                                <w:p>
                                  <w:pPr>
                                    <w:pStyle w:val="Normal"/>
                                    <w:rPr/>
                                  </w:pPr>
                                  <w:r>
                                    <w:rPr/>
                                  </w:r>
                                </w:p>
                              </w:tc>
                            </w:tr>
                            <w:tr>
                              <w:trPr>
                                <w:trHeight w:val="572" w:hRule="atLeast"/>
                              </w:trPr>
                              <w:tc>
                                <w:tcPr>
                                  <w:tcW w:w="13392" w:type="dxa"/>
                                  <w:gridSpan w:val="10"/>
                                  <w:tcBorders>
                                    <w:top w:val="single" w:sz="4" w:space="0" w:color="000000"/>
                                    <w:start w:val="single" w:sz="4" w:space="0" w:color="000000"/>
                                    <w:bottom w:val="single" w:sz="4" w:space="0" w:color="000000"/>
                                    <w:end w:val="single" w:sz="4" w:space="0" w:color="000000"/>
                                  </w:tcBorders>
                                </w:tcPr>
                                <w:p>
                                  <w:pPr>
                                    <w:pStyle w:val="Normal"/>
                                    <w:bidi w:val="0"/>
                                    <w:spacing w:before="0" w:after="0"/>
                                    <w:ind w:hanging="0" w:start="510" w:end="0"/>
                                    <w:jc w:val="center"/>
                                    <w:rPr>
                                      <w:highlight w:val="none"/>
                                      <w:shd w:fill="auto" w:val="clear"/>
                                    </w:rPr>
                                  </w:pPr>
                                  <w:r>
                                    <w:rPr>
                                      <w:b/>
                                      <w:bCs/>
                                      <w:shd w:fill="auto" w:val="clear"/>
                                    </w:rPr>
                                    <w:t>ИТОГО:</w:t>
                                  </w:r>
                                </w:p>
                              </w:tc>
                              <w:tc>
                                <w:tcPr>
                                  <w:tcW w:w="1843" w:type="dxa"/>
                                  <w:tcBorders>
                                    <w:top w:val="single" w:sz="4" w:space="0" w:color="000000"/>
                                    <w:start w:val="single" w:sz="4" w:space="0" w:color="000000"/>
                                    <w:bottom w:val="single" w:sz="4" w:space="0" w:color="000000"/>
                                    <w:end w:val="single" w:sz="4" w:space="0" w:color="000000"/>
                                  </w:tcBorders>
                                </w:tcPr>
                                <w:p>
                                  <w:pPr>
                                    <w:pStyle w:val="Normal"/>
                                    <w:bidi w:val="0"/>
                                    <w:spacing w:before="0" w:after="0"/>
                                    <w:ind w:hanging="0" w:start="510" w:end="0"/>
                                    <w:jc w:val="center"/>
                                    <w:rPr>
                                      <w:b w:val="false"/>
                                      <w:bCs w:val="false"/>
                                      <w:highlight w:val="none"/>
                                      <w:shd w:fill="auto" w:val="clear"/>
                                    </w:rPr>
                                  </w:pPr>
                                  <w:r>
                                    <w:rPr/>
                                  </w:r>
                                </w:p>
                              </w:tc>
                              <w:tc>
                                <w:tcPr>
                                  <w:tcW w:w="1955" w:type="dxa"/>
                                  <w:tcBorders/>
                                </w:tcPr>
                                <w:p>
                                  <w:pPr>
                                    <w:pStyle w:val="Normal"/>
                                    <w:rPr/>
                                  </w:pPr>
                                  <w:r>
                                    <w:rPr/>
                                  </w:r>
                                </w:p>
                              </w:tc>
                            </w:tr>
                            <w:tr>
                              <w:trPr>
                                <w:trHeight w:val="1824" w:hRule="atLeast"/>
                              </w:trPr>
                              <w:tc>
                                <w:tcPr>
                                  <w:tcW w:w="5849" w:type="dxa"/>
                                  <w:gridSpan w:val="2"/>
                                  <w:tcBorders/>
                                  <w:shd w:color="auto" w:fill="auto" w:val="clear"/>
                                </w:tcPr>
                                <w:p>
                                  <w:pPr>
                                    <w:pStyle w:val="Normal"/>
                                    <w:tabs>
                                      <w:tab w:val="clear" w:pos="708"/>
                                      <w:tab w:val="left" w:pos="7680" w:leader="none"/>
                                    </w:tabs>
                                    <w:rPr>
                                      <w:b/>
                                      <w:color w:val="000000"/>
                                    </w:rPr>
                                  </w:pPr>
                                  <w:r>
                                    <w:rPr>
                                      <w:b/>
                                      <w:color w:val="000000"/>
                                    </w:rPr>
                                  </w:r>
                                </w:p>
                                <w:p>
                                  <w:pPr>
                                    <w:pStyle w:val="Normal"/>
                                    <w:tabs>
                                      <w:tab w:val="clear" w:pos="708"/>
                                      <w:tab w:val="left" w:pos="7680" w:leader="none"/>
                                    </w:tabs>
                                    <w:rPr>
                                      <w:b/>
                                      <w:color w:val="000000"/>
                                    </w:rPr>
                                  </w:pPr>
                                  <w:r>
                                    <w:rPr>
                                      <w:b/>
                                      <w:color w:val="000000"/>
                                    </w:rPr>
                                    <w:t>Заказчик:</w:t>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материально-технического снабжения</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sz w:val="20"/>
                                      <w:szCs w:val="20"/>
                                    </w:rPr>
                                    <w:t>____________  А.Е.Кузнецова</w:t>
                                  </w:r>
                                  <w:r>
                                    <w:rPr/>
                                    <w:t xml:space="preserve">                                                       </w:t>
                                  </w:r>
                                </w:p>
                                <w:p>
                                  <w:pPr>
                                    <w:pStyle w:val="Normal"/>
                                    <w:tabs>
                                      <w:tab w:val="clear" w:pos="708"/>
                                      <w:tab w:val="left" w:pos="7680" w:leader="none"/>
                                    </w:tabs>
                                    <w:rPr/>
                                  </w:pPr>
                                  <w:r>
                                    <w:rPr/>
                                    <w:t>м.п.</w:t>
                                  </w:r>
                                </w:p>
                              </w:tc>
                              <w:tc>
                                <w:tcPr>
                                  <w:tcW w:w="1137" w:type="dxa"/>
                                  <w:gridSpan w:val="2"/>
                                  <w:tcBorders/>
                                </w:tcPr>
                                <w:p>
                                  <w:pPr>
                                    <w:pStyle w:val="Normal"/>
                                    <w:tabs>
                                      <w:tab w:val="clear" w:pos="708"/>
                                      <w:tab w:val="left" w:pos="7680" w:leader="none"/>
                                    </w:tabs>
                                    <w:rPr>
                                      <w:b/>
                                      <w:color w:val="000000"/>
                                    </w:rPr>
                                  </w:pPr>
                                  <w:r>
                                    <w:rPr>
                                      <w:b/>
                                      <w:color w:val="000000"/>
                                    </w:rPr>
                                  </w:r>
                                </w:p>
                              </w:tc>
                              <w:tc>
                                <w:tcPr>
                                  <w:tcW w:w="235" w:type="dxa"/>
                                  <w:tcBorders/>
                                </w:tcPr>
                                <w:p>
                                  <w:pPr>
                                    <w:pStyle w:val="Normal"/>
                                    <w:tabs>
                                      <w:tab w:val="clear" w:pos="708"/>
                                      <w:tab w:val="left" w:pos="7680" w:leader="none"/>
                                    </w:tabs>
                                    <w:rPr>
                                      <w:b/>
                                      <w:color w:val="000000"/>
                                    </w:rPr>
                                  </w:pPr>
                                  <w:r>
                                    <w:rPr>
                                      <w:b/>
                                      <w:color w:val="000000"/>
                                    </w:rPr>
                                  </w:r>
                                </w:p>
                              </w:tc>
                              <w:tc>
                                <w:tcPr>
                                  <w:tcW w:w="3364" w:type="dxa"/>
                                  <w:gridSpan w:val="3"/>
                                  <w:tcBorders/>
                                </w:tcPr>
                                <w:p>
                                  <w:pPr>
                                    <w:pStyle w:val="Normal"/>
                                    <w:tabs>
                                      <w:tab w:val="clear" w:pos="708"/>
                                      <w:tab w:val="left" w:pos="7680" w:leader="none"/>
                                    </w:tabs>
                                    <w:rPr>
                                      <w:b/>
                                      <w:color w:val="000000"/>
                                    </w:rPr>
                                  </w:pPr>
                                  <w:r>
                                    <w:rPr>
                                      <w:b/>
                                      <w:color w:val="000000"/>
                                    </w:rPr>
                                  </w:r>
                                </w:p>
                              </w:tc>
                              <w:tc>
                                <w:tcPr>
                                  <w:tcW w:w="6605" w:type="dxa"/>
                                  <w:gridSpan w:val="4"/>
                                  <w:tcBorders/>
                                  <w:shd w:color="auto" w:fill="auto" w:val="clear"/>
                                </w:tcPr>
                                <w:p>
                                  <w:pPr>
                                    <w:pStyle w:val="Normal"/>
                                    <w:tabs>
                                      <w:tab w:val="clear" w:pos="708"/>
                                      <w:tab w:val="left" w:pos="7680" w:leader="none"/>
                                    </w:tabs>
                                    <w:rPr>
                                      <w:b/>
                                      <w:color w:val="000000"/>
                                    </w:rPr>
                                  </w:pPr>
                                  <w:r>
                                    <w:rPr>
                                      <w:b/>
                                      <w:color w:val="000000"/>
                                    </w:rPr>
                                  </w:r>
                                </w:p>
                                <w:p>
                                  <w:pPr>
                                    <w:pStyle w:val="Normal"/>
                                    <w:tabs>
                                      <w:tab w:val="clear" w:pos="708"/>
                                      <w:tab w:val="left" w:pos="7680" w:leader="none"/>
                                    </w:tabs>
                                    <w:rPr>
                                      <w:b/>
                                      <w:color w:val="000000"/>
                                    </w:rPr>
                                  </w:pPr>
                                  <w:r>
                                    <w:rPr>
                                      <w:b/>
                                      <w:color w:val="000000"/>
                                    </w:rPr>
                                    <w:t>Поставщик:</w:t>
                                  </w:r>
                                </w:p>
                                <w:p>
                                  <w:pPr>
                                    <w:pStyle w:val="Normal"/>
                                    <w:rPr>
                                      <w:rFonts w:eastAsia="Calibri"/>
                                      <w:lang w:eastAsia="en-US"/>
                                    </w:rPr>
                                  </w:pPr>
                                  <w:r>
                                    <w:rPr/>
                                  </w:r>
                                </w:p>
                              </w:tc>
                            </w:tr>
                          </w:tbl>
                          <w:p>
                            <w:pPr>
                              <w:pStyle w:val="user5"/>
                              <w:rPr>
                                <w:color w:val="000000"/>
                              </w:rPr>
                            </w:pPr>
                            <w:r>
                              <w:rPr>
                                <w:color w:val="000000"/>
                              </w:rPr>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33.55pt;margin-top:47.5pt;width:841.85pt;height:419.8pt;mso-wrap-style:square;v-text-anchor:top;mso-position-horizontal-relative:page">
                <v:fill o:detectmouseclick="t" on="false"/>
                <v:stroke color="#3465a4" joinstyle="round" endcap="flat"/>
                <v:textbox>
                  <w:txbxContent>
                    <w:p>
                      <w:pPr>
                        <w:pStyle w:val="BodyText"/>
                        <w:rPr>
                          <w:color w:val="000000"/>
                        </w:rPr>
                      </w:pPr>
                      <w:r>
                        <w:rPr>
                          <w:color w:val="000000"/>
                        </w:rPr>
                      </w:r>
                    </w:p>
                    <w:tbl>
                      <w:tblPr>
                        <w:tblW w:w="17190" w:type="dxa"/>
                        <w:jc w:val="start"/>
                        <w:tblInd w:w="916" w:type="dxa"/>
                        <w:tblLayout w:type="fixed"/>
                        <w:tblCellMar>
                          <w:top w:w="0" w:type="dxa"/>
                          <w:start w:w="108" w:type="dxa"/>
                          <w:bottom w:w="0" w:type="dxa"/>
                          <w:end w:w="108" w:type="dxa"/>
                        </w:tblCellMar>
                        <w:tblLook w:val="01e0" w:noHBand="0" w:noVBand="0" w:firstColumn="1" w:lastRow="1" w:lastColumn="1" w:firstRow="1"/>
                      </w:tblPr>
                      <w:tblGrid>
                        <w:gridCol w:w="739"/>
                        <w:gridCol w:w="5110"/>
                        <w:gridCol w:w="375"/>
                        <w:gridCol w:w="762"/>
                        <w:gridCol w:w="235"/>
                        <w:gridCol w:w="899"/>
                        <w:gridCol w:w="997"/>
                        <w:gridCol w:w="1468"/>
                        <w:gridCol w:w="1650"/>
                        <w:gridCol w:w="1157"/>
                        <w:gridCol w:w="1843"/>
                        <w:gridCol w:w="1955"/>
                      </w:tblGrid>
                      <w:tr>
                        <w:trPr>
                          <w:trHeight w:val="572" w:hRule="atLeast"/>
                        </w:trPr>
                        <w:tc>
                          <w:tcPr>
                            <w:tcW w:w="73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before="0" w:after="0"/>
                              <w:ind w:hanging="0" w:start="170" w:end="0"/>
                              <w:jc w:val="start"/>
                              <w:rPr/>
                            </w:pPr>
                            <w:r>
                              <w:rPr/>
                              <w:t>№</w:t>
                            </w:r>
                          </w:p>
                          <w:p>
                            <w:pPr>
                              <w:pStyle w:val="Normal"/>
                              <w:widowControl w:val="false"/>
                              <w:bidi w:val="0"/>
                              <w:spacing w:before="0" w:after="0"/>
                              <w:ind w:hanging="0" w:start="170" w:end="0"/>
                              <w:jc w:val="start"/>
                              <w:rPr/>
                            </w:pPr>
                            <w:r>
                              <w:rPr/>
                              <w:t>п/п</w:t>
                            </w:r>
                          </w:p>
                        </w:tc>
                        <w:tc>
                          <w:tcPr>
                            <w:tcW w:w="548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before="0" w:after="0"/>
                              <w:ind w:hanging="0" w:start="0" w:end="0"/>
                              <w:jc w:val="center"/>
                              <w:rPr/>
                            </w:pPr>
                            <w:r>
                              <w:rPr/>
                              <w:t>Наименование, минимальные технические (качественные) характеристики  товара</w:t>
                            </w:r>
                          </w:p>
                        </w:tc>
                        <w:tc>
                          <w:tcPr>
                            <w:tcW w:w="1896" w:type="dxa"/>
                            <w:gridSpan w:val="3"/>
                            <w:tcBorders>
                              <w:top w:val="single" w:sz="4" w:space="0" w:color="000000"/>
                              <w:start w:val="single" w:sz="4" w:space="0" w:color="000000"/>
                              <w:bottom w:val="single" w:sz="4" w:space="0" w:color="000000"/>
                              <w:end w:val="single" w:sz="4" w:space="0" w:color="000000"/>
                            </w:tcBorders>
                          </w:tcPr>
                          <w:p>
                            <w:pPr>
                              <w:pStyle w:val="Normal"/>
                              <w:widowControl w:val="false"/>
                              <w:bidi w:val="0"/>
                              <w:spacing w:before="0" w:after="0"/>
                              <w:ind w:hanging="0" w:start="510" w:end="0"/>
                              <w:jc w:val="center"/>
                              <w:rPr/>
                            </w:pPr>
                            <w:r>
                              <w:rPr/>
                              <w:t>Страна происхождения товара</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before="0" w:after="0"/>
                              <w:ind w:hanging="0" w:start="57" w:end="0"/>
                              <w:jc w:val="center"/>
                              <w:rPr/>
                            </w:pPr>
                            <w:r>
                              <w:rPr/>
                              <w:t>Кол-во</w:t>
                            </w:r>
                          </w:p>
                        </w:tc>
                        <w:tc>
                          <w:tcPr>
                            <w:tcW w:w="146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before="0" w:after="0"/>
                              <w:ind w:hanging="0" w:start="0" w:end="0"/>
                              <w:jc w:val="center"/>
                              <w:rPr/>
                            </w:pPr>
                            <w:r>
                              <w:rPr/>
                              <w:t>Ед. изм.</w:t>
                            </w:r>
                          </w:p>
                        </w:tc>
                        <w:tc>
                          <w:tcPr>
                            <w:tcW w:w="165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bidi w:val="0"/>
                              <w:spacing w:before="0" w:after="0"/>
                              <w:ind w:hanging="0" w:start="0" w:end="0"/>
                              <w:jc w:val="center"/>
                              <w:rPr/>
                            </w:pPr>
                            <w:r>
                              <w:rPr>
                                <w:color w:val="000000"/>
                                <w:spacing w:val="-11"/>
                              </w:rPr>
                              <w:t xml:space="preserve">Стоимость единицы без НДС, рублей </w:t>
                            </w:r>
                          </w:p>
                        </w:tc>
                        <w:tc>
                          <w:tcPr>
                            <w:tcW w:w="115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bidi w:val="0"/>
                              <w:spacing w:before="0" w:after="0"/>
                              <w:ind w:hanging="0" w:start="0" w:end="0"/>
                              <w:jc w:val="center"/>
                              <w:rPr/>
                            </w:pPr>
                            <w:r>
                              <w:rPr>
                                <w:color w:val="000000"/>
                                <w:spacing w:val="-11"/>
                              </w:rPr>
                              <w:t>НДС, рублей</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bidi w:val="0"/>
                              <w:spacing w:before="0" w:after="0"/>
                              <w:ind w:hanging="0" w:start="0" w:end="0"/>
                              <w:jc w:val="center"/>
                              <w:rPr/>
                            </w:pPr>
                            <w:r>
                              <w:rPr>
                                <w:color w:val="000000"/>
                                <w:spacing w:val="-11"/>
                              </w:rPr>
                              <w:t>Общая стоимость с НДС, рублей</w:t>
                            </w:r>
                          </w:p>
                        </w:tc>
                        <w:tc>
                          <w:tcPr>
                            <w:tcW w:w="1955" w:type="dxa"/>
                            <w:tcBorders/>
                          </w:tcPr>
                          <w:p>
                            <w:pPr>
                              <w:pStyle w:val="Normal"/>
                              <w:rPr/>
                            </w:pPr>
                            <w:r>
                              <w:rPr/>
                            </w:r>
                          </w:p>
                        </w:tc>
                      </w:tr>
                      <w:tr>
                        <w:trPr>
                          <w:trHeight w:val="405" w:hRule="atLeast"/>
                        </w:trPr>
                        <w:tc>
                          <w:tcPr>
                            <w:tcW w:w="739" w:type="dxa"/>
                            <w:tcBorders>
                              <w:top w:val="single" w:sz="4" w:space="0" w:color="000000"/>
                              <w:start w:val="single" w:sz="10" w:space="0" w:color="000000"/>
                              <w:bottom w:val="single" w:sz="4" w:space="0" w:color="000000"/>
                              <w:end w:val="single" w:sz="4" w:space="0" w:color="000000"/>
                            </w:tcBorders>
                            <w:shd w:color="FFFFFF" w:fill="auto" w:val="clear"/>
                            <w:vAlign w:val="center"/>
                          </w:tcPr>
                          <w:p>
                            <w:pPr>
                              <w:pStyle w:val="Normal"/>
                              <w:bidi w:val="0"/>
                              <w:spacing w:before="0" w:after="0"/>
                              <w:ind w:hanging="0" w:start="170" w:end="0"/>
                              <w:jc w:val="start"/>
                              <w:rPr/>
                            </w:pPr>
                            <w:r>
                              <w:rPr/>
                              <w:t>1</w:t>
                            </w:r>
                          </w:p>
                        </w:tc>
                        <w:tc>
                          <w:tcPr>
                            <w:tcW w:w="5485" w:type="dxa"/>
                            <w:gridSpan w:val="2"/>
                            <w:tcBorders>
                              <w:top w:val="single" w:sz="4" w:space="0" w:color="000001"/>
                              <w:start w:val="single" w:sz="4" w:space="0" w:color="000001"/>
                              <w:bottom w:val="single" w:sz="4" w:space="0" w:color="000000"/>
                              <w:end w:val="single" w:sz="4" w:space="0" w:color="000000"/>
                            </w:tcBorders>
                          </w:tcPr>
                          <w:p>
                            <w:pPr>
                              <w:pStyle w:val="NoSpacing"/>
                              <w:rPr>
                                <w:rFonts w:ascii="Times New Roman" w:hAnsi="Times New Roman" w:eastAsia="Calibri"/>
                                <w:b/>
                                <w:bCs/>
                                <w:sz w:val="20"/>
                                <w:szCs w:val="20"/>
                              </w:rPr>
                            </w:pPr>
                            <w:r>
                              <w:rPr>
                                <w:rFonts w:eastAsia="Calibri" w:ascii="Times New Roman" w:hAnsi="Times New Roman"/>
                                <w:b/>
                                <w:bCs/>
                                <w:sz w:val="20"/>
                                <w:szCs w:val="20"/>
                              </w:rPr>
                              <w:t>Азотная кислота</w:t>
                            </w:r>
                          </w:p>
                          <w:p>
                            <w:pPr>
                              <w:pStyle w:val="NoSpacing"/>
                              <w:rPr>
                                <w:rFonts w:ascii="Times New Roman" w:hAnsi="Times New Roman" w:eastAsia="Calibri"/>
                                <w:sz w:val="16"/>
                                <w:szCs w:val="16"/>
                              </w:rPr>
                            </w:pPr>
                            <w:r>
                              <w:rPr>
                                <w:rFonts w:eastAsia="Calibri" w:ascii="Times New Roman" w:hAnsi="Times New Roman"/>
                                <w:sz w:val="16"/>
                                <w:szCs w:val="16"/>
                              </w:rPr>
                            </w:r>
                          </w:p>
                          <w:tbl>
                            <w:tblPr>
                              <w:tblW w:w="5100" w:type="dxa"/>
                              <w:jc w:val="start"/>
                              <w:tblInd w:w="0" w:type="dxa"/>
                              <w:tblLayout w:type="fixed"/>
                              <w:tblCellMar>
                                <w:top w:w="55" w:type="dxa"/>
                                <w:start w:w="108" w:type="dxa"/>
                                <w:bottom w:w="55" w:type="dxa"/>
                                <w:end w:w="108" w:type="dxa"/>
                              </w:tblCellMar>
                            </w:tblPr>
                            <w:tblGrid>
                              <w:gridCol w:w="2379"/>
                              <w:gridCol w:w="1818"/>
                              <w:gridCol w:w="903"/>
                            </w:tblGrid>
                            <w:tr>
                              <w:trPr>
                                <w:trHeight w:val="59" w:hRule="atLeast"/>
                              </w:trPr>
                              <w:tc>
                                <w:tcPr>
                                  <w:tcW w:w="2379" w:type="dxa"/>
                                  <w:tcBorders>
                                    <w:top w:val="single" w:sz="4" w:space="0" w:color="000000"/>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 xml:space="preserve">Молекулярная масса </w:t>
                                  </w:r>
                                </w:p>
                              </w:tc>
                              <w:tc>
                                <w:tcPr>
                                  <w:tcW w:w="1818" w:type="dxa"/>
                                  <w:tcBorders>
                                    <w:top w:val="single" w:sz="4" w:space="0" w:color="000000"/>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63,01</w:t>
                                  </w:r>
                                </w:p>
                              </w:tc>
                              <w:tc>
                                <w:tcPr>
                                  <w:tcW w:w="903" w:type="dxa"/>
                                  <w:tcBorders>
                                    <w:top w:val="single" w:sz="4" w:space="0" w:color="000000"/>
                                    <w:start w:val="single" w:sz="4" w:space="0" w:color="000000"/>
                                    <w:bottom w:val="single" w:sz="4" w:space="0" w:color="000000"/>
                                    <w:end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г/моль</w:t>
                                  </w:r>
                                </w:p>
                              </w:tc>
                            </w:tr>
                            <w:tr>
                              <w:trPr>
                                <w:trHeight w:val="142" w:hRule="atLeast"/>
                              </w:trPr>
                              <w:tc>
                                <w:tcPr>
                                  <w:tcW w:w="2379"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Содержание основного вещества</w:t>
                                  </w:r>
                                </w:p>
                              </w:tc>
                              <w:tc>
                                <w:tcPr>
                                  <w:tcW w:w="1818"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 xml:space="preserve">Не менее </w:t>
                                  </w:r>
                                  <w:r>
                                    <w:rPr>
                                      <w:rFonts w:cs="Tinos"/>
                                      <w:sz w:val="16"/>
                                      <w:szCs w:val="16"/>
                                    </w:rPr>
                                    <w:t>65</w:t>
                                  </w:r>
                                </w:p>
                              </w:tc>
                              <w:tc>
                                <w:tcPr>
                                  <w:tcW w:w="903" w:type="dxa"/>
                                  <w:tcBorders>
                                    <w:start w:val="single" w:sz="4" w:space="0" w:color="000000"/>
                                    <w:bottom w:val="single" w:sz="4" w:space="0" w:color="000000"/>
                                    <w:end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w:t>
                                  </w:r>
                                </w:p>
                              </w:tc>
                            </w:tr>
                            <w:tr>
                              <w:trPr>
                                <w:trHeight w:val="346" w:hRule="atLeast"/>
                              </w:trPr>
                              <w:tc>
                                <w:tcPr>
                                  <w:tcW w:w="2379"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Массовая доля остатка после прокаливания в виде сульфатов</w:t>
                                  </w:r>
                                </w:p>
                              </w:tc>
                              <w:tc>
                                <w:tcPr>
                                  <w:tcW w:w="1818"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 xml:space="preserve">Не более </w:t>
                                  </w:r>
                                  <w:r>
                                    <w:rPr>
                                      <w:rFonts w:cs="Tinos"/>
                                      <w:sz w:val="16"/>
                                      <w:szCs w:val="16"/>
                                    </w:rPr>
                                    <w:t>0,0005</w:t>
                                  </w:r>
                                </w:p>
                              </w:tc>
                              <w:tc>
                                <w:tcPr>
                                  <w:tcW w:w="903" w:type="dxa"/>
                                  <w:tcBorders>
                                    <w:start w:val="single" w:sz="4" w:space="0" w:color="000000"/>
                                    <w:bottom w:val="single" w:sz="4" w:space="0" w:color="000000"/>
                                    <w:end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w:t>
                                  </w:r>
                                </w:p>
                              </w:tc>
                            </w:tr>
                            <w:tr>
                              <w:trPr>
                                <w:trHeight w:val="86" w:hRule="atLeast"/>
                              </w:trPr>
                              <w:tc>
                                <w:tcPr>
                                  <w:tcW w:w="2379"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Массовая доля сульфатов (SO₄)</w:t>
                                  </w:r>
                                </w:p>
                              </w:tc>
                              <w:tc>
                                <w:tcPr>
                                  <w:tcW w:w="1818"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 xml:space="preserve">Не более </w:t>
                                  </w:r>
                                  <w:r>
                                    <w:rPr>
                                      <w:rFonts w:cs="Tinos"/>
                                      <w:sz w:val="16"/>
                                      <w:szCs w:val="16"/>
                                    </w:rPr>
                                    <w:t>0,0001</w:t>
                                  </w:r>
                                </w:p>
                              </w:tc>
                              <w:tc>
                                <w:tcPr>
                                  <w:tcW w:w="903" w:type="dxa"/>
                                  <w:tcBorders>
                                    <w:start w:val="single" w:sz="4" w:space="0" w:color="000000"/>
                                    <w:bottom w:val="single" w:sz="4" w:space="0" w:color="000000"/>
                                    <w:end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w:t>
                                  </w:r>
                                </w:p>
                              </w:tc>
                            </w:tr>
                            <w:tr>
                              <w:trPr/>
                              <w:tc>
                                <w:tcPr>
                                  <w:tcW w:w="2379"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Массовая доля фосфатов (PO₄)</w:t>
                                  </w:r>
                                </w:p>
                              </w:tc>
                              <w:tc>
                                <w:tcPr>
                                  <w:tcW w:w="1818"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 xml:space="preserve">Не более </w:t>
                                  </w:r>
                                  <w:r>
                                    <w:rPr>
                                      <w:rFonts w:cs="Tinos"/>
                                      <w:sz w:val="16"/>
                                      <w:szCs w:val="16"/>
                                    </w:rPr>
                                    <w:t>0,00002</w:t>
                                  </w:r>
                                </w:p>
                              </w:tc>
                              <w:tc>
                                <w:tcPr>
                                  <w:tcW w:w="903" w:type="dxa"/>
                                  <w:tcBorders>
                                    <w:start w:val="single" w:sz="4" w:space="0" w:color="000000"/>
                                    <w:bottom w:val="single" w:sz="4" w:space="0" w:color="000000"/>
                                    <w:end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w:t>
                                  </w:r>
                                </w:p>
                              </w:tc>
                            </w:tr>
                            <w:tr>
                              <w:trPr/>
                              <w:tc>
                                <w:tcPr>
                                  <w:tcW w:w="2379"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Массовая доля хлоридов (Cl)</w:t>
                                  </w:r>
                                </w:p>
                              </w:tc>
                              <w:tc>
                                <w:tcPr>
                                  <w:tcW w:w="1818"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 xml:space="preserve">Не более </w:t>
                                  </w:r>
                                  <w:r>
                                    <w:rPr>
                                      <w:rFonts w:cs="Tinos"/>
                                      <w:sz w:val="16"/>
                                      <w:szCs w:val="16"/>
                                    </w:rPr>
                                    <w:t>0,00003</w:t>
                                  </w:r>
                                </w:p>
                              </w:tc>
                              <w:tc>
                                <w:tcPr>
                                  <w:tcW w:w="903" w:type="dxa"/>
                                  <w:tcBorders>
                                    <w:start w:val="single" w:sz="4" w:space="0" w:color="000000"/>
                                    <w:bottom w:val="single" w:sz="4" w:space="0" w:color="000000"/>
                                    <w:end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w:t>
                                  </w:r>
                                </w:p>
                              </w:tc>
                            </w:tr>
                            <w:tr>
                              <w:trPr/>
                              <w:tc>
                                <w:tcPr>
                                  <w:tcW w:w="2379"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Массовая доля железа (Fe)</w:t>
                                  </w:r>
                                </w:p>
                              </w:tc>
                              <w:tc>
                                <w:tcPr>
                                  <w:tcW w:w="1818"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 xml:space="preserve">Не более </w:t>
                                  </w:r>
                                  <w:r>
                                    <w:rPr>
                                      <w:rFonts w:cs="Tinos"/>
                                      <w:sz w:val="16"/>
                                      <w:szCs w:val="16"/>
                                    </w:rPr>
                                    <w:t>0,00002</w:t>
                                  </w:r>
                                </w:p>
                              </w:tc>
                              <w:tc>
                                <w:tcPr>
                                  <w:tcW w:w="903" w:type="dxa"/>
                                  <w:tcBorders>
                                    <w:start w:val="single" w:sz="4" w:space="0" w:color="000000"/>
                                    <w:bottom w:val="single" w:sz="4" w:space="0" w:color="000000"/>
                                    <w:end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w:t>
                                  </w:r>
                                </w:p>
                              </w:tc>
                            </w:tr>
                            <w:tr>
                              <w:trPr/>
                              <w:tc>
                                <w:tcPr>
                                  <w:tcW w:w="2379"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Массовая доля мышьяка (As)</w:t>
                                  </w:r>
                                </w:p>
                              </w:tc>
                              <w:tc>
                                <w:tcPr>
                                  <w:tcW w:w="1818"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 xml:space="preserve">Не более </w:t>
                                  </w:r>
                                  <w:r>
                                    <w:rPr>
                                      <w:rFonts w:cs="Tinos"/>
                                      <w:sz w:val="16"/>
                                      <w:szCs w:val="16"/>
                                    </w:rPr>
                                    <w:t>,000001</w:t>
                                  </w:r>
                                </w:p>
                              </w:tc>
                              <w:tc>
                                <w:tcPr>
                                  <w:tcW w:w="903" w:type="dxa"/>
                                  <w:tcBorders>
                                    <w:start w:val="single" w:sz="4" w:space="0" w:color="000000"/>
                                    <w:bottom w:val="single" w:sz="4" w:space="0" w:color="000000"/>
                                    <w:end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w:t>
                                  </w:r>
                                </w:p>
                              </w:tc>
                            </w:tr>
                            <w:tr>
                              <w:trPr>
                                <w:trHeight w:val="507" w:hRule="atLeast"/>
                              </w:trPr>
                              <w:tc>
                                <w:tcPr>
                                  <w:tcW w:w="2379"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Массовая доля тяжелых металлов (Pb)</w:t>
                                  </w:r>
                                </w:p>
                              </w:tc>
                              <w:tc>
                                <w:tcPr>
                                  <w:tcW w:w="1818"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 xml:space="preserve">Не более </w:t>
                                  </w:r>
                                  <w:r>
                                    <w:rPr>
                                      <w:rFonts w:cs="Tinos"/>
                                      <w:sz w:val="16"/>
                                      <w:szCs w:val="16"/>
                                    </w:rPr>
                                    <w:t>0,00002</w:t>
                                  </w:r>
                                </w:p>
                              </w:tc>
                              <w:tc>
                                <w:tcPr>
                                  <w:tcW w:w="903" w:type="dxa"/>
                                  <w:tcBorders>
                                    <w:start w:val="single" w:sz="4" w:space="0" w:color="000000"/>
                                    <w:bottom w:val="single" w:sz="4" w:space="0" w:color="000000"/>
                                    <w:end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r>
                                </w:p>
                              </w:tc>
                            </w:tr>
                            <w:tr>
                              <w:trPr>
                                <w:trHeight w:val="507" w:hRule="atLeast"/>
                              </w:trPr>
                              <w:tc>
                                <w:tcPr>
                                  <w:tcW w:w="2379"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ГОСТ 4461-77</w:t>
                                  </w:r>
                                </w:p>
                              </w:tc>
                              <w:tc>
                                <w:tcPr>
                                  <w:tcW w:w="1818" w:type="dxa"/>
                                  <w:tcBorders>
                                    <w:start w:val="single" w:sz="4" w:space="0" w:color="000000"/>
                                    <w:bottom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t>Соответствует</w:t>
                                  </w:r>
                                </w:p>
                              </w:tc>
                              <w:tc>
                                <w:tcPr>
                                  <w:tcW w:w="903" w:type="dxa"/>
                                  <w:tcBorders>
                                    <w:start w:val="single" w:sz="4" w:space="0" w:color="000000"/>
                                    <w:bottom w:val="single" w:sz="4" w:space="0" w:color="000000"/>
                                    <w:end w:val="single" w:sz="4" w:space="0" w:color="000000"/>
                                  </w:tcBorders>
                                </w:tcPr>
                                <w:p>
                                  <w:pPr>
                                    <w:pStyle w:val="Normal"/>
                                    <w:tabs>
                                      <w:tab w:val="clear" w:pos="708"/>
                                    </w:tabs>
                                    <w:spacing w:lineRule="auto" w:line="240" w:before="0" w:after="0"/>
                                    <w:ind w:end="0"/>
                                    <w:rPr>
                                      <w:rFonts w:ascii="Times New Roman" w:hAnsi="Times New Roman" w:cs="Tinos"/>
                                      <w:sz w:val="16"/>
                                      <w:szCs w:val="16"/>
                                    </w:rPr>
                                  </w:pPr>
                                  <w:r>
                                    <w:rPr>
                                      <w:rFonts w:cs="Tinos"/>
                                      <w:sz w:val="16"/>
                                      <w:szCs w:val="16"/>
                                    </w:rPr>
                                  </w:r>
                                </w:p>
                              </w:tc>
                            </w:tr>
                          </w:tbl>
                          <w:p>
                            <w:pPr>
                              <w:pStyle w:val="Normal"/>
                              <w:tabs>
                                <w:tab w:val="clear" w:pos="708"/>
                              </w:tabs>
                              <w:spacing w:lineRule="auto" w:line="240" w:before="0" w:after="0"/>
                              <w:ind w:end="0"/>
                              <w:rPr>
                                <w:rFonts w:ascii="Times New Roman" w:hAnsi="Times New Roman" w:cs="Tinos"/>
                                <w:sz w:val="16"/>
                                <w:szCs w:val="16"/>
                              </w:rPr>
                            </w:pPr>
                            <w:r>
                              <w:rPr>
                                <w:rFonts w:cs="Tinos"/>
                                <w:sz w:val="16"/>
                                <w:szCs w:val="16"/>
                              </w:rPr>
                            </w:r>
                          </w:p>
                        </w:tc>
                        <w:tc>
                          <w:tcPr>
                            <w:tcW w:w="1896" w:type="dxa"/>
                            <w:gridSpan w:val="3"/>
                            <w:tcBorders>
                              <w:top w:val="single" w:sz="4" w:space="0" w:color="000000"/>
                              <w:start w:val="single" w:sz="4" w:space="0" w:color="000000"/>
                              <w:bottom w:val="single" w:sz="4" w:space="0" w:color="000000"/>
                              <w:end w:val="single" w:sz="4" w:space="0" w:color="000000"/>
                            </w:tcBorders>
                            <w:shd w:color="FFFFFF" w:fill="auto" w:val="clear"/>
                          </w:tcPr>
                          <w:p>
                            <w:pPr>
                              <w:pStyle w:val="Normal"/>
                              <w:bidi w:val="0"/>
                              <w:spacing w:before="0" w:after="0"/>
                              <w:ind w:hanging="0" w:start="0" w:end="0"/>
                              <w:jc w:val="center"/>
                              <w:rPr>
                                <w:lang w:val="en-US"/>
                              </w:rPr>
                            </w:pPr>
                            <w:r>
                              <w:rPr/>
                            </w:r>
                          </w:p>
                        </w:tc>
                        <w:tc>
                          <w:tcPr>
                            <w:tcW w:w="997" w:type="dxa"/>
                            <w:tcBorders>
                              <w:top w:val="single" w:sz="4" w:space="0" w:color="000001"/>
                              <w:start w:val="single" w:sz="4" w:space="0" w:color="000001"/>
                              <w:bottom w:val="single" w:sz="4" w:space="0" w:color="000000"/>
                            </w:tcBorders>
                          </w:tcPr>
                          <w:p>
                            <w:pPr>
                              <w:pStyle w:val="Normal"/>
                              <w:bidi w:val="0"/>
                              <w:spacing w:before="0" w:after="0"/>
                              <w:ind w:hanging="0" w:start="57" w:end="0"/>
                              <w:jc w:val="center"/>
                              <w:rPr>
                                <w:lang w:val="en-US"/>
                              </w:rPr>
                            </w:pPr>
                            <w:r>
                              <w:rPr>
                                <w:lang w:val="en-US"/>
                              </w:rPr>
                              <w:t>1,3</w:t>
                            </w:r>
                          </w:p>
                        </w:tc>
                        <w:tc>
                          <w:tcPr>
                            <w:tcW w:w="1468" w:type="dxa"/>
                            <w:tcBorders>
                              <w:top w:val="single" w:sz="4" w:space="0" w:color="000001"/>
                              <w:start w:val="single" w:sz="4" w:space="0" w:color="000001"/>
                              <w:bottom w:val="single" w:sz="4" w:space="0" w:color="000000"/>
                            </w:tcBorders>
                          </w:tcPr>
                          <w:p>
                            <w:pPr>
                              <w:pStyle w:val="Normal"/>
                              <w:bidi w:val="0"/>
                              <w:spacing w:before="0" w:after="0"/>
                              <w:ind w:hanging="0" w:start="0" w:end="0"/>
                              <w:jc w:val="center"/>
                              <w:rPr/>
                            </w:pPr>
                            <w:r>
                              <w:rPr/>
                              <w:t>кг</w:t>
                            </w:r>
                          </w:p>
                        </w:tc>
                        <w:tc>
                          <w:tcPr>
                            <w:tcW w:w="1650" w:type="dxa"/>
                            <w:tcBorders>
                              <w:top w:val="single" w:sz="4" w:space="0" w:color="000000"/>
                              <w:start w:val="single" w:sz="4" w:space="0" w:color="000000"/>
                              <w:bottom w:val="single" w:sz="4" w:space="0" w:color="000000"/>
                              <w:end w:val="single" w:sz="4" w:space="0" w:color="000000"/>
                            </w:tcBorders>
                            <w:shd w:color="FFFFFF" w:fill="auto" w:val="clear"/>
                            <w:vAlign w:val="center"/>
                          </w:tcPr>
                          <w:p>
                            <w:pPr>
                              <w:pStyle w:val="Normal"/>
                              <w:bidi w:val="0"/>
                              <w:spacing w:before="0" w:after="0"/>
                              <w:ind w:hanging="0" w:start="0" w:end="0"/>
                              <w:jc w:val="center"/>
                              <w:rPr/>
                            </w:pPr>
                            <w:r>
                              <w:rPr/>
                            </w:r>
                          </w:p>
                        </w:tc>
                        <w:tc>
                          <w:tcPr>
                            <w:tcW w:w="1157" w:type="dxa"/>
                            <w:tcBorders>
                              <w:top w:val="single" w:sz="4" w:space="0" w:color="000000"/>
                              <w:start w:val="single" w:sz="4" w:space="0" w:color="000000"/>
                              <w:bottom w:val="single" w:sz="4" w:space="0" w:color="000000"/>
                              <w:end w:val="single" w:sz="4" w:space="0" w:color="000000"/>
                            </w:tcBorders>
                            <w:shd w:color="FFFFFF" w:fill="auto" w:val="clear"/>
                            <w:vAlign w:val="center"/>
                          </w:tcPr>
                          <w:p>
                            <w:pPr>
                              <w:pStyle w:val="Normal"/>
                              <w:bidi w:val="0"/>
                              <w:spacing w:lineRule="atLeast" w:line="57" w:before="0" w:after="0"/>
                              <w:ind w:hanging="0" w:start="0" w:end="0"/>
                              <w:jc w:val="center"/>
                              <w:rPr>
                                <w:highlight w:val="none"/>
                                <w:shd w:fill="auto" w:val="clear"/>
                              </w:rPr>
                            </w:pPr>
                            <w:r>
                              <w:rPr/>
                            </w:r>
                          </w:p>
                        </w:tc>
                        <w:tc>
                          <w:tcPr>
                            <w:tcW w:w="1843" w:type="dxa"/>
                            <w:tcBorders>
                              <w:top w:val="single" w:sz="4" w:space="0" w:color="000000"/>
                              <w:start w:val="single" w:sz="4" w:space="0" w:color="000000"/>
                              <w:bottom w:val="single" w:sz="4" w:space="0" w:color="000000"/>
                              <w:end w:val="single" w:sz="10" w:space="0" w:color="000000"/>
                            </w:tcBorders>
                            <w:shd w:color="FFFFFF" w:fill="auto" w:val="clear"/>
                            <w:vAlign w:val="center"/>
                          </w:tcPr>
                          <w:p>
                            <w:pPr>
                              <w:pStyle w:val="Normal"/>
                              <w:bidi w:val="0"/>
                              <w:spacing w:lineRule="atLeast" w:line="57" w:before="0" w:after="0"/>
                              <w:ind w:hanging="0" w:start="0" w:end="0"/>
                              <w:jc w:val="center"/>
                              <w:rPr>
                                <w:b w:val="false"/>
                                <w:bCs w:val="false"/>
                                <w:highlight w:val="none"/>
                                <w:shd w:fill="auto" w:val="clear"/>
                              </w:rPr>
                            </w:pPr>
                            <w:r>
                              <w:rPr/>
                            </w:r>
                          </w:p>
                        </w:tc>
                        <w:tc>
                          <w:tcPr>
                            <w:tcW w:w="1955" w:type="dxa"/>
                            <w:tcBorders/>
                          </w:tcPr>
                          <w:p>
                            <w:pPr>
                              <w:pStyle w:val="Normal"/>
                              <w:rPr/>
                            </w:pPr>
                            <w:r>
                              <w:rPr/>
                            </w:r>
                          </w:p>
                        </w:tc>
                      </w:tr>
                      <w:tr>
                        <w:trPr>
                          <w:trHeight w:val="572" w:hRule="atLeast"/>
                        </w:trPr>
                        <w:tc>
                          <w:tcPr>
                            <w:tcW w:w="13392" w:type="dxa"/>
                            <w:gridSpan w:val="10"/>
                            <w:tcBorders>
                              <w:top w:val="single" w:sz="4" w:space="0" w:color="000000"/>
                              <w:start w:val="single" w:sz="4" w:space="0" w:color="000000"/>
                              <w:bottom w:val="single" w:sz="4" w:space="0" w:color="000000"/>
                              <w:end w:val="single" w:sz="4" w:space="0" w:color="000000"/>
                            </w:tcBorders>
                          </w:tcPr>
                          <w:p>
                            <w:pPr>
                              <w:pStyle w:val="Normal"/>
                              <w:bidi w:val="0"/>
                              <w:spacing w:before="0" w:after="0"/>
                              <w:ind w:hanging="0" w:start="510" w:end="0"/>
                              <w:jc w:val="center"/>
                              <w:rPr>
                                <w:highlight w:val="none"/>
                                <w:shd w:fill="auto" w:val="clear"/>
                              </w:rPr>
                            </w:pPr>
                            <w:r>
                              <w:rPr>
                                <w:b/>
                                <w:bCs/>
                                <w:shd w:fill="auto" w:val="clear"/>
                              </w:rPr>
                              <w:t>ИТОГО:</w:t>
                            </w:r>
                          </w:p>
                        </w:tc>
                        <w:tc>
                          <w:tcPr>
                            <w:tcW w:w="1843" w:type="dxa"/>
                            <w:tcBorders>
                              <w:top w:val="single" w:sz="4" w:space="0" w:color="000000"/>
                              <w:start w:val="single" w:sz="4" w:space="0" w:color="000000"/>
                              <w:bottom w:val="single" w:sz="4" w:space="0" w:color="000000"/>
                              <w:end w:val="single" w:sz="4" w:space="0" w:color="000000"/>
                            </w:tcBorders>
                          </w:tcPr>
                          <w:p>
                            <w:pPr>
                              <w:pStyle w:val="Normal"/>
                              <w:bidi w:val="0"/>
                              <w:spacing w:before="0" w:after="0"/>
                              <w:ind w:hanging="0" w:start="510" w:end="0"/>
                              <w:jc w:val="center"/>
                              <w:rPr>
                                <w:b w:val="false"/>
                                <w:bCs w:val="false"/>
                                <w:highlight w:val="none"/>
                                <w:shd w:fill="auto" w:val="clear"/>
                              </w:rPr>
                            </w:pPr>
                            <w:r>
                              <w:rPr/>
                            </w:r>
                          </w:p>
                        </w:tc>
                        <w:tc>
                          <w:tcPr>
                            <w:tcW w:w="1955" w:type="dxa"/>
                            <w:tcBorders/>
                          </w:tcPr>
                          <w:p>
                            <w:pPr>
                              <w:pStyle w:val="Normal"/>
                              <w:rPr/>
                            </w:pPr>
                            <w:r>
                              <w:rPr/>
                            </w:r>
                          </w:p>
                        </w:tc>
                      </w:tr>
                      <w:tr>
                        <w:trPr>
                          <w:trHeight w:val="1824" w:hRule="atLeast"/>
                        </w:trPr>
                        <w:tc>
                          <w:tcPr>
                            <w:tcW w:w="5849" w:type="dxa"/>
                            <w:gridSpan w:val="2"/>
                            <w:tcBorders/>
                            <w:shd w:color="auto" w:fill="auto" w:val="clear"/>
                          </w:tcPr>
                          <w:p>
                            <w:pPr>
                              <w:pStyle w:val="Normal"/>
                              <w:tabs>
                                <w:tab w:val="clear" w:pos="708"/>
                                <w:tab w:val="left" w:pos="7680" w:leader="none"/>
                              </w:tabs>
                              <w:rPr>
                                <w:b/>
                                <w:color w:val="000000"/>
                              </w:rPr>
                            </w:pPr>
                            <w:r>
                              <w:rPr>
                                <w:b/>
                                <w:color w:val="000000"/>
                              </w:rPr>
                            </w:r>
                          </w:p>
                          <w:p>
                            <w:pPr>
                              <w:pStyle w:val="Normal"/>
                              <w:tabs>
                                <w:tab w:val="clear" w:pos="708"/>
                                <w:tab w:val="left" w:pos="7680" w:leader="none"/>
                              </w:tabs>
                              <w:rPr>
                                <w:b/>
                                <w:color w:val="000000"/>
                              </w:rPr>
                            </w:pPr>
                            <w:r>
                              <w:rPr>
                                <w:b/>
                                <w:color w:val="000000"/>
                              </w:rPr>
                              <w:t>Заказчик:</w:t>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материально-технического снабжения</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sz w:val="20"/>
                                <w:szCs w:val="20"/>
                              </w:rPr>
                              <w:t>____________  А.Е.Кузнецова</w:t>
                            </w:r>
                            <w:r>
                              <w:rPr/>
                              <w:t xml:space="preserve">                                                       </w:t>
                            </w:r>
                          </w:p>
                          <w:p>
                            <w:pPr>
                              <w:pStyle w:val="Normal"/>
                              <w:tabs>
                                <w:tab w:val="clear" w:pos="708"/>
                                <w:tab w:val="left" w:pos="7680" w:leader="none"/>
                              </w:tabs>
                              <w:rPr/>
                            </w:pPr>
                            <w:r>
                              <w:rPr/>
                              <w:t>м.п.</w:t>
                            </w:r>
                          </w:p>
                        </w:tc>
                        <w:tc>
                          <w:tcPr>
                            <w:tcW w:w="1137" w:type="dxa"/>
                            <w:gridSpan w:val="2"/>
                            <w:tcBorders/>
                          </w:tcPr>
                          <w:p>
                            <w:pPr>
                              <w:pStyle w:val="Normal"/>
                              <w:tabs>
                                <w:tab w:val="clear" w:pos="708"/>
                                <w:tab w:val="left" w:pos="7680" w:leader="none"/>
                              </w:tabs>
                              <w:rPr>
                                <w:b/>
                                <w:color w:val="000000"/>
                              </w:rPr>
                            </w:pPr>
                            <w:r>
                              <w:rPr>
                                <w:b/>
                                <w:color w:val="000000"/>
                              </w:rPr>
                            </w:r>
                          </w:p>
                        </w:tc>
                        <w:tc>
                          <w:tcPr>
                            <w:tcW w:w="235" w:type="dxa"/>
                            <w:tcBorders/>
                          </w:tcPr>
                          <w:p>
                            <w:pPr>
                              <w:pStyle w:val="Normal"/>
                              <w:tabs>
                                <w:tab w:val="clear" w:pos="708"/>
                                <w:tab w:val="left" w:pos="7680" w:leader="none"/>
                              </w:tabs>
                              <w:rPr>
                                <w:b/>
                                <w:color w:val="000000"/>
                              </w:rPr>
                            </w:pPr>
                            <w:r>
                              <w:rPr>
                                <w:b/>
                                <w:color w:val="000000"/>
                              </w:rPr>
                            </w:r>
                          </w:p>
                        </w:tc>
                        <w:tc>
                          <w:tcPr>
                            <w:tcW w:w="3364" w:type="dxa"/>
                            <w:gridSpan w:val="3"/>
                            <w:tcBorders/>
                          </w:tcPr>
                          <w:p>
                            <w:pPr>
                              <w:pStyle w:val="Normal"/>
                              <w:tabs>
                                <w:tab w:val="clear" w:pos="708"/>
                                <w:tab w:val="left" w:pos="7680" w:leader="none"/>
                              </w:tabs>
                              <w:rPr>
                                <w:b/>
                                <w:color w:val="000000"/>
                              </w:rPr>
                            </w:pPr>
                            <w:r>
                              <w:rPr>
                                <w:b/>
                                <w:color w:val="000000"/>
                              </w:rPr>
                            </w:r>
                          </w:p>
                        </w:tc>
                        <w:tc>
                          <w:tcPr>
                            <w:tcW w:w="6605" w:type="dxa"/>
                            <w:gridSpan w:val="4"/>
                            <w:tcBorders/>
                            <w:shd w:color="auto" w:fill="auto" w:val="clear"/>
                          </w:tcPr>
                          <w:p>
                            <w:pPr>
                              <w:pStyle w:val="Normal"/>
                              <w:tabs>
                                <w:tab w:val="clear" w:pos="708"/>
                                <w:tab w:val="left" w:pos="7680" w:leader="none"/>
                              </w:tabs>
                              <w:rPr>
                                <w:b/>
                                <w:color w:val="000000"/>
                              </w:rPr>
                            </w:pPr>
                            <w:r>
                              <w:rPr>
                                <w:b/>
                                <w:color w:val="000000"/>
                              </w:rPr>
                            </w:r>
                          </w:p>
                          <w:p>
                            <w:pPr>
                              <w:pStyle w:val="Normal"/>
                              <w:tabs>
                                <w:tab w:val="clear" w:pos="708"/>
                                <w:tab w:val="left" w:pos="7680" w:leader="none"/>
                              </w:tabs>
                              <w:rPr>
                                <w:b/>
                                <w:color w:val="000000"/>
                              </w:rPr>
                            </w:pPr>
                            <w:r>
                              <w:rPr>
                                <w:b/>
                                <w:color w:val="000000"/>
                              </w:rPr>
                              <w:t>Поставщик:</w:t>
                            </w:r>
                          </w:p>
                          <w:p>
                            <w:pPr>
                              <w:pStyle w:val="Normal"/>
                              <w:rPr>
                                <w:rFonts w:eastAsia="Calibri"/>
                                <w:lang w:eastAsia="en-US"/>
                              </w:rPr>
                            </w:pPr>
                            <w:r>
                              <w:rPr/>
                            </w:r>
                          </w:p>
                        </w:tc>
                      </w:tr>
                    </w:tbl>
                    <w:p>
                      <w:pPr>
                        <w:pStyle w:val="user5"/>
                        <w:rPr>
                          <w:color w:val="000000"/>
                        </w:rPr>
                      </w:pPr>
                      <w:r>
                        <w:rPr>
                          <w:color w:val="000000"/>
                        </w:rPr>
                      </w:r>
                    </w:p>
                  </w:txbxContent>
                </v:textbox>
                <w10:wrap type="square"/>
              </v:rect>
            </w:pict>
          </mc:Fallback>
        </mc:AlternateContent>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settings.xml><?xml version="1.0" encoding="utf-8"?>
<w:settings xmlns:w="http://schemas.openxmlformats.org/wordprocessingml/2006/main">
  <w:zoom w:percent="14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Style9">
    <w:name w:val="Символ сноски"/>
    <w:uiPriority w:val="99"/>
    <w:unhideWhenUsed/>
    <w:qFormat/>
    <w:rPr>
      <w:vertAlign w:val="superscript"/>
    </w:rPr>
  </w:style>
  <w:style w:type="character" w:styleId="user">
    <w:name w:val="Символ сноски (user)"/>
    <w:qFormat/>
    <w:rPr>
      <w:vertAlign w:val="superscript"/>
    </w:rPr>
  </w:style>
  <w:style w:type="character" w:styleId="FootnoteReference">
    <w:name w:val="footnote reference"/>
    <w:rPr>
      <w:vertAlign w:val="superscript"/>
    </w:rPr>
  </w:style>
  <w:style w:type="character" w:styleId="Style10" w:customStyle="1">
    <w:name w:val="Текст концевой сноски Знак"/>
    <w:uiPriority w:val="99"/>
    <w:qFormat/>
    <w:rPr>
      <w:sz w:val="20"/>
    </w:rPr>
  </w:style>
  <w:style w:type="character" w:styleId="Style11">
    <w:name w:val="Символ концевой сноски"/>
    <w:uiPriority w:val="99"/>
    <w:semiHidden/>
    <w:unhideWhenUsed/>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link w:val="ConsPlusNormal1"/>
    <w:uiPriority w:val="99"/>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link w:val="annotationsubject"/>
    <w:uiPriority w:val="99"/>
    <w:semiHidden/>
    <w:qFormat/>
    <w:rPr>
      <w:rFonts w:ascii="Times New Roman" w:hAnsi="Times New Roman" w:eastAsia="Times New Roman"/>
      <w:b/>
      <w:bCs/>
    </w:rPr>
  </w:style>
  <w:style w:type="character" w:styleId="Style17" w:customStyle="1">
    <w:name w:val="Текст выноски Знак"/>
    <w:basedOn w:val="DefaultParagraphFont"/>
    <w:link w:val="BalloonText"/>
    <w:uiPriority w:val="99"/>
    <w:semiHidden/>
    <w:qFormat/>
    <w:rPr>
      <w:rFonts w:ascii="Tahoma" w:hAnsi="Tahoma" w:eastAsia="Times New Roman" w:cs="Tahoma"/>
      <w:sz w:val="16"/>
      <w:szCs w:val="16"/>
    </w:rPr>
  </w:style>
  <w:style w:type="character" w:styleId="Style18" w:customStyle="1">
    <w:name w:val="Без интервала Знак"/>
    <w:link w:val="NoSpacing"/>
    <w:uiPriority w:val="99"/>
    <w:qFormat/>
    <w:rPr>
      <w:sz w:val="24"/>
      <w:szCs w:val="24"/>
    </w:rPr>
  </w:style>
  <w:style w:type="character" w:styleId="Hyperlink">
    <w:name w:val="Hyperlink"/>
    <w:basedOn w:val="DefaultParagraphFont"/>
    <w:uiPriority w:val="99"/>
    <w:unhideWhenUsed/>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0">
    <w:name w:val="Указатель"/>
    <w:basedOn w:val="Normal"/>
    <w:qFormat/>
    <w:pPr>
      <w:suppressLineNumbers/>
    </w:pPr>
    <w:rPr>
      <w:rFonts w:ascii="PT Astra Serif" w:hAnsi="PT Astra Serif" w:cs="FreeSans"/>
    </w:rPr>
  </w:style>
  <w:style w:type="paragraph" w:styleId="user2">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3">
    <w:name w:val="Указатель (user)"/>
    <w:basedOn w:val="Normal"/>
    <w:qFormat/>
    <w:pPr>
      <w:suppressLineNumbers/>
    </w:pPr>
    <w:rPr>
      <w:rFonts w:ascii="PT Astra Serif" w:hAnsi="PT Astra Serif" w:cs="FreeSans"/>
    </w:rPr>
  </w:style>
  <w:style w:type="paragraph" w:styleId="ListParagraph">
    <w:name w:val="List Paragraph"/>
    <w:basedOn w:val="Normal"/>
    <w:uiPriority w:val="34"/>
    <w:qFormat/>
    <w:pPr>
      <w:spacing w:before="0" w:after="0"/>
      <w:ind w:start="720"/>
      <w:contextualSpacing/>
    </w:pPr>
    <w:rPr/>
  </w:style>
  <w:style w:type="paragraph" w:styleId="Title">
    <w:name w:val="Title"/>
    <w:basedOn w:val="Normal"/>
    <w:next w:val="Normal"/>
    <w:link w:val="Style5"/>
    <w:uiPriority w:val="10"/>
    <w:qFormat/>
    <w:pPr>
      <w:spacing w:before="300" w:after="200"/>
      <w:contextualSpacing/>
    </w:pPr>
    <w:rPr>
      <w:sz w:val="48"/>
      <w:szCs w:val="48"/>
    </w:rPr>
  </w:style>
  <w:style w:type="paragraph" w:styleId="Subtitle">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1"/>
    <w:uiPriority w:val="29"/>
    <w:qFormat/>
    <w:pPr>
      <w:ind w:start="720" w:end="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start="720" w:end="720"/>
    </w:pPr>
    <w:rPr>
      <w:i/>
    </w:rPr>
  </w:style>
  <w:style w:type="paragraph" w:styleId="FootnoteText">
    <w:name w:val="footnote text"/>
    <w:basedOn w:val="Normal"/>
    <w:link w:val="Style8"/>
    <w:uiPriority w:val="99"/>
    <w:semiHidden/>
    <w:unhideWhenUsed/>
    <w:pPr>
      <w:spacing w:before="0" w:after="40"/>
    </w:pPr>
    <w:rPr>
      <w:sz w:val="18"/>
    </w:rPr>
  </w:style>
  <w:style w:type="paragraph" w:styleId="EndnoteText">
    <w:name w:val="endnote text"/>
    <w:basedOn w:val="Normal"/>
    <w:link w:val="Style10"/>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start="283"/>
    </w:pPr>
    <w:rPr/>
  </w:style>
  <w:style w:type="paragraph" w:styleId="TOC3">
    <w:name w:val="toc 3"/>
    <w:basedOn w:val="Normal"/>
    <w:next w:val="Normal"/>
    <w:uiPriority w:val="39"/>
    <w:unhideWhenUsed/>
    <w:pPr>
      <w:spacing w:before="0" w:after="57"/>
      <w:ind w:start="567"/>
    </w:pPr>
    <w:rPr/>
  </w:style>
  <w:style w:type="paragraph" w:styleId="TOC4">
    <w:name w:val="toc 4"/>
    <w:basedOn w:val="Normal"/>
    <w:next w:val="Normal"/>
    <w:uiPriority w:val="39"/>
    <w:unhideWhenUsed/>
    <w:pPr>
      <w:spacing w:before="0" w:after="57"/>
      <w:ind w:start="850"/>
    </w:pPr>
    <w:rPr/>
  </w:style>
  <w:style w:type="paragraph" w:styleId="TOC5">
    <w:name w:val="toc 5"/>
    <w:basedOn w:val="Normal"/>
    <w:next w:val="Normal"/>
    <w:uiPriority w:val="39"/>
    <w:unhideWhenUsed/>
    <w:pPr>
      <w:spacing w:before="0" w:after="57"/>
      <w:ind w:start="1134"/>
    </w:pPr>
    <w:rPr/>
  </w:style>
  <w:style w:type="paragraph" w:styleId="TOC6">
    <w:name w:val="toc 6"/>
    <w:basedOn w:val="Normal"/>
    <w:next w:val="Normal"/>
    <w:uiPriority w:val="39"/>
    <w:unhideWhenUsed/>
    <w:pPr>
      <w:spacing w:before="0" w:after="57"/>
      <w:ind w:start="1417"/>
    </w:pPr>
    <w:rPr/>
  </w:style>
  <w:style w:type="paragraph" w:styleId="TOC7">
    <w:name w:val="toc 7"/>
    <w:basedOn w:val="Normal"/>
    <w:next w:val="Normal"/>
    <w:uiPriority w:val="39"/>
    <w:unhideWhenUsed/>
    <w:pPr>
      <w:spacing w:before="0" w:after="57"/>
      <w:ind w:start="1701"/>
    </w:pPr>
    <w:rPr/>
  </w:style>
  <w:style w:type="paragraph" w:styleId="TOC8">
    <w:name w:val="toc 8"/>
    <w:basedOn w:val="Normal"/>
    <w:next w:val="Normal"/>
    <w:uiPriority w:val="39"/>
    <w:unhideWhenUsed/>
    <w:pPr>
      <w:spacing w:before="0" w:after="57"/>
      <w:ind w:start="1984"/>
    </w:pPr>
    <w:rPr/>
  </w:style>
  <w:style w:type="paragraph" w:styleId="TOC9">
    <w:name w:val="toc 9"/>
    <w:basedOn w:val="Normal"/>
    <w:next w:val="Normal"/>
    <w:uiPriority w:val="39"/>
    <w:unhideWhenUsed/>
    <w:pPr>
      <w:spacing w:before="0" w:after="57"/>
      <w:ind w:start="2268"/>
    </w:pPr>
    <w:rPr/>
  </w:style>
  <w:style w:type="paragraph" w:styleId="IndexHeading">
    <w:name w:val="index heading"/>
    <w:basedOn w:val="Style19"/>
    <w:pPr/>
    <w:rPr/>
  </w:style>
  <w:style w:type="paragraph" w:styleId="TOCHeading">
    <w:name w:val="TOC Heading"/>
    <w:uiPriority w:val="39"/>
    <w:unhideWhenUsed/>
    <w:qFormat/>
    <w:pPr>
      <w:widowControl/>
      <w:suppressAutoHyphens w:val="true"/>
      <w:bidi w:val="0"/>
      <w:spacing w:before="0" w:after="0"/>
      <w:jc w:val="star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BodyTextIndent">
    <w:name w:val="Body Text Indent"/>
    <w:basedOn w:val="Normal"/>
    <w:link w:val="Style12"/>
    <w:uiPriority w:val="99"/>
    <w:pPr>
      <w:ind w:firstLine="709"/>
      <w:jc w:val="both"/>
    </w:pPr>
    <w:rPr>
      <w:rFonts w:eastAsia="Calibri"/>
      <w:lang w:val="en-US"/>
    </w:rPr>
  </w:style>
  <w:style w:type="paragraph" w:styleId="ConsPlusNormal1" w:customStyle="1">
    <w:name w:val="ConsPlusNormal"/>
    <w:link w:val="ConsPlusNormal"/>
    <w:uiPriority w:val="99"/>
    <w:qFormat/>
    <w:pPr>
      <w:widowControl w:val="false"/>
      <w:suppressAutoHyphens w:val="true"/>
      <w:bidi w:val="0"/>
      <w:spacing w:before="0" w:after="0"/>
      <w:ind w:firstLine="720"/>
      <w:jc w:val="star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Style21">
    <w:name w:val="Колонтитулы"/>
    <w:basedOn w:val="Normal"/>
    <w:qFormat/>
    <w:pPr/>
    <w:rPr/>
  </w:style>
  <w:style w:type="paragraph" w:styleId="user4">
    <w:name w:val="Колонтитулы (user)"/>
    <w:basedOn w:val="Normal"/>
    <w:qFormat/>
    <w:pPr/>
    <w:rPr/>
  </w:style>
  <w:style w:type="paragraph" w:styleId="Header">
    <w:name w:val="header"/>
    <w:basedOn w:val="Normal"/>
    <w:link w:val="Style13"/>
    <w:uiPriority w:val="99"/>
    <w:unhideWhenUsed/>
    <w:pPr>
      <w:tabs>
        <w:tab w:val="clear" w:pos="708"/>
        <w:tab w:val="center" w:pos="4677" w:leader="none"/>
        <w:tab w:val="right" w:pos="9355" w:leader="none"/>
      </w:tabs>
    </w:pPr>
    <w:rPr/>
  </w:style>
  <w:style w:type="paragraph" w:styleId="Footer">
    <w:name w:val="footer"/>
    <w:basedOn w:val="Normal"/>
    <w:link w:val="Style14"/>
    <w:uiPriority w:val="99"/>
    <w:unhideWhenUsed/>
    <w:pPr>
      <w:tabs>
        <w:tab w:val="clear" w:pos="708"/>
        <w:tab w:val="center" w:pos="4677" w:leader="none"/>
        <w:tab w:val="right" w:pos="9355" w:leader="none"/>
      </w:tabs>
    </w:pPr>
    <w:rPr/>
  </w:style>
  <w:style w:type="paragraph" w:styleId="CommentText">
    <w:name w:val="annotation text"/>
    <w:basedOn w:val="Normal"/>
    <w:link w:val="Style15"/>
    <w:uiPriority w:val="99"/>
    <w:unhideWhenUsed/>
    <w:pPr/>
    <w:rPr/>
  </w:style>
  <w:style w:type="paragraph" w:styleId="annotationsubject">
    <w:name w:val="annotation subject"/>
    <w:basedOn w:val="CommentText"/>
    <w:next w:val="CommentText"/>
    <w:link w:val="Style16"/>
    <w:uiPriority w:val="99"/>
    <w:semiHidden/>
    <w:unhideWhenUsed/>
    <w:qFormat/>
    <w:pPr/>
    <w:rPr>
      <w:b/>
      <w:bCs/>
    </w:rPr>
  </w:style>
  <w:style w:type="paragraph" w:styleId="BalloonText">
    <w:name w:val="Balloon Text"/>
    <w:basedOn w:val="Normal"/>
    <w:link w:val="Style17"/>
    <w:uiPriority w:val="99"/>
    <w:semiHidden/>
    <w:unhideWhenUsed/>
    <w:qFormat/>
    <w:pPr/>
    <w:rPr>
      <w:rFonts w:ascii="Tahoma" w:hAnsi="Tahoma" w:cs="Tahoma"/>
      <w:sz w:val="16"/>
      <w:szCs w:val="16"/>
    </w:rPr>
  </w:style>
  <w:style w:type="paragraph" w:styleId="NoSpacing">
    <w:name w:val="No Spacing"/>
    <w:link w:val="Style18"/>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11" w:customStyle="1">
    <w:name w:val="Без интервала1"/>
    <w:uiPriority w:val="99"/>
    <w:qFormat/>
    <w:rsid w:val="00536bfa"/>
    <w:pPr>
      <w:widowControl/>
      <w:suppressAutoHyphens w:val="true"/>
      <w:bidi w:val="0"/>
      <w:spacing w:before="0" w:after="0"/>
      <w:jc w:val="start"/>
    </w:pPr>
    <w:rPr>
      <w:rFonts w:ascii="Calibri" w:hAnsi="Calibri" w:eastAsia="Times New Roman" w:cs="Calibri"/>
      <w:color w:val="auto"/>
      <w:kern w:val="0"/>
      <w:sz w:val="22"/>
      <w:szCs w:val="22"/>
      <w:lang w:val="ru-RU" w:eastAsia="en-US" w:bidi="ar-SA"/>
    </w:rPr>
  </w:style>
  <w:style w:type="paragraph" w:styleId="Style22">
    <w:name w:val="Содержимое врезки"/>
    <w:basedOn w:val="Normal"/>
    <w:qFormat/>
    <w:pPr/>
    <w:rPr/>
  </w:style>
  <w:style w:type="paragraph" w:styleId="user5">
    <w:name w:val="Содержимое врезки (user)"/>
    <w:basedOn w:val="Normal"/>
    <w:qFormat/>
    <w:pPr/>
    <w:rPr/>
  </w:style>
  <w:style w:type="paragraph" w:styleId="user6">
    <w:name w:val="Содержимое таблицы (user)"/>
    <w:basedOn w:val="Normal"/>
    <w:qFormat/>
    <w:pPr>
      <w:widowControl w:val="false"/>
      <w:suppressLineNumbers/>
    </w:pPr>
    <w:rPr/>
  </w:style>
  <w:style w:type="paragraph" w:styleId="user7">
    <w:name w:val="Заголовок таблицы (user)"/>
    <w:basedOn w:val="user6"/>
    <w:qFormat/>
    <w:pPr>
      <w:suppressLineNumbers/>
      <w:jc w:val="center"/>
    </w:pPr>
    <w:rPr>
      <w:b/>
      <w:bCs/>
    </w:rPr>
  </w:style>
  <w:style w:type="numbering" w:styleId="Style23"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11">
    <w:name w:val="Plain Table 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styleId="23">
    <w:name w:val="Plain Table 2"/>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31">
    <w:name w:val="Plain Table 3"/>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41">
    <w:name w:val="Plain Table 4"/>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51">
    <w:name w:val="Plain Table 5"/>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1">
    <w:name w:val="Grid Table 1 Light"/>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2">
    <w:name w:val="Grid Table 2"/>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3">
    <w:name w:val="Grid Table 3"/>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4">
    <w:name w:val="Grid Table 4"/>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5">
    <w:name w:val="Grid Table 5 Dark"/>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styleId="-6">
    <w:name w:val="Grid Table 6 Colorful"/>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styleId="-7">
    <w:name w:val="Grid Table 7 Colorful"/>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A6BFD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A6BFD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A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A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99D0DE"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99D0DE" w:themeColor="accent5" w:sz="4" w:space="0"/>
        </w:tcBorders>
        <w:shd w:val="clear" w:color="FFFFFF" w:fill="auto"/>
      </w:tcPr>
    </w:tblStylePr>
    <w:tblStylePr w:type="lastCol">
      <w:rPr>
        <w:i/>
        <w:color w:themeColor="accent5" w:themeShade="95"/>
        <w:sz w:val="22"/>
      </w:rPr>
      <w:tblPr/>
      <w:tcPr>
        <w:tcBorders>
          <w:top w:val="none" w:color="000000" w:sz="4" w:space="0"/>
          <w:left w:val="single" w:color="99D0DE"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AC39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AC396" w:themeColor="accent6" w:sz="4" w:space="0"/>
        </w:tcBorders>
        <w:shd w:val="clear" w:color="FFFFFF" w:fill="auto"/>
      </w:tcPr>
    </w:tblStylePr>
    <w:tblStylePr w:type="lastCol">
      <w:rPr>
        <w:i/>
        <w:color w:themeColor="accent6" w:themeShade="95"/>
        <w:sz w:val="22"/>
      </w:rPr>
      <w:tblPr/>
      <w:tcPr>
        <w:tcBorders>
          <w:top w:val="none" w:color="000000" w:sz="4" w:space="0"/>
          <w:left w:val="single" w:color="FAC39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styleId="-10">
    <w:name w:val="List Table 1 Light"/>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styleId="-20">
    <w:name w:val="List Table 2"/>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30">
    <w:name w:val="List Table 3"/>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styleId="-40">
    <w:name w:val="List Table 4"/>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50">
    <w:name w:val="List Table 5 Dark"/>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styleId="-60">
    <w:name w:val="List Table 6 Colorful"/>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styleId="-70">
    <w:name w:val="List Table 7 Colorful"/>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C3D69B"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C3D69B"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92CCDC"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92CCDC"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AC090"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AC090"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25</TotalTime>
  <Application>LibreOffice/25.8.3.2$Linux_X86_64 LibreOffice_project/580$Build-2</Application>
  <AppVersion>15.0000</AppVersion>
  <Pages>6</Pages>
  <Words>3043</Words>
  <Characters>21881</Characters>
  <CharactersWithSpaces>25500</CharactersWithSpaces>
  <Paragraphs>191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2025-02-10T02:27:00Z</dcterms:created>
  <dc:creator>Захаров Никита Сергеевич</dc:creator>
  <dc:description/>
  <dc:language>ru-RU</dc:language>
  <cp:lastModifiedBy/>
  <dcterms:modified xsi:type="dcterms:W3CDTF">2026-07-23T08:53:51Z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