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right"/>
        <w:rPr>
          <w:rFonts w:ascii="Times New Roman" w:hAnsi="Times New Roman"/>
          <w:caps w:val="1"/>
          <w:sz w:val="22"/>
        </w:rPr>
      </w:pPr>
      <w:r>
        <w:rPr>
          <w:rFonts w:ascii="Times New Roman" w:hAnsi="Times New Roman"/>
          <w:caps w:val="1"/>
          <w:sz w:val="22"/>
        </w:rPr>
        <w:t>УТВЕРЖДАЮ:</w:t>
      </w:r>
    </w:p>
    <w:p w14:paraId="02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right"/>
        <w:rPr>
          <w:rFonts w:ascii="Times New Roman" w:hAnsi="Times New Roman"/>
          <w:caps w:val="1"/>
          <w:sz w:val="22"/>
        </w:rPr>
      </w:pPr>
      <w:r>
        <w:rPr>
          <w:rFonts w:ascii="Times New Roman" w:hAnsi="Times New Roman"/>
          <w:caps w:val="1"/>
          <w:sz w:val="22"/>
        </w:rPr>
        <w:t>Руководитель МТУ Росимущества</w:t>
      </w:r>
    </w:p>
    <w:p w14:paraId="03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right"/>
        <w:rPr>
          <w:rFonts w:ascii="Times New Roman" w:hAnsi="Times New Roman"/>
          <w:caps w:val="1"/>
          <w:sz w:val="22"/>
        </w:rPr>
      </w:pPr>
      <w:r>
        <w:rPr>
          <w:rFonts w:ascii="Times New Roman" w:hAnsi="Times New Roman"/>
          <w:caps w:val="1"/>
          <w:sz w:val="22"/>
        </w:rPr>
        <w:t>в Забайкальском крае и Республике Бурятия</w:t>
      </w:r>
    </w:p>
    <w:p w14:paraId="04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right"/>
        <w:rPr>
          <w:rFonts w:ascii="Times New Roman" w:hAnsi="Times New Roman"/>
          <w:caps w:val="1"/>
          <w:sz w:val="22"/>
        </w:rPr>
      </w:pPr>
    </w:p>
    <w:p w14:paraId="05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right"/>
        <w:rPr>
          <w:rFonts w:ascii="Times New Roman" w:hAnsi="Times New Roman"/>
          <w:caps w:val="1"/>
          <w:sz w:val="22"/>
        </w:rPr>
      </w:pPr>
      <w:r>
        <w:rPr>
          <w:rFonts w:ascii="Times New Roman" w:hAnsi="Times New Roman"/>
          <w:caps w:val="1"/>
          <w:sz w:val="22"/>
        </w:rPr>
        <w:t>_____________________ Н.В. Пищулина</w:t>
      </w:r>
    </w:p>
    <w:p w14:paraId="06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right"/>
        <w:rPr>
          <w:rFonts w:ascii="Times New Roman" w:hAnsi="Times New Roman"/>
          <w:caps w:val="1"/>
          <w:sz w:val="22"/>
        </w:rPr>
      </w:pPr>
      <w:r>
        <w:rPr>
          <w:rFonts w:ascii="Times New Roman" w:hAnsi="Times New Roman"/>
          <w:caps w:val="1"/>
          <w:sz w:val="22"/>
        </w:rPr>
        <w:t>«_______»________________________ 2026г.</w:t>
      </w:r>
    </w:p>
    <w:p w14:paraId="07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center"/>
        <w:rPr>
          <w:rFonts w:ascii="Times New Roman" w:hAnsi="Times New Roman"/>
          <w:caps w:val="1"/>
          <w:sz w:val="22"/>
        </w:rPr>
      </w:pPr>
    </w:p>
    <w:p w14:paraId="08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center"/>
        <w:rPr>
          <w:rFonts w:ascii="Times New Roman" w:hAnsi="Times New Roman"/>
          <w:caps w:val="1"/>
          <w:sz w:val="22"/>
        </w:rPr>
      </w:pPr>
    </w:p>
    <w:p w14:paraId="09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center"/>
        <w:rPr>
          <w:rFonts w:ascii="Times New Roman" w:hAnsi="Times New Roman"/>
          <w:caps w:val="1"/>
          <w:sz w:val="22"/>
        </w:rPr>
      </w:pPr>
      <w:r>
        <w:rPr>
          <w:rFonts w:ascii="Times New Roman" w:hAnsi="Times New Roman"/>
          <w:caps w:val="1"/>
          <w:sz w:val="22"/>
        </w:rPr>
        <w:t xml:space="preserve">Обоснование </w:t>
      </w:r>
      <w:r>
        <w:rPr>
          <w:rFonts w:ascii="Times New Roman" w:hAnsi="Times New Roman"/>
          <w:caps w:val="1"/>
          <w:sz w:val="22"/>
        </w:rPr>
        <w:t xml:space="preserve"> НАЧАЛЬНОЙ МАКСИМАЛЬНОЙ ЦЕНЫ КОНТРАКТА</w:t>
      </w:r>
    </w:p>
    <w:p w14:paraId="0A000000">
      <w:pPr>
        <w:pStyle w:val="Style_1"/>
        <w:widowControl w:val="1"/>
        <w:tabs>
          <w:tab w:leader="none" w:pos="2300" w:val="left"/>
        </w:tabs>
        <w:spacing w:after="0" w:before="0" w:line="240" w:lineRule="auto"/>
        <w:ind w:firstLine="643"/>
        <w:jc w:val="center"/>
        <w:rPr>
          <w:rFonts w:ascii="Times New Roman" w:hAnsi="Times New Roman"/>
          <w:caps w:val="1"/>
          <w:sz w:val="22"/>
        </w:rPr>
      </w:pPr>
    </w:p>
    <w:tbl>
      <w:tblPr>
        <w:tblStyle w:val="Style_2"/>
        <w:tblW w:type="auto" w:w="0"/>
        <w:tblInd w:type="dxa" w:w="2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2902"/>
        <w:gridCol w:w="11486"/>
      </w:tblGrid>
      <w:tr>
        <w:trPr>
          <w:trHeight w:hRule="atLeast" w:val="587"/>
        </w:trPr>
        <w:tc>
          <w:tcPr>
            <w:tcW w:type="dxa" w:w="2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B000000">
            <w:pPr>
              <w:widowControl w:val="1"/>
              <w:spacing w:after="0"/>
              <w:ind w:left="-28" w:right="57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Наименование  закупки</w:t>
            </w:r>
          </w:p>
        </w:tc>
        <w:tc>
          <w:tcPr>
            <w:tcW w:type="dxa" w:w="11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  <w:r>
              <w:rPr>
                <w:rFonts w:ascii="Times New Roman" w:hAnsi="Times New Roman"/>
                <w:sz w:val="24"/>
              </w:rPr>
              <w:t xml:space="preserve"> ремонт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системы отопления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587"/>
        </w:trPr>
        <w:tc>
          <w:tcPr>
            <w:tcW w:type="dxa" w:w="2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D000000">
            <w:pPr>
              <w:widowControl w:val="1"/>
              <w:spacing w:after="0"/>
              <w:ind w:left="-28" w:right="57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ОКПД2</w:t>
            </w:r>
          </w:p>
        </w:tc>
        <w:tc>
          <w:tcPr>
            <w:tcW w:type="dxa" w:w="11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E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43.22.12.190- Работы по монтажу систем отопления,  вентиляции, кондиционирования воздуха прочие, не включенные в другие группировки</w:t>
            </w:r>
          </w:p>
        </w:tc>
      </w:tr>
      <w:tr>
        <w:trPr>
          <w:trHeight w:hRule="atLeast" w:val="1630"/>
        </w:trPr>
        <w:tc>
          <w:tcPr>
            <w:tcW w:type="dxa" w:w="2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widowControl w:val="1"/>
              <w:spacing w:after="0"/>
              <w:ind w:left="-28" w:right="57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Используемый метод определения НМЦК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24"/>
              </w:rPr>
              <w:t>с обоснованием:</w:t>
            </w:r>
          </w:p>
        </w:tc>
        <w:tc>
          <w:tcPr>
            <w:tcW w:type="dxa" w:w="11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0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Применяется </w:t>
            </w:r>
            <w:r>
              <w:rPr>
                <w:rFonts w:ascii="Times New Roman" w:hAnsi="Times New Roman"/>
                <w:b w:val="1"/>
                <w:sz w:val="24"/>
              </w:rPr>
              <w:t>Проектно-сметный</w:t>
            </w:r>
            <w:r>
              <w:rPr>
                <w:rFonts w:ascii="Times New Roman" w:hAnsi="Times New Roman"/>
                <w:b w:val="1"/>
                <w:sz w:val="24"/>
              </w:rPr>
              <w:t xml:space="preserve"> метод</w:t>
            </w:r>
            <w:r>
              <w:rPr>
                <w:rFonts w:ascii="Times New Roman" w:hAnsi="Times New Roman"/>
                <w:sz w:val="24"/>
              </w:rPr>
              <w:t xml:space="preserve">, данный метод определения НЦМК является приоритетным. </w:t>
            </w:r>
            <w:bookmarkStart w:id="1" w:name="_GoBack"/>
            <w:bookmarkEnd w:id="1"/>
          </w:p>
          <w:p w14:paraId="11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Обоснование подготовлено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нужд", Приказом Минэкономразвития России от 02.10.2013 N 567 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      </w:r>
          </w:p>
        </w:tc>
      </w:tr>
      <w:tr>
        <w:trPr>
          <w:trHeight w:hRule="atLeast" w:val="248"/>
        </w:trPr>
        <w:tc>
          <w:tcPr>
            <w:tcW w:type="dxa" w:w="2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2000000">
            <w:pPr>
              <w:widowControl w:val="1"/>
              <w:spacing w:after="0"/>
              <w:ind w:left="-28" w:right="57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КБК</w:t>
            </w:r>
          </w:p>
        </w:tc>
        <w:tc>
          <w:tcPr>
            <w:tcW w:type="dxa" w:w="11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16701133941290020244</w:t>
            </w:r>
          </w:p>
        </w:tc>
      </w:tr>
      <w:tr>
        <w:trPr>
          <w:trHeight w:hRule="atLeast" w:val="216"/>
        </w:trPr>
        <w:tc>
          <w:tcPr>
            <w:tcW w:type="dxa" w:w="2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4000000">
            <w:pPr>
              <w:widowControl w:val="1"/>
              <w:spacing w:after="0"/>
              <w:ind w:left="-28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1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5000000">
            <w:pPr>
              <w:widowControl w:val="1"/>
              <w:spacing w:after="0"/>
              <w:ind w:left="1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Расчет НМЦК</w:t>
            </w:r>
          </w:p>
        </w:tc>
      </w:tr>
      <w:tr>
        <w:trPr>
          <w:trHeight w:hRule="atLeast" w:val="516"/>
        </w:trPr>
        <w:tc>
          <w:tcPr>
            <w:tcW w:type="dxa" w:w="2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6000000">
            <w:pPr>
              <w:pStyle w:val="Style_3"/>
              <w:widowControl w:val="1"/>
              <w:ind w:left="-28" w:right="-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Расчет НМЦК  согласно Локального сметного расчета</w:t>
            </w:r>
          </w:p>
        </w:tc>
        <w:tc>
          <w:tcPr>
            <w:tcW w:type="dxa" w:w="11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7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60331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(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шесть</w:t>
            </w:r>
            <w:r>
              <w:rPr>
                <w:rFonts w:ascii="Times New Roman" w:hAnsi="Times New Roman"/>
                <w:b w:val="1"/>
                <w:sz w:val="24"/>
              </w:rPr>
              <w:t xml:space="preserve">десят </w:t>
            </w:r>
            <w:r>
              <w:rPr>
                <w:rFonts w:ascii="Times New Roman" w:hAnsi="Times New Roman"/>
                <w:b w:val="1"/>
                <w:sz w:val="24"/>
              </w:rPr>
              <w:t>тысяч триста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тридцать</w:t>
            </w:r>
            <w:r>
              <w:rPr>
                <w:rFonts w:ascii="Times New Roman" w:hAnsi="Times New Roman"/>
                <w:b w:val="1"/>
                <w:sz w:val="24"/>
              </w:rPr>
              <w:t xml:space="preserve"> один</w:t>
            </w:r>
            <w:r>
              <w:rPr>
                <w:rFonts w:ascii="Times New Roman" w:hAnsi="Times New Roman"/>
                <w:b w:val="1"/>
                <w:sz w:val="24"/>
              </w:rPr>
              <w:t>) рубл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  <w:r>
              <w:rPr>
                <w:rFonts w:ascii="Times New Roman" w:hAnsi="Times New Roman"/>
                <w:b w:val="1"/>
                <w:sz w:val="24"/>
              </w:rPr>
              <w:t xml:space="preserve"> 95</w:t>
            </w:r>
            <w:r>
              <w:rPr>
                <w:rFonts w:ascii="Times New Roman" w:hAnsi="Times New Roman"/>
                <w:b w:val="1"/>
                <w:sz w:val="24"/>
              </w:rPr>
              <w:t xml:space="preserve"> коп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sz w:val="24"/>
              </w:rPr>
              <w:t>п</w:t>
            </w:r>
            <w:r>
              <w:rPr>
                <w:rFonts w:ascii="Times New Roman" w:hAnsi="Times New Roman"/>
                <w:b w:val="1"/>
                <w:sz w:val="24"/>
              </w:rPr>
              <w:t xml:space="preserve">о расчету </w:t>
            </w:r>
            <w:r>
              <w:rPr>
                <w:rFonts w:ascii="Times New Roman" w:hAnsi="Times New Roman"/>
                <w:b w:val="1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sz w:val="24"/>
              </w:rPr>
              <w:t xml:space="preserve"> квартала 202</w:t>
            </w:r>
            <w:r>
              <w:rPr>
                <w:rFonts w:ascii="Times New Roman" w:hAnsi="Times New Roman"/>
                <w:b w:val="1"/>
                <w:sz w:val="24"/>
              </w:rPr>
              <w:t>6</w:t>
            </w:r>
            <w:r>
              <w:rPr>
                <w:rFonts w:ascii="Times New Roman" w:hAnsi="Times New Roman"/>
                <w:b w:val="1"/>
                <w:sz w:val="24"/>
              </w:rPr>
              <w:t xml:space="preserve"> года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c</w:t>
            </w:r>
            <w:r>
              <w:rPr>
                <w:rFonts w:ascii="Times New Roman" w:hAnsi="Times New Roman"/>
                <w:b w:val="1"/>
                <w:sz w:val="24"/>
              </w:rPr>
              <w:t xml:space="preserve"> учет</w:t>
            </w:r>
            <w:r>
              <w:rPr>
                <w:rFonts w:ascii="Times New Roman" w:hAnsi="Times New Roman"/>
                <w:b w:val="1"/>
                <w:sz w:val="24"/>
              </w:rPr>
              <w:t>ом</w:t>
            </w:r>
            <w:r>
              <w:rPr>
                <w:rFonts w:ascii="Times New Roman" w:hAnsi="Times New Roman"/>
                <w:b w:val="1"/>
                <w:sz w:val="24"/>
              </w:rPr>
              <w:t xml:space="preserve"> НДС 22%</w:t>
            </w:r>
            <w:r>
              <w:rPr>
                <w:rFonts w:ascii="Times New Roman" w:hAnsi="Times New Roman"/>
                <w:b w:val="1"/>
                <w:sz w:val="24"/>
              </w:rPr>
              <w:t>)</w:t>
            </w:r>
          </w:p>
        </w:tc>
      </w:tr>
      <w:tr>
        <w:trPr>
          <w:trHeight w:hRule="atLeast" w:val="516"/>
        </w:trPr>
        <w:tc>
          <w:tcPr>
            <w:tcW w:type="dxa" w:w="2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pStyle w:val="Style_3"/>
              <w:widowControl w:val="1"/>
              <w:ind w:left="-28" w:right="-2"/>
              <w:rPr>
                <w:rFonts w:ascii="Times New Roman" w:hAnsi="Times New Roman"/>
                <w:b w:val="1"/>
              </w:rPr>
            </w:pPr>
            <w:r>
              <w:rPr>
                <w:b w:val="1"/>
              </w:rPr>
              <w:t>Руководствуясь п.2 ст.72 ст.219 БК РФ и принимая во внимание доведенные ЛБО, НМЦК устанавливается в размере:</w:t>
            </w:r>
          </w:p>
        </w:tc>
        <w:tc>
          <w:tcPr>
            <w:tcW w:type="dxa" w:w="11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9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60279 (шестьдесят тысяч двести семьдесят девять) рублей 51 коп.</w:t>
            </w:r>
          </w:p>
        </w:tc>
      </w:tr>
    </w:tbl>
    <w:p w14:paraId="1A000000">
      <w:pPr>
        <w:keepNext w:val="1"/>
        <w:widowControl w:val="1"/>
        <w:tabs>
          <w:tab w:leader="none" w:pos="2300" w:val="left"/>
        </w:tabs>
        <w:spacing w:after="0" w:line="240" w:lineRule="auto"/>
        <w:ind/>
        <w:outlineLvl w:val="1"/>
        <w:rPr>
          <w:rFonts w:ascii="Times New Roman" w:hAnsi="Times New Roman"/>
          <w:sz w:val="24"/>
        </w:rPr>
      </w:pPr>
    </w:p>
    <w:p w14:paraId="1B000000">
      <w:pPr>
        <w:keepNext w:val="1"/>
        <w:widowControl w:val="1"/>
        <w:tabs>
          <w:tab w:leader="none" w:pos="2300" w:val="left"/>
        </w:tabs>
        <w:spacing w:after="0" w:line="240" w:lineRule="auto"/>
        <w:ind/>
        <w:outlineLvl w:val="1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771"/>
        <w:gridCol w:w="3911"/>
        <w:gridCol w:w="4452"/>
      </w:tblGrid>
      <w:tr>
        <w:tc>
          <w:tcPr>
            <w:tcW w:type="dxa" w:w="677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C000000">
            <w:pPr>
              <w:keepNext w:val="1"/>
              <w:widowControl w:val="1"/>
              <w:tabs>
                <w:tab w:leader="none" w:pos="2300" w:val="left"/>
              </w:tabs>
              <w:spacing w:line="360" w:lineRule="auto"/>
              <w:ind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</w:t>
            </w:r>
          </w:p>
        </w:tc>
        <w:tc>
          <w:tcPr>
            <w:tcW w:type="dxa" w:w="3911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</w:tcPr>
          <w:p w14:paraId="1D000000">
            <w:pPr>
              <w:keepNext w:val="1"/>
              <w:widowControl w:val="1"/>
              <w:tabs>
                <w:tab w:leader="none" w:pos="2300" w:val="left"/>
              </w:tabs>
              <w:spacing w:line="360" w:lineRule="auto"/>
              <w:ind/>
              <w:outlineLvl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5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E000000">
            <w:pPr>
              <w:keepNext w:val="1"/>
              <w:widowControl w:val="1"/>
              <w:tabs>
                <w:tab w:leader="none" w:pos="2300" w:val="left"/>
              </w:tabs>
              <w:spacing w:line="360" w:lineRule="auto"/>
              <w:ind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sz w:val="24"/>
              </w:rPr>
              <w:t>М.В. Басова</w:t>
            </w: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>
        <w:tc>
          <w:tcPr>
            <w:tcW w:type="dxa" w:w="677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F000000">
            <w:pPr>
              <w:keepNext w:val="1"/>
              <w:widowControl w:val="1"/>
              <w:tabs>
                <w:tab w:leader="none" w:pos="2300" w:val="left"/>
              </w:tabs>
              <w:spacing w:line="360" w:lineRule="auto"/>
              <w:ind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Ведущий специалист-эксперт </w:t>
            </w:r>
          </w:p>
        </w:tc>
        <w:tc>
          <w:tcPr>
            <w:tcW w:type="dxa" w:w="3911"/>
            <w:tcBorders>
              <w:top w:color="000000" w:sz="4" w:val="single"/>
              <w:left w:color="000000" w:sz="4" w:val="nil"/>
              <w:bottom w:color="000000" w:sz="4" w:val="single"/>
              <w:right w:color="000000" w:sz="4" w:val="nil"/>
            </w:tcBorders>
          </w:tcPr>
          <w:p w14:paraId="20000000">
            <w:pPr>
              <w:keepNext w:val="1"/>
              <w:widowControl w:val="1"/>
              <w:tabs>
                <w:tab w:leader="none" w:pos="2300" w:val="left"/>
              </w:tabs>
              <w:spacing w:line="360" w:lineRule="auto"/>
              <w:ind/>
              <w:outlineLvl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5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1000000">
            <w:pPr>
              <w:keepNext w:val="1"/>
              <w:widowControl w:val="1"/>
              <w:tabs>
                <w:tab w:leader="none" w:pos="2300" w:val="left"/>
              </w:tabs>
              <w:spacing w:line="360" w:lineRule="auto"/>
              <w:ind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sz w:val="24"/>
              </w:rPr>
              <w:t>И.М. Чупретова</w:t>
            </w:r>
            <w:r>
              <w:rPr>
                <w:rFonts w:ascii="Times New Roman" w:hAnsi="Times New Roman"/>
                <w:sz w:val="24"/>
              </w:rPr>
              <w:t>/</w:t>
            </w:r>
          </w:p>
        </w:tc>
      </w:tr>
    </w:tbl>
    <w:p w14:paraId="22000000">
      <w:pPr>
        <w:rPr>
          <w:rFonts w:ascii="Times New Roman" w:hAnsi="Times New Roman"/>
          <w:sz w:val="24"/>
        </w:rPr>
      </w:pPr>
    </w:p>
    <w:sectPr>
      <w:pgSz w:h="11906" w:orient="landscape" w:w="16838"/>
      <w:pgMar w:bottom="850" w:footer="708" w:gutter="0" w:header="708" w:left="1134" w:right="536" w:top="113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selectable-text1"/>
    <w:basedOn w:val="Style_13"/>
    <w:link w:val="Style_12_ch"/>
  </w:style>
  <w:style w:styleId="Style_12_ch" w:type="character">
    <w:name w:val="selectable-text1"/>
    <w:basedOn w:val="Style_13_ch"/>
    <w:link w:val="Style_12"/>
  </w:style>
  <w:style w:styleId="Style_14" w:type="paragraph">
    <w:name w:val="toc 3"/>
    <w:next w:val="Style_5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Default"/>
    <w:link w:val="Style_16_ch"/>
    <w:pPr>
      <w:widowControl w:val="1"/>
      <w:spacing w:after="0" w:line="240" w:lineRule="auto"/>
      <w:ind/>
    </w:pPr>
    <w:rPr>
      <w:rFonts w:ascii="Tahoma" w:hAnsi="Tahoma"/>
      <w:color w:val="000000"/>
      <w:sz w:val="24"/>
    </w:rPr>
  </w:style>
  <w:style w:styleId="Style_16_ch" w:type="character">
    <w:name w:val="Default"/>
    <w:link w:val="Style_16"/>
    <w:rPr>
      <w:rFonts w:ascii="Tahoma" w:hAnsi="Tahoma"/>
      <w:color w:val="000000"/>
      <w:sz w:val="24"/>
    </w:rPr>
  </w:style>
  <w:style w:styleId="Style_17" w:type="paragraph">
    <w:name w:val="heading 1"/>
    <w:next w:val="Style_5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5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selectable-text"/>
    <w:basedOn w:val="Style_5"/>
    <w:link w:val="Style_2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selectable-text"/>
    <w:basedOn w:val="Style_5_ch"/>
    <w:link w:val="Style_22"/>
    <w:rPr>
      <w:rFonts w:ascii="Times New Roman" w:hAnsi="Times New Roman"/>
      <w:sz w:val="24"/>
    </w:rPr>
  </w:style>
  <w:style w:styleId="Style_3" w:type="paragraph">
    <w:name w:val="1KG=K9"/>
    <w:link w:val="Style_3_ch"/>
    <w:pPr>
      <w:widowControl w:val="1"/>
      <w:spacing w:after="0" w:line="240" w:lineRule="auto"/>
      <w:ind/>
    </w:pPr>
    <w:rPr>
      <w:rFonts w:ascii="Arial" w:hAnsi="Arial"/>
      <w:sz w:val="24"/>
    </w:rPr>
  </w:style>
  <w:style w:styleId="Style_3_ch" w:type="character">
    <w:name w:val="1KG=K9"/>
    <w:link w:val="Style_3"/>
    <w:rPr>
      <w:rFonts w:ascii="Arial" w:hAnsi="Arial"/>
      <w:sz w:val="24"/>
    </w:rPr>
  </w:style>
  <w:style w:styleId="Style_23" w:type="paragraph">
    <w:name w:val="toc 9"/>
    <w:next w:val="Style_5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" w:type="paragraph">
    <w:name w:val="03zagolovok2"/>
    <w:basedOn w:val="Style_5"/>
    <w:link w:val="Style_1_ch"/>
    <w:pPr>
      <w:keepNext w:val="1"/>
      <w:widowControl w:val="1"/>
      <w:spacing w:after="120" w:before="360" w:line="360" w:lineRule="atLeast"/>
      <w:ind/>
      <w:outlineLvl w:val="1"/>
    </w:pPr>
    <w:rPr>
      <w:rFonts w:ascii="GaramondC" w:hAnsi="GaramondC"/>
      <w:b w:val="1"/>
      <w:color w:val="000000"/>
      <w:sz w:val="28"/>
    </w:rPr>
  </w:style>
  <w:style w:styleId="Style_1_ch" w:type="character">
    <w:name w:val="03zagolovok2"/>
    <w:basedOn w:val="Style_5_ch"/>
    <w:link w:val="Style_1"/>
    <w:rPr>
      <w:rFonts w:ascii="GaramondC" w:hAnsi="GaramondC"/>
      <w:b w:val="1"/>
      <w:color w:val="000000"/>
      <w:sz w:val="28"/>
    </w:rPr>
  </w:style>
  <w:style w:styleId="Style_24" w:type="paragraph">
    <w:name w:val="toc 8"/>
    <w:next w:val="Style_5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5" w:type="paragraph">
    <w:name w:val="toc 5"/>
    <w:next w:val="Style_5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5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5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5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5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2026-09-02T07:23:46Z</dcterms:created>
  <dcterms:modified xsi:type="dcterms:W3CDTF">2026-09-02T07:52:24Z</dcterms:modified>
</cp:coreProperties>
</file>