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pStyle w:val="Style_2"/>
        <w:widowControl w:val="1"/>
        <w:ind w:right="-1"/>
        <w:jc w:val="center"/>
        <w:rPr>
          <w:rFonts w:ascii="Times New Roman" w:hAnsi="Times New Roman"/>
          <w:b w:val="1"/>
          <w:sz w:val="24"/>
        </w:rPr>
      </w:pPr>
      <w:r>
        <w:rPr>
          <w:rFonts w:ascii="Times New Roman" w:hAnsi="Times New Roman"/>
          <w:b w:val="1"/>
          <w:sz w:val="24"/>
        </w:rPr>
        <w:t>ГОСУДАРСТВЕННЫЙ КОНТРАКТ №___</w:t>
      </w:r>
    </w:p>
    <w:p w14:paraId="03000000">
      <w:pPr>
        <w:pStyle w:val="Style_2"/>
        <w:widowControl w:val="1"/>
        <w:ind w:right="-1"/>
        <w:jc w:val="center"/>
        <w:rPr>
          <w:rFonts w:ascii="Times New Roman" w:hAnsi="Times New Roman"/>
          <w:b w:val="1"/>
          <w:sz w:val="24"/>
        </w:rPr>
      </w:pPr>
      <w:r>
        <w:rPr>
          <w:rFonts w:ascii="Times New Roman" w:hAnsi="Times New Roman"/>
          <w:b w:val="1"/>
          <w:sz w:val="24"/>
        </w:rPr>
        <w:t>(ПРОЕКТ)</w:t>
      </w:r>
    </w:p>
    <w:p w14:paraId="04000000">
      <w:pPr>
        <w:widowControl w:val="1"/>
        <w:tabs>
          <w:tab w:leader="none" w:pos="5102" w:val="center"/>
          <w:tab w:leader="none" w:pos="10205" w:val="right"/>
        </w:tabs>
        <w:ind/>
        <w:jc w:val="center"/>
        <w:rPr>
          <w:b w:val="1"/>
        </w:rPr>
      </w:pPr>
    </w:p>
    <w:p w14:paraId="05000000">
      <w:pPr>
        <w:pStyle w:val="Style_2"/>
        <w:widowControl w:val="1"/>
        <w:ind w:firstLine="0" w:right="-1"/>
        <w:jc w:val="center"/>
        <w:rPr>
          <w:rFonts w:ascii="Times New Roman" w:hAnsi="Times New Roman"/>
          <w:b w:val="1"/>
          <w:sz w:val="24"/>
        </w:rPr>
      </w:pPr>
      <w:r>
        <w:rPr>
          <w:rFonts w:ascii="Times New Roman" w:hAnsi="Times New Roman"/>
          <w:b w:val="1"/>
          <w:sz w:val="24"/>
        </w:rPr>
        <w:t xml:space="preserve"> ИКЗ:</w:t>
      </w:r>
      <w:r>
        <w:rPr>
          <w:rFonts w:ascii="Times New Roman" w:hAnsi="Times New Roman"/>
          <w:b w:val="1"/>
          <w:color w:val="383838"/>
          <w:sz w:val="24"/>
          <w:highlight w:val="white"/>
        </w:rPr>
        <w:t xml:space="preserve"> 2</w:t>
      </w:r>
      <w:r>
        <w:rPr>
          <w:rFonts w:ascii="Times New Roman" w:hAnsi="Times New Roman"/>
          <w:b w:val="1"/>
          <w:color w:val="383838"/>
          <w:sz w:val="24"/>
          <w:highlight w:val="white"/>
        </w:rPr>
        <w:t>6</w:t>
      </w:r>
      <w:r>
        <w:rPr>
          <w:rFonts w:ascii="Times New Roman" w:hAnsi="Times New Roman"/>
          <w:b w:val="1"/>
          <w:color w:val="383838"/>
          <w:sz w:val="24"/>
          <w:highlight w:val="white"/>
        </w:rPr>
        <w:t>1753617985075360100100</w:t>
      </w:r>
      <w:r>
        <w:rPr>
          <w:rFonts w:ascii="Times New Roman" w:hAnsi="Times New Roman"/>
          <w:b w:val="1"/>
          <w:color w:val="383838"/>
          <w:sz w:val="24"/>
          <w:highlight w:val="white"/>
        </w:rPr>
        <w:t>10</w:t>
      </w:r>
      <w:r>
        <w:rPr>
          <w:rFonts w:ascii="Times New Roman" w:hAnsi="Times New Roman"/>
          <w:b w:val="1"/>
          <w:color w:val="383838"/>
          <w:sz w:val="24"/>
          <w:highlight w:val="white"/>
        </w:rPr>
        <w:t>0000000</w:t>
      </w:r>
      <w:r>
        <w:rPr>
          <w:rFonts w:ascii="Times New Roman" w:hAnsi="Times New Roman"/>
          <w:b w:val="1"/>
          <w:color w:val="383838"/>
          <w:sz w:val="24"/>
        </w:rPr>
        <w:t>244</w:t>
      </w:r>
    </w:p>
    <w:p w14:paraId="06000000">
      <w:pPr>
        <w:widowControl w:val="1"/>
        <w:ind w:firstLine="709"/>
        <w:rPr>
          <w:sz w:val="22"/>
        </w:rPr>
      </w:pPr>
    </w:p>
    <w:p w14:paraId="07000000">
      <w:pPr>
        <w:keepNext w:val="1"/>
        <w:widowControl w:val="1"/>
        <w:ind w:right="-2"/>
        <w:outlineLvl w:val="5"/>
        <w:rPr>
          <w:sz w:val="22"/>
        </w:rPr>
      </w:pPr>
      <w:r>
        <w:rPr>
          <w:sz w:val="22"/>
        </w:rPr>
        <w:t xml:space="preserve">г. Чита                                                                                                          </w:t>
      </w:r>
      <w:r>
        <w:rPr>
          <w:sz w:val="22"/>
        </w:rPr>
        <w:t xml:space="preserve">   «</w:t>
      </w:r>
      <w:r>
        <w:rPr>
          <w:sz w:val="22"/>
        </w:rPr>
        <w:t>____» _________ 202</w:t>
      </w:r>
      <w:r>
        <w:rPr>
          <w:sz w:val="22"/>
        </w:rPr>
        <w:t>6</w:t>
      </w:r>
      <w:r>
        <w:rPr>
          <w:sz w:val="22"/>
        </w:rPr>
        <w:t xml:space="preserve"> г.</w:t>
      </w:r>
    </w:p>
    <w:p w14:paraId="08000000">
      <w:pPr>
        <w:widowControl w:val="1"/>
        <w:ind w:firstLine="709"/>
        <w:rPr>
          <w:sz w:val="22"/>
        </w:rPr>
      </w:pPr>
    </w:p>
    <w:p w14:paraId="09000000">
      <w:pPr>
        <w:pStyle w:val="Style_2"/>
        <w:widowControl w:val="1"/>
        <w:ind w:firstLine="540" w:right="-1"/>
        <w:jc w:val="both"/>
        <w:rPr>
          <w:rFonts w:ascii="Times New Roman" w:hAnsi="Times New Roman"/>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w:t>
      </w:r>
      <w:r>
        <w:rPr>
          <w:rFonts w:ascii="Times New Roman" w:hAnsi="Times New Roman"/>
          <w:sz w:val="24"/>
        </w:rPr>
        <w:t xml:space="preserve">, от имени Российской Федерации, являясь государственным заказчиком, именуемое в дальнейшем «Заказчик», в лице </w:t>
      </w:r>
      <w:r>
        <w:rPr>
          <w:rFonts w:ascii="Times New Roman" w:hAnsi="Times New Roman"/>
          <w:b w:val="1"/>
          <w:sz w:val="24"/>
        </w:rPr>
        <w:t>руководителя  Пищулиной Надежды Викторовны</w:t>
      </w:r>
      <w:r>
        <w:rPr>
          <w:rFonts w:ascii="Times New Roman" w:hAnsi="Times New Roman"/>
          <w:sz w:val="24"/>
        </w:rPr>
        <w:t xml:space="preserve">, действующей на основании положения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 утвержденного приказом Росимущества от 23.06.2023 № 131, приказа Министерства финансов Российской Федерации от 17.12.2024 № 2391 л/с, </w:t>
      </w:r>
    </w:p>
    <w:p w14:paraId="0A000000">
      <w:pPr>
        <w:pStyle w:val="Style_2"/>
        <w:widowControl w:val="1"/>
        <w:ind w:firstLine="540" w:right="-1"/>
        <w:jc w:val="both"/>
        <w:rPr>
          <w:sz w:val="22"/>
        </w:rPr>
      </w:pPr>
      <w:r>
        <w:rPr>
          <w:rFonts w:ascii="Times New Roman" w:hAnsi="Times New Roman"/>
          <w:sz w:val="24"/>
        </w:rPr>
        <w:t>и __________________________, именуемое в дальнейшем «Подрядчик», в лице ________________________________________, действующего на основании ___________, с другой стороны, здесь и далее именуемые «Стороны», в порядке</w:t>
      </w:r>
      <w:r>
        <w:rPr>
          <w:rFonts w:ascii="Times New Roman" w:hAnsi="Times New Roman"/>
          <w:sz w:val="24"/>
        </w:rPr>
        <w:t xml:space="preserve"> п.4 ч.1 ст.93</w:t>
      </w:r>
      <w:r>
        <w:rPr>
          <w:rFonts w:ascii="Times New Roman" w:hAnsi="Times New Roman"/>
          <w:sz w:val="24"/>
        </w:rPr>
        <w:t xml:space="preserve">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0B000000">
      <w:pPr>
        <w:widowControl w:val="1"/>
        <w:spacing w:after="0"/>
        <w:ind w:firstLine="284" w:right="-2"/>
        <w:contextualSpacing w:val="1"/>
        <w:jc w:val="center"/>
        <w:rPr>
          <w:b w:val="1"/>
          <w:color w:themeColor="text1" w:val="000000"/>
          <w:sz w:val="22"/>
        </w:rPr>
      </w:pPr>
      <w:r>
        <w:rPr>
          <w:b w:val="1"/>
          <w:color w:themeColor="text1" w:val="000000"/>
          <w:sz w:val="22"/>
        </w:rPr>
        <w:t>1. Предмет Контракта.</w:t>
      </w:r>
    </w:p>
    <w:p w14:paraId="0C000000">
      <w:pPr>
        <w:widowControl w:val="1"/>
        <w:spacing w:after="0"/>
        <w:ind w:firstLine="284" w:right="-2"/>
        <w:rPr>
          <w:color w:themeColor="text1" w:val="000000"/>
        </w:rPr>
      </w:pPr>
      <w:r>
        <w:rPr>
          <w:color w:themeColor="text1" w:val="000000"/>
        </w:rPr>
        <w:t xml:space="preserve">1.1. По настоящему Контракту Подрядчик обязуется выполнить работы по текущему ремонту </w:t>
      </w:r>
      <w:r>
        <w:rPr>
          <w:color w:themeColor="text1" w:val="000000"/>
        </w:rPr>
        <w:t xml:space="preserve">системы отопления объекта, расположенного по адресу: </w:t>
      </w:r>
      <w:bookmarkStart w:id="1" w:name="_Hlk239066172"/>
      <w:r>
        <w:rPr>
          <w:color w:themeColor="text1" w:val="000000"/>
        </w:rPr>
        <w:t>г. Улан-Удэ, ул. Коммунистическая, д.50</w:t>
      </w:r>
      <w:r>
        <w:rPr>
          <w:color w:themeColor="text1" w:val="000000"/>
        </w:rPr>
        <w:t xml:space="preserve"> </w:t>
      </w:r>
      <w:bookmarkEnd w:id="1"/>
      <w:r>
        <w:rPr>
          <w:color w:themeColor="text1" w:val="000000"/>
        </w:rPr>
        <w:t>(далее – работы, объект).</w:t>
      </w:r>
    </w:p>
    <w:p w14:paraId="0D000000">
      <w:pPr>
        <w:widowControl w:val="1"/>
        <w:spacing w:after="0"/>
        <w:ind w:firstLine="284" w:right="-2"/>
        <w:rPr>
          <w:color w:themeColor="text1" w:val="000000"/>
        </w:rPr>
      </w:pPr>
      <w:r>
        <w:rPr>
          <w:color w:themeColor="text1" w:val="000000"/>
        </w:rPr>
        <w:t xml:space="preserve">1.2. Подрядчик обязуется выполнить работы, указанные в пункте 1.1 контракта в соответствии с условиями Контракта, Локальным сметным расчетом (Приложение № 2 к контракту) и Технического задания (Приложение №1 к контракту). </w:t>
      </w:r>
    </w:p>
    <w:p w14:paraId="0E000000">
      <w:pPr>
        <w:widowControl w:val="1"/>
        <w:spacing w:after="0"/>
        <w:ind w:firstLine="284" w:right="-2"/>
        <w:rPr>
          <w:color w:themeColor="text1" w:val="000000"/>
        </w:rPr>
      </w:pPr>
      <w:r>
        <w:rPr>
          <w:color w:themeColor="text1" w:val="000000"/>
        </w:rPr>
        <w:t>1.</w:t>
      </w:r>
      <w:r>
        <w:rPr>
          <w:color w:themeColor="text1" w:val="000000"/>
        </w:rPr>
        <w:t>3.</w:t>
      </w:r>
      <w:r>
        <w:t>Выполнение</w:t>
      </w:r>
      <w:r>
        <w:t>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0F000000">
      <w:pPr>
        <w:widowControl w:val="1"/>
        <w:spacing w:after="0"/>
        <w:ind w:firstLine="284" w:right="-2"/>
        <w:contextualSpacing w:val="1"/>
        <w:rPr>
          <w:b w:val="1"/>
          <w:color w:themeColor="text1" w:val="000000"/>
        </w:rPr>
      </w:pPr>
    </w:p>
    <w:p w14:paraId="10000000">
      <w:pPr>
        <w:widowControl w:val="1"/>
        <w:spacing w:after="0" w:line="240" w:lineRule="atLeast"/>
        <w:ind w:firstLine="284" w:right="-2"/>
        <w:contextualSpacing w:val="1"/>
        <w:jc w:val="center"/>
        <w:rPr>
          <w:b w:val="1"/>
          <w:color w:themeColor="text1" w:val="000000"/>
        </w:rPr>
      </w:pPr>
      <w:r>
        <w:rPr>
          <w:b w:val="1"/>
          <w:color w:themeColor="text1" w:val="000000"/>
        </w:rPr>
        <w:t>2. Цена Контракта, сроки и порядок оплаты работ по Контракту</w:t>
      </w:r>
    </w:p>
    <w:p w14:paraId="11000000">
      <w:pPr>
        <w:widowControl w:val="1"/>
        <w:spacing w:after="0"/>
        <w:ind w:firstLine="284" w:right="-2"/>
        <w:outlineLvl w:val="4"/>
        <w:rPr>
          <w:color w:themeColor="text1" w:val="000000"/>
        </w:rPr>
      </w:pPr>
      <w:r>
        <w:rPr>
          <w:color w:themeColor="text1" w:val="000000"/>
        </w:rPr>
        <w:t xml:space="preserve">2.1. Цена контракта составляет ____ рублей ______ </w:t>
      </w:r>
      <w:r>
        <w:rPr>
          <w:color w:themeColor="text1" w:val="000000"/>
        </w:rPr>
        <w:t>копеек(</w:t>
      </w:r>
      <w:r>
        <w:rPr>
          <w:color w:themeColor="text1" w:val="000000"/>
        </w:rPr>
        <w:t>____) с учетом коэффициента снижения, который составляет ______________________._____________,</w:t>
      </w:r>
    </w:p>
    <w:p w14:paraId="12000000">
      <w:pPr>
        <w:widowControl w:val="1"/>
        <w:spacing w:after="0"/>
        <w:ind w:firstLine="284" w:right="-2"/>
        <w:outlineLvl w:val="4"/>
        <w:rPr>
          <w:i w:val="1"/>
          <w:color w:themeColor="text1" w:val="000000"/>
        </w:rPr>
      </w:pPr>
      <w:r>
        <w:rPr>
          <w:i w:val="1"/>
          <w:color w:themeColor="text1" w:val="000000"/>
        </w:rPr>
        <w:t>(далее этот Пункт Контракта излагается в одной из следующих редакций):</w:t>
      </w:r>
    </w:p>
    <w:p w14:paraId="13000000">
      <w:pPr>
        <w:widowControl w:val="1"/>
        <w:spacing w:after="0"/>
        <w:ind w:firstLine="284" w:right="-2"/>
        <w:outlineLvl w:val="4"/>
        <w:rPr>
          <w:color w:themeColor="text1" w:val="000000"/>
        </w:rPr>
      </w:pPr>
      <w:r>
        <w:rPr>
          <w:color w:themeColor="text1" w:val="000000"/>
        </w:rPr>
        <w:t>- в том числе НДС - ___ %, ________ рублей ___ копеек (________________________________);</w:t>
      </w:r>
    </w:p>
    <w:p w14:paraId="14000000">
      <w:pPr>
        <w:widowControl w:val="1"/>
        <w:spacing w:after="0"/>
        <w:ind w:firstLine="284" w:right="-2"/>
        <w:outlineLvl w:val="4"/>
        <w:rPr>
          <w:color w:themeColor="text1" w:val="000000"/>
        </w:rPr>
      </w:pPr>
      <w:r>
        <w:rPr>
          <w:color w:themeColor="text1" w:val="000000"/>
        </w:rPr>
        <w:t>- НДС не облагается на основании _________________.</w:t>
      </w:r>
    </w:p>
    <w:p w14:paraId="15000000">
      <w:pPr>
        <w:widowControl w:val="1"/>
        <w:spacing w:after="0"/>
        <w:ind w:firstLine="284" w:right="-2"/>
        <w:outlineLvl w:val="4"/>
        <w:rPr>
          <w:color w:themeColor="text1" w:val="000000"/>
        </w:rPr>
      </w:pPr>
      <w:r>
        <w:rPr>
          <w:color w:themeColor="text1" w:val="000000"/>
        </w:rPr>
        <w:t>2.2. Авансирование по контракту не предусмотрено.</w:t>
      </w:r>
    </w:p>
    <w:p w14:paraId="16000000">
      <w:pPr>
        <w:widowControl w:val="1"/>
        <w:spacing w:after="0"/>
        <w:ind w:firstLine="284" w:right="-2"/>
        <w:outlineLvl w:val="4"/>
        <w:rPr>
          <w:color w:themeColor="text1" w:val="000000"/>
        </w:rPr>
      </w:pPr>
      <w:r>
        <w:rPr>
          <w:color w:themeColor="text1" w:val="000000"/>
        </w:rPr>
        <w:t>2.3.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14:paraId="17000000">
      <w:pPr>
        <w:widowControl w:val="1"/>
        <w:spacing w:after="0"/>
        <w:ind w:firstLine="284" w:right="-2"/>
        <w:outlineLvl w:val="4"/>
        <w:rPr>
          <w:color w:themeColor="text1" w:val="000000"/>
        </w:rPr>
      </w:pPr>
      <w:r>
        <w:rPr>
          <w:color w:themeColor="text1" w:val="000000"/>
        </w:rPr>
        <w:t>2.4. В стоимость Контракта включены все расходы Подрядчика, связанные с выполнением работ, оплата транспортных расходов, а также страхование, уплату налогов и других обязательных платежей.</w:t>
      </w:r>
    </w:p>
    <w:p w14:paraId="18000000">
      <w:pPr>
        <w:widowControl w:val="1"/>
        <w:spacing w:after="0"/>
        <w:ind w:firstLine="284" w:right="-2"/>
        <w:outlineLvl w:val="4"/>
        <w:rPr>
          <w:color w:themeColor="text1" w:val="000000"/>
        </w:rPr>
      </w:pPr>
      <w:r>
        <w:rPr>
          <w:color w:themeColor="text1" w:val="000000"/>
        </w:rPr>
        <w:t xml:space="preserve">2.5. </w:t>
      </w:r>
      <w:r>
        <w:t xml:space="preserve">Оплата производится  за фактически выполненные работы, в течение 7 (семи) рабочих дней с даты подписания Заказчиком документа о приемке, на основании подписанного Заказчиком и Подрядчиком документа о приемке, предусмотренного частью </w:t>
      </w:r>
      <w:r>
        <w:t xml:space="preserve">7 статьи 94 Закона (раздел 7 настоящего Контракта), справки о стоимости выполненных работ и затрат (форма КС-3) и акта о приемке выполненных работ (форма КС-2), </w:t>
      </w:r>
      <w:r>
        <w:rPr>
          <w:color w:themeColor="text1" w:val="000000"/>
        </w:rPr>
        <w:t xml:space="preserve">составленных на основании </w:t>
      </w:r>
      <w:r>
        <w:t xml:space="preserve">Локальных сметных расчетов, сводного сметного расчета </w:t>
      </w:r>
      <w:r>
        <w:rPr>
          <w:color w:themeColor="text1" w:val="000000"/>
        </w:rPr>
        <w:t>(Приложение № 1 к контракту) с учетом рассчитанного коэффициента снижения, счета и счета-фактуры (при УСН не требуется).</w:t>
      </w:r>
    </w:p>
    <w:p w14:paraId="19000000">
      <w:pPr>
        <w:widowControl w:val="1"/>
        <w:spacing w:after="0"/>
        <w:ind w:firstLine="284" w:right="-2"/>
        <w:outlineLvl w:val="4"/>
        <w:rPr>
          <w:color w:themeColor="text1" w:val="000000"/>
        </w:rPr>
      </w:pPr>
      <w:r>
        <w:rPr>
          <w:color w:themeColor="text1" w:val="000000"/>
        </w:rPr>
        <w:t xml:space="preserve">Коэффициент снижения является соотношением стоимости работ, указанной в предложении Подрядчика (пункт 2.1. контракта), к начальной (максимальной) цене контракта, указанной в Приложение №1 к контракту: </w:t>
      </w:r>
    </w:p>
    <w:p w14:paraId="1A000000">
      <w:pPr>
        <w:widowControl w:val="1"/>
        <w:spacing w:after="0"/>
        <w:ind w:firstLine="284" w:right="-2"/>
        <w:outlineLvl w:val="4"/>
        <w:rPr>
          <w:color w:themeColor="text1" w:val="000000"/>
        </w:rPr>
      </w:pPr>
      <w:r>
        <w:rPr>
          <w:color w:themeColor="text1" w:val="000000"/>
        </w:rPr>
        <w:t>К= ________ / ________ = _________</w:t>
      </w:r>
      <w:r>
        <w:rPr>
          <w:color w:themeColor="text1" w:val="000000"/>
        </w:rPr>
        <w:t>_ .</w:t>
      </w:r>
    </w:p>
    <w:p w14:paraId="1B000000">
      <w:pPr>
        <w:widowControl w:val="1"/>
        <w:spacing w:after="0"/>
        <w:ind w:firstLine="284" w:right="-2"/>
        <w:outlineLvl w:val="4"/>
        <w:rPr>
          <w:color w:themeColor="text1" w:val="000000"/>
        </w:rPr>
      </w:pPr>
      <w:r>
        <w:rPr>
          <w:color w:themeColor="text1" w:val="000000"/>
        </w:rPr>
        <w:t xml:space="preserve">В случае если Подрядчик не является плательщиком НДС (в т.ч. находится на УСН) расчеты за выполненные работы производятся с учетом коэффициента пересчета </w:t>
      </w:r>
    </w:p>
    <w:p w14:paraId="1C000000">
      <w:pPr>
        <w:widowControl w:val="1"/>
        <w:spacing w:after="0"/>
        <w:ind w:firstLine="284" w:right="-2"/>
        <w:outlineLvl w:val="4"/>
        <w:rPr>
          <w:color w:themeColor="text1" w:val="000000"/>
        </w:rPr>
      </w:pPr>
      <w:r>
        <w:rPr>
          <w:color w:themeColor="text1" w:val="000000"/>
        </w:rPr>
        <w:t>Коэффициент пересчета является соотношением стоимости работ, указанной в предложении Подрядчика (пункт 2.1. контракта), к начальной (максимальной) цене контракта (Приложение №1 к контракту), без учета суммы НДС.</w:t>
      </w:r>
    </w:p>
    <w:p w14:paraId="1D000000">
      <w:pPr>
        <w:widowControl w:val="1"/>
        <w:spacing w:after="0"/>
        <w:ind w:firstLine="284" w:right="-2"/>
        <w:outlineLvl w:val="4"/>
        <w:rPr>
          <w:color w:themeColor="text1" w:val="000000"/>
        </w:rPr>
      </w:pPr>
      <w:r>
        <w:rPr>
          <w:color w:themeColor="text1" w:val="000000"/>
        </w:rPr>
        <w:t xml:space="preserve">К=__________ </w:t>
      </w:r>
      <w:r>
        <w:rPr>
          <w:i w:val="1"/>
          <w:color w:themeColor="text1" w:val="000000"/>
        </w:rPr>
        <w:t>(указать размер)</w:t>
      </w:r>
      <w:r>
        <w:rPr>
          <w:color w:themeColor="text1" w:val="000000"/>
        </w:rPr>
        <w:t>.</w:t>
      </w:r>
    </w:p>
    <w:p w14:paraId="1E000000">
      <w:pPr>
        <w:widowControl w:val="1"/>
        <w:spacing w:after="0"/>
        <w:ind w:firstLine="284" w:right="-2"/>
        <w:outlineLvl w:val="4"/>
        <w:rPr>
          <w:color w:themeColor="text1" w:val="000000"/>
        </w:rPr>
      </w:pPr>
      <w:r>
        <w:rPr>
          <w:color w:themeColor="text1" w:val="000000"/>
        </w:rPr>
        <w:t xml:space="preserve">2.6. Объемы работ, выполненные Подрядчиком с отклонениями от </w:t>
      </w:r>
      <w:r>
        <w:t xml:space="preserve">Локальных сметных расчетов, локального сметного расчета </w:t>
      </w:r>
      <w:r>
        <w:rPr>
          <w:color w:themeColor="text1" w:val="000000"/>
        </w:rPr>
        <w:t>(Приложение №1 к контракту), от требований строительных норм и правил или других нормативных документов, а также условий настоящего контракта, или иными недостатками не подлежат приемке и оплате Заказчиком до устранения Подрядчиком обнаруженных недостатков.</w:t>
      </w:r>
    </w:p>
    <w:p w14:paraId="1F000000">
      <w:pPr>
        <w:widowControl w:val="1"/>
        <w:spacing w:after="0"/>
        <w:ind w:firstLine="284" w:right="-2"/>
        <w:outlineLvl w:val="4"/>
        <w:rPr>
          <w:color w:themeColor="text1" w:val="000000"/>
        </w:rPr>
      </w:pPr>
      <w:r>
        <w:rPr>
          <w:color w:themeColor="text1" w:val="000000"/>
        </w:rPr>
        <w:t xml:space="preserve">2.7. Стороны соглашаются, что работы, выполненные Подрядчиком сверх объемов и стоимости, предусмотренных настоящим контрактом, не подлежат оплате Заказчиком. </w:t>
      </w:r>
    </w:p>
    <w:p w14:paraId="20000000">
      <w:pPr>
        <w:widowControl w:val="1"/>
        <w:spacing w:after="0"/>
        <w:ind w:firstLine="284" w:right="-2"/>
      </w:pPr>
      <w:r>
        <w:rPr>
          <w:color w:themeColor="text1" w:val="000000"/>
        </w:rPr>
        <w:t>2.8. Источник финансирования: федеральный бюджет, КБК 1670113394129</w:t>
      </w:r>
      <w:r>
        <w:rPr>
          <w:color w:themeColor="text1" w:val="000000"/>
        </w:rPr>
        <w:t>00</w:t>
      </w:r>
      <w:r>
        <w:rPr>
          <w:color w:themeColor="text1" w:val="000000"/>
        </w:rPr>
        <w:t>20244, КОСГУ 225</w:t>
      </w:r>
      <w:r>
        <w:t>.</w:t>
      </w:r>
    </w:p>
    <w:p w14:paraId="21000000">
      <w:pPr>
        <w:widowControl w:val="1"/>
        <w:spacing w:after="0"/>
        <w:ind w:firstLine="284" w:right="-2"/>
      </w:pPr>
      <w:r>
        <w:t>2.</w:t>
      </w:r>
      <w:r>
        <w:t>9.Обязательства</w:t>
      </w:r>
      <w:r>
        <w:t>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22000000">
      <w:pPr>
        <w:widowControl w:val="1"/>
        <w:spacing w:after="0"/>
        <w:ind w:firstLine="284" w:right="-2"/>
        <w:rPr>
          <w:color w:themeColor="text1" w:val="000000"/>
        </w:rPr>
      </w:pPr>
    </w:p>
    <w:p w14:paraId="23000000">
      <w:pPr>
        <w:widowControl w:val="1"/>
        <w:spacing w:after="0" w:line="240" w:lineRule="atLeast"/>
        <w:ind w:firstLine="284" w:right="-2"/>
        <w:contextualSpacing w:val="1"/>
        <w:jc w:val="center"/>
        <w:rPr>
          <w:b w:val="1"/>
          <w:color w:themeColor="text1" w:val="000000"/>
        </w:rPr>
      </w:pPr>
      <w:r>
        <w:rPr>
          <w:b w:val="1"/>
          <w:color w:themeColor="text1" w:val="000000"/>
        </w:rPr>
        <w:t>3.Права и обязанности Подрядчика</w:t>
      </w:r>
    </w:p>
    <w:p w14:paraId="24000000">
      <w:pPr>
        <w:widowControl w:val="1"/>
        <w:spacing w:after="0"/>
        <w:ind w:firstLine="284" w:right="-2"/>
        <w:contextualSpacing w:val="1"/>
        <w:rPr>
          <w:b w:val="1"/>
          <w:color w:themeColor="text1" w:val="000000"/>
        </w:rPr>
      </w:pPr>
      <w:r>
        <w:rPr>
          <w:b w:val="1"/>
          <w:color w:themeColor="text1" w:val="000000"/>
        </w:rPr>
        <w:t>3.1. Подрядчик обязан:</w:t>
      </w:r>
    </w:p>
    <w:p w14:paraId="25000000">
      <w:pPr>
        <w:widowControl w:val="1"/>
        <w:spacing w:after="0"/>
        <w:ind w:firstLine="284" w:right="-2"/>
        <w:contextualSpacing w:val="1"/>
        <w:rPr>
          <w:color w:themeColor="text1" w:val="000000"/>
        </w:rPr>
      </w:pPr>
      <w:r>
        <w:rPr>
          <w:color w:themeColor="text1" w:val="000000"/>
        </w:rPr>
        <w:t>3.1.1. Принять на себя обязательства выполнить работы, указанные в пункте 1.1. Контракта.</w:t>
      </w:r>
    </w:p>
    <w:p w14:paraId="26000000">
      <w:pPr>
        <w:widowControl w:val="1"/>
        <w:spacing w:after="0"/>
        <w:ind w:firstLine="284" w:right="-2"/>
        <w:contextualSpacing w:val="1"/>
        <w:rPr>
          <w:color w:themeColor="text1" w:val="000000"/>
        </w:rPr>
      </w:pPr>
      <w:r>
        <w:rPr>
          <w:color w:themeColor="text1" w:val="000000"/>
        </w:rPr>
        <w:t>3.1.2. Принять от Заказчика объект для выполнения работ, указанный в пункте 1.1. Контракта по акту передачи объекта для выполнения работ.</w:t>
      </w:r>
    </w:p>
    <w:p w14:paraId="27000000">
      <w:pPr>
        <w:widowControl w:val="1"/>
        <w:spacing w:after="0"/>
        <w:ind w:firstLine="284" w:right="-2"/>
        <w:contextualSpacing w:val="1"/>
        <w:rPr>
          <w:color w:themeColor="text1" w:val="000000"/>
        </w:rPr>
      </w:pPr>
      <w:r>
        <w:rPr>
          <w:color w:themeColor="text1" w:val="000000"/>
        </w:rPr>
        <w:t>3.1.3. В счет стоимости, установленной в пункте 2.1 Контракта, выполнить на свой риск, своим иждивением (из своих материалов, своими силами и средствами) работы, указанные в пункте 1.1 контракта.</w:t>
      </w:r>
    </w:p>
    <w:p w14:paraId="28000000">
      <w:pPr>
        <w:widowControl w:val="1"/>
        <w:spacing w:after="0"/>
        <w:ind w:firstLine="284" w:right="-2"/>
        <w:contextualSpacing w:val="1"/>
        <w:rPr>
          <w:color w:themeColor="text1" w:val="000000"/>
        </w:rPr>
      </w:pPr>
      <w:r>
        <w:rPr>
          <w:color w:themeColor="text1" w:val="000000"/>
        </w:rPr>
        <w:t>3.1.4. Обеспечить выполнение работ по контракту в соответствии с Приложением № 1 к контракту и Приложением №2 к контракту)</w:t>
      </w:r>
    </w:p>
    <w:p w14:paraId="29000000">
      <w:pPr>
        <w:widowControl w:val="1"/>
        <w:spacing w:after="0"/>
        <w:ind w:firstLine="284" w:right="-2"/>
        <w:contextualSpacing w:val="1"/>
        <w:rPr>
          <w:color w:themeColor="text1" w:val="000000"/>
        </w:rPr>
      </w:pPr>
      <w:r>
        <w:rPr>
          <w:color w:themeColor="text1" w:val="000000"/>
        </w:rPr>
        <w:t xml:space="preserve">3.1.5. Обеспечить поставку необходимых для выполнения работ материалов, изделий и оборудования, их приемку, разгрузку, складирование и хранение. </w:t>
      </w:r>
      <w:r>
        <w:t>Вести на объекте (-ах) журнал входного контроля строительного материала и приемки продукции изделий и материалов, общий журнал производства работ, обеспечивать их постоянное нахождение на объекте.</w:t>
      </w:r>
    </w:p>
    <w:p w14:paraId="2A000000">
      <w:pPr>
        <w:pStyle w:val="Style_2"/>
        <w:widowControl w:val="1"/>
        <w:ind w:firstLine="284" w:right="-2"/>
        <w:jc w:val="both"/>
        <w:rPr>
          <w:rFonts w:ascii="Times New Roman" w:hAnsi="Times New Roman"/>
          <w:color w:themeColor="text1" w:val="000000"/>
          <w:sz w:val="24"/>
        </w:rPr>
      </w:pPr>
      <w:r>
        <w:rPr>
          <w:rFonts w:ascii="Times New Roman" w:hAnsi="Times New Roman"/>
          <w:color w:themeColor="text1" w:val="000000"/>
          <w:sz w:val="24"/>
        </w:rPr>
        <w:t>3.1.6. Обеспечить наличие на строительной площадке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строительный контроль за выполнением работ. Перечень документации, необходимой для выполнения работ, определяется в контракте.</w:t>
      </w:r>
    </w:p>
    <w:p w14:paraId="2B000000">
      <w:pPr>
        <w:pStyle w:val="Style_2"/>
        <w:widowControl w:val="1"/>
        <w:ind w:firstLine="284" w:right="-2"/>
        <w:jc w:val="both"/>
        <w:rPr>
          <w:rFonts w:ascii="Times New Roman" w:hAnsi="Times New Roman"/>
          <w:color w:themeColor="text1" w:val="000000"/>
          <w:sz w:val="24"/>
        </w:rPr>
      </w:pPr>
      <w:r>
        <w:rPr>
          <w:rFonts w:ascii="Times New Roman" w:hAnsi="Times New Roman"/>
          <w:color w:themeColor="text1" w:val="000000"/>
          <w:sz w:val="24"/>
        </w:rPr>
        <w:t xml:space="preserve">3.1.7. Информировать Заказчика обо всех происшествиях на объекте, в том числе об </w:t>
      </w:r>
      <w:r>
        <w:rPr>
          <w:rFonts w:ascii="Times New Roman" w:hAnsi="Times New Roman"/>
          <w:color w:themeColor="text1" w:val="000000"/>
          <w:sz w:val="24"/>
        </w:rPr>
        <w:t>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2C000000">
      <w:pPr>
        <w:widowControl w:val="1"/>
        <w:spacing w:after="0"/>
        <w:ind w:firstLine="284" w:right="-2"/>
        <w:contextualSpacing w:val="1"/>
        <w:rPr>
          <w:color w:themeColor="text1" w:val="000000"/>
        </w:rPr>
      </w:pPr>
      <w:r>
        <w:rPr>
          <w:color w:themeColor="text1" w:val="000000"/>
        </w:rPr>
        <w:t xml:space="preserve">3.1.8. При выполнении работ Подрядчик должен нести ответственность перед </w:t>
      </w:r>
      <w:r>
        <w:rPr>
          <w:color w:themeColor="text1" w:val="000000"/>
        </w:rPr>
        <w:t>Заказчиком,  за</w:t>
      </w:r>
      <w:r>
        <w:rPr>
          <w:color w:themeColor="text1" w:val="000000"/>
        </w:rPr>
        <w:t xml:space="preserve"> соблюдение требований Федеральных законов «Об охране окружающей среды» от 10.01.2002 № 7-ФЗ и «Об отходах производства и потребления» от 24.06.1998 № 89-ФЗ, а так же других законодательных актов и нормативных документов в области охраны окружающей среды при выполнении работ по контракту.</w:t>
      </w:r>
    </w:p>
    <w:p w14:paraId="2D000000">
      <w:pPr>
        <w:widowControl w:val="1"/>
        <w:spacing w:after="0"/>
        <w:ind w:firstLine="284" w:right="-2"/>
        <w:contextualSpacing w:val="1"/>
        <w:rPr>
          <w:color w:themeColor="text1" w:val="000000"/>
        </w:rPr>
      </w:pPr>
      <w:r>
        <w:rPr>
          <w:color w:themeColor="text1" w:val="000000"/>
        </w:rPr>
        <w:t>- Не допускается слив жидких строительных отходов в канализационную систему, раковины, унитазы и санузлы в здании.</w:t>
      </w:r>
    </w:p>
    <w:p w14:paraId="2E000000">
      <w:pPr>
        <w:widowControl w:val="1"/>
        <w:spacing w:after="0"/>
        <w:ind w:firstLine="284" w:right="-2"/>
        <w:contextualSpacing w:val="1"/>
        <w:rPr>
          <w:color w:themeColor="text1" w:val="000000"/>
        </w:rPr>
      </w:pPr>
      <w:r>
        <w:rPr>
          <w:color w:themeColor="text1" w:val="000000"/>
        </w:rPr>
        <w:t>- При выполнении работ Подрядчик обязан принять все необходимые меры для предотвращения пылеобразования и своевременно производить уборку и вывоз мусора.</w:t>
      </w:r>
    </w:p>
    <w:p w14:paraId="2F000000">
      <w:pPr>
        <w:widowControl w:val="1"/>
        <w:spacing w:after="0"/>
        <w:ind w:firstLine="284" w:right="-2"/>
        <w:contextualSpacing w:val="1"/>
        <w:rPr>
          <w:color w:themeColor="text1" w:val="000000"/>
        </w:rPr>
      </w:pPr>
      <w:r>
        <w:rPr>
          <w:color w:themeColor="text1" w:val="000000"/>
        </w:rPr>
        <w:t xml:space="preserve">3.1.9. Нести ответственность перед Заказчиком за допущенные отступления от требований, предусмотренных в Контракте и в обязательных для сторон строительных нормах и правилах за снижение или потерю прочности, устойчивости, надежности здания, сооружения или его части, а также за </w:t>
      </w:r>
      <w:r>
        <w:rPr>
          <w:color w:themeColor="text1" w:val="000000"/>
        </w:rPr>
        <w:t>не достижение</w:t>
      </w:r>
      <w:r>
        <w:rPr>
          <w:color w:themeColor="text1" w:val="000000"/>
        </w:rPr>
        <w:t xml:space="preserve"> указанных в Контракте показателей объекта.</w:t>
      </w:r>
    </w:p>
    <w:p w14:paraId="30000000">
      <w:pPr>
        <w:widowControl w:val="1"/>
        <w:spacing w:after="0"/>
        <w:ind w:firstLine="284" w:right="-2"/>
        <w:contextualSpacing w:val="1"/>
        <w:rPr>
          <w:color w:themeColor="text1" w:val="000000"/>
        </w:rPr>
      </w:pPr>
      <w:r>
        <w:rPr>
          <w:color w:themeColor="text1" w:val="000000"/>
        </w:rPr>
        <w:t>3.1.10. Гарантировать обеспечение выполнения работ в установленные Контрактом сроки.</w:t>
      </w:r>
    </w:p>
    <w:p w14:paraId="31000000">
      <w:pPr>
        <w:widowControl w:val="1"/>
        <w:spacing w:after="0"/>
        <w:ind w:firstLine="284" w:right="-2"/>
        <w:contextualSpacing w:val="1"/>
        <w:rPr>
          <w:color w:themeColor="text1" w:val="000000"/>
        </w:rPr>
      </w:pPr>
      <w:r>
        <w:rPr>
          <w:color w:themeColor="text1" w:val="000000"/>
        </w:rPr>
        <w:t>3.1.11. Гарантировать качество, наличие сертификатов, технических паспортов или других документов, удостоверяющих качество материалов и оборудования. По требованию Заказчика представлять вышеуказанные документы.</w:t>
      </w:r>
    </w:p>
    <w:p w14:paraId="32000000">
      <w:pPr>
        <w:widowControl w:val="1"/>
        <w:spacing w:after="0"/>
        <w:ind w:firstLine="284" w:right="-2"/>
        <w:contextualSpacing w:val="1"/>
        <w:rPr>
          <w:color w:themeColor="text1" w:val="000000"/>
        </w:rPr>
      </w:pPr>
      <w:r>
        <w:rPr>
          <w:color w:themeColor="text1" w:val="000000"/>
        </w:rPr>
        <w:t>3.1.12. Выполнять все работы по обустройству и надлежащему содержанию временных сооружений, необходимых для хранения материалов и выполнения работ по настоящему Контракту.</w:t>
      </w:r>
    </w:p>
    <w:p w14:paraId="33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3.1.13. Осуществлять по согласованию с Заказчиком временные подсоединения коммуникаций на период выполнения работ и подсоединения вновь построенных коммуникаций на период выполнения работ и подсоединения вновь построенных коммуникаций в точках подключения. При этом Подрядчик обязан за свой счет оплачивать расходы по потреблению энергоресурсов, образовавшиеся в результате проведения работ на Объекте.</w:t>
      </w:r>
    </w:p>
    <w:p w14:paraId="34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Подрядчик возмещает Заказчику затраты за пользование ресурсами в части электрической энергии в период выполнения ремонтных работ с использованием имеющихся нормативов потребления или по фактическому расходу ресурсов с выделением отдельной точки подключения к источникам потребления ресурсов с установкой временных приборов учета.</w:t>
      </w:r>
    </w:p>
    <w:p w14:paraId="35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 xml:space="preserve">3.1.14. В случае использования энергоресурсов Заказчика, Подрядчик возмещает Заказчику затраты любым из нижеперечисленных способов: </w:t>
      </w:r>
    </w:p>
    <w:p w14:paraId="36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1) с использованием имеющихся нормативов потребления ресурсов;</w:t>
      </w:r>
    </w:p>
    <w:p w14:paraId="37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2) по фактическому расходу ресурсов с выделением отдельной точки подключения к источникам потребления ресурсов с установкой временных приборов учета;</w:t>
      </w:r>
    </w:p>
    <w:p w14:paraId="38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 иными способами.</w:t>
      </w:r>
    </w:p>
    <w:p w14:paraId="39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3.1.15. Обеспечивать выполнение на объекте необходимых противопожарных мероприятий, мероприятий по технике безопасности и охране окружающей среды во время производства работ.</w:t>
      </w:r>
    </w:p>
    <w:p w14:paraId="3A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3.1.16. Содержать рабочую площадку и прилегающие участки свободными от отходов, накапливаемых в результате выполнения работ, и обеспечивать их своевременную уборку.</w:t>
      </w:r>
    </w:p>
    <w:p w14:paraId="3B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3.1.17. До приемки объекта Заказчиком нести риск его случайной гибели или случайного повреждения имущества, составляющего предмет Контракта.</w:t>
      </w:r>
    </w:p>
    <w:p w14:paraId="3C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 xml:space="preserve">3.1.18. Обеспечивать надлежащую охрану объекта, материалов, оборудования, </w:t>
      </w:r>
      <w:r>
        <w:rPr>
          <w:rFonts w:ascii="Times New Roman" w:hAnsi="Times New Roman"/>
          <w:color w:themeColor="text1" w:val="000000"/>
          <w:sz w:val="24"/>
        </w:rPr>
        <w:t>строительной техники и другого имущества с момента начала работ до их завершения.</w:t>
      </w:r>
    </w:p>
    <w:p w14:paraId="3D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3.1.19. В течение 5 (Пяти) рабочих дней с момента подписания Заказчиком документа о приемке выполненных работ вывезти с рабочей площадки мусор, металлолом, а также принадлежащее ему имущество.</w:t>
      </w:r>
    </w:p>
    <w:p w14:paraId="3E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 xml:space="preserve">3.1.20. Нести ответственность перед Заказчиком за привлеченных субподрядчиков. </w:t>
      </w:r>
    </w:p>
    <w:p w14:paraId="3F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3.1.21. Известить письменно Заказчика о допущенных просчетах в установлении перечня (объема) работ в соответствии с Контрактом.</w:t>
      </w:r>
    </w:p>
    <w:p w14:paraId="40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3.1.22. Предупредить письменно Заказчика о наличии скрытых дефектов, требующих проведения дополнительных работ.</w:t>
      </w:r>
    </w:p>
    <w:p w14:paraId="41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3.1.23. Предупредить письменно Заказчика о приостановлении работ по предписанию органа государственной власти.</w:t>
      </w:r>
    </w:p>
    <w:p w14:paraId="42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3.1.24. При сдаче результата выполненных работ передать Заказчику документацию, относящуюся к выполненным работам.</w:t>
      </w:r>
    </w:p>
    <w:p w14:paraId="43000000">
      <w:pPr>
        <w:pStyle w:val="Style_3"/>
        <w:widowControl w:val="1"/>
        <w:ind w:firstLine="284" w:right="-2"/>
        <w:contextualSpacing w:val="1"/>
        <w:rPr>
          <w:rFonts w:ascii="Times New Roman" w:hAnsi="Times New Roman"/>
          <w:color w:themeColor="text1" w:val="000000"/>
          <w:sz w:val="24"/>
        </w:rPr>
      </w:pPr>
      <w:r>
        <w:rPr>
          <w:rFonts w:ascii="Times New Roman" w:hAnsi="Times New Roman"/>
          <w:color w:themeColor="text1" w:val="000000"/>
          <w:sz w:val="24"/>
        </w:rPr>
        <w:t>3.1.25. Обеспечивать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w:t>
      </w:r>
    </w:p>
    <w:p w14:paraId="44000000">
      <w:pPr>
        <w:widowControl w:val="1"/>
        <w:spacing w:after="0"/>
        <w:ind/>
        <w:rPr>
          <w:color w:val="000000"/>
        </w:rPr>
      </w:pPr>
      <w:r>
        <w:rPr>
          <w:color w:val="000000"/>
        </w:rPr>
        <w:t xml:space="preserve">    3.1.26. </w:t>
      </w:r>
      <w:r>
        <w:rPr>
          <w:color w:val="000000"/>
        </w:rPr>
        <w:t>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или обнаруженных в пределах гарантийного срока, предусмотренного контрактом.</w:t>
      </w:r>
    </w:p>
    <w:p w14:paraId="45000000">
      <w:pPr>
        <w:widowControl w:val="1"/>
        <w:spacing w:after="0"/>
        <w:ind/>
        <w:rPr>
          <w:color w:val="000000"/>
        </w:rPr>
      </w:pPr>
      <w:r>
        <w:rPr>
          <w:color w:val="000000"/>
        </w:rPr>
        <w:t xml:space="preserve">    3</w:t>
      </w:r>
      <w:r>
        <w:rPr>
          <w:color w:val="000000"/>
        </w:rPr>
        <w:t>.1.</w:t>
      </w:r>
      <w:r>
        <w:rPr>
          <w:color w:val="000000"/>
        </w:rPr>
        <w:t>27</w:t>
      </w:r>
      <w:r>
        <w:rPr>
          <w:color w:val="000000"/>
        </w:rPr>
        <w:t>. Подрядчик несет ответственность перед Заказчиком за допущенные отступления от проектной и рабочей документации.</w:t>
      </w:r>
    </w:p>
    <w:p w14:paraId="46000000">
      <w:pPr>
        <w:widowControl w:val="1"/>
        <w:spacing w:after="0"/>
        <w:ind/>
        <w:rPr>
          <w:color w:val="000000"/>
        </w:rPr>
      </w:pPr>
      <w:r>
        <w:rPr>
          <w:color w:val="000000"/>
        </w:rPr>
        <w:t xml:space="preserve">     3</w:t>
      </w:r>
      <w:r>
        <w:rPr>
          <w:color w:val="000000"/>
        </w:rPr>
        <w:t>.1.</w:t>
      </w:r>
      <w:r>
        <w:rPr>
          <w:color w:val="000000"/>
        </w:rPr>
        <w:t>28.</w:t>
      </w:r>
      <w:r>
        <w:rPr>
          <w:color w:val="000000"/>
        </w:rPr>
        <w:t xml:space="preserve"> Сдать Заказчику помещения Объекта после выполнения ремонтно-строительных работ и передать Заказчику (в комплекте исполнительной технической документации), сертификаты на строительные материалы и изделия.</w:t>
      </w:r>
    </w:p>
    <w:p w14:paraId="47000000">
      <w:pPr>
        <w:widowControl w:val="1"/>
        <w:spacing w:after="0"/>
        <w:ind/>
        <w:rPr>
          <w:color w:val="000000"/>
        </w:rPr>
      </w:pPr>
      <w:r>
        <w:rPr>
          <w:color w:val="000000"/>
        </w:rPr>
        <w:t xml:space="preserve">     3</w:t>
      </w:r>
      <w:r>
        <w:rPr>
          <w:color w:val="000000"/>
        </w:rPr>
        <w:t>.1</w:t>
      </w:r>
      <w:r>
        <w:rPr>
          <w:color w:val="000000"/>
        </w:rPr>
        <w:t>.29</w:t>
      </w:r>
      <w:r>
        <w:rPr>
          <w:color w:val="000000"/>
        </w:rPr>
        <w:t>. Выполнять в полном объеме все свои обязанности, предусмотренные в других пунктах Контракта.</w:t>
      </w:r>
    </w:p>
    <w:p w14:paraId="48000000">
      <w:pPr>
        <w:pStyle w:val="Style_3"/>
        <w:widowControl w:val="1"/>
        <w:ind w:firstLine="284" w:right="-2"/>
        <w:contextualSpacing w:val="1"/>
        <w:rPr>
          <w:rFonts w:ascii="Times New Roman" w:hAnsi="Times New Roman"/>
          <w:color w:themeColor="text1" w:val="000000"/>
          <w:sz w:val="22"/>
        </w:rPr>
      </w:pPr>
    </w:p>
    <w:p w14:paraId="49000000">
      <w:pPr>
        <w:pStyle w:val="Style_3"/>
        <w:widowControl w:val="1"/>
        <w:ind w:firstLine="284" w:right="-2"/>
        <w:contextualSpacing w:val="1"/>
        <w:rPr>
          <w:rFonts w:ascii="Times New Roman" w:hAnsi="Times New Roman"/>
          <w:b w:val="1"/>
          <w:color w:themeColor="text1" w:val="000000"/>
          <w:sz w:val="24"/>
        </w:rPr>
      </w:pPr>
      <w:r>
        <w:rPr>
          <w:rFonts w:ascii="Times New Roman" w:hAnsi="Times New Roman"/>
          <w:b w:val="1"/>
          <w:color w:themeColor="text1" w:val="000000"/>
          <w:sz w:val="24"/>
        </w:rPr>
        <w:t>3.2. Подрядчик вправе:</w:t>
      </w:r>
    </w:p>
    <w:p w14:paraId="4A000000">
      <w:pPr>
        <w:widowControl w:val="1"/>
        <w:spacing w:after="0"/>
        <w:ind w:firstLine="709"/>
        <w:rPr>
          <w:color w:val="000000"/>
        </w:rPr>
      </w:pPr>
      <w:r>
        <w:rPr>
          <w:color w:themeColor="text1" w:val="000000"/>
        </w:rPr>
        <w:t xml:space="preserve">3.2.1. </w:t>
      </w:r>
      <w:r>
        <w:rPr>
          <w:color w:val="000000"/>
        </w:rPr>
        <w:t>Подрядчик вправе:</w:t>
      </w:r>
    </w:p>
    <w:p w14:paraId="4B000000">
      <w:pPr>
        <w:widowControl w:val="1"/>
        <w:spacing w:after="0"/>
        <w:ind w:firstLine="709"/>
        <w:rPr>
          <w:color w:val="000000"/>
        </w:rPr>
      </w:pPr>
      <w:r>
        <w:rPr>
          <w:rFonts w:ascii="Calibri" w:hAnsi="Calibri"/>
          <w:color w:val="000000"/>
        </w:rPr>
        <w:t>–</w:t>
      </w:r>
      <w:r>
        <w:rPr>
          <w:color w:val="000000"/>
        </w:rPr>
        <w:t xml:space="preserve"> самостоятельно определять способы выполнения Работ;</w:t>
      </w:r>
    </w:p>
    <w:p w14:paraId="4C000000">
      <w:pPr>
        <w:widowControl w:val="1"/>
        <w:spacing w:after="0"/>
        <w:ind w:firstLine="709"/>
        <w:rPr>
          <w:color w:val="000000"/>
        </w:rPr>
      </w:pPr>
      <w:r>
        <w:rPr>
          <w:rFonts w:ascii="Calibri" w:hAnsi="Calibri"/>
          <w:color w:val="000000"/>
        </w:rPr>
        <w:t>–</w:t>
      </w:r>
      <w:r>
        <w:rPr>
          <w:color w:val="000000"/>
        </w:rPr>
        <w:t xml:space="preserve"> привлекать к исполнению Контракта других лиц (субподрядчиков), неся при этом ответственность перед Заказчиком за надлежащее исполнение Работ указанными лицами;</w:t>
      </w:r>
    </w:p>
    <w:p w14:paraId="4D000000">
      <w:pPr>
        <w:widowControl w:val="1"/>
        <w:spacing w:after="0"/>
        <w:ind w:firstLine="709"/>
        <w:rPr>
          <w:color w:val="000000"/>
        </w:rPr>
      </w:pPr>
      <w:r>
        <w:rPr>
          <w:rFonts w:ascii="Calibri" w:hAnsi="Calibri"/>
          <w:color w:val="000000"/>
        </w:rPr>
        <w:t>–</w:t>
      </w:r>
      <w:r>
        <w:rPr>
          <w:color w:val="000000"/>
        </w:rPr>
        <w:t xml:space="preserve"> самостоятельно распоряжаться своим имуществом на Объекте с учетом требований допуска на Объект;</w:t>
      </w:r>
    </w:p>
    <w:p w14:paraId="4E000000">
      <w:pPr>
        <w:widowControl w:val="1"/>
        <w:spacing w:after="0"/>
        <w:ind w:firstLine="709"/>
        <w:rPr>
          <w:color w:val="000000"/>
        </w:rPr>
      </w:pPr>
      <w:r>
        <w:rPr>
          <w:rFonts w:ascii="Calibri" w:hAnsi="Calibri"/>
          <w:color w:val="000000"/>
        </w:rPr>
        <w:t>–</w:t>
      </w:r>
      <w:r>
        <w:rPr>
          <w:color w:val="000000"/>
        </w:rPr>
        <w:t xml:space="preserve"> требовать своевременной оплаты выполненных с надлежащим качеством работ в соответствии с подписанным Сторонами актом приемки выполненных работ.</w:t>
      </w:r>
    </w:p>
    <w:p w14:paraId="4F000000">
      <w:pPr>
        <w:widowControl w:val="1"/>
        <w:spacing w:after="0"/>
        <w:ind w:firstLine="709"/>
        <w:rPr>
          <w:color w:val="000000"/>
        </w:rPr>
      </w:pPr>
      <w:r>
        <w:rPr>
          <w:rFonts w:ascii="Calibri" w:hAnsi="Calibri"/>
          <w:color w:val="000000"/>
        </w:rPr>
        <w:t>–</w:t>
      </w:r>
      <w:r>
        <w:rPr>
          <w:color w:val="000000"/>
        </w:rPr>
        <w:t xml:space="preserve">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50000000">
      <w:pPr>
        <w:widowControl w:val="1"/>
        <w:spacing w:after="0"/>
        <w:ind w:firstLine="709"/>
        <w:rPr>
          <w:color w:val="000000"/>
        </w:rPr>
      </w:pPr>
      <w:r>
        <w:rPr>
          <w:rFonts w:ascii="Calibri" w:hAnsi="Calibri"/>
          <w:color w:val="000000"/>
        </w:rPr>
        <w:t>–</w:t>
      </w:r>
      <w:r>
        <w:rPr>
          <w:color w:val="000000"/>
        </w:rPr>
        <w:t xml:space="preserve"> требовать от заказчика надлежащего и своевременного выполнения обязательств, предусмотренных контрактом.</w:t>
      </w:r>
    </w:p>
    <w:p w14:paraId="51000000">
      <w:pPr>
        <w:widowControl w:val="1"/>
        <w:spacing w:after="0"/>
        <w:ind w:firstLine="709"/>
        <w:rPr>
          <w:color w:val="000000"/>
        </w:rPr>
      </w:pPr>
      <w:r>
        <w:rPr>
          <w:rFonts w:ascii="Calibri" w:hAnsi="Calibri"/>
          <w:color w:val="000000"/>
        </w:rPr>
        <w:t>–</w:t>
      </w:r>
      <w:r>
        <w:rPr>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52000000">
      <w:pPr>
        <w:pStyle w:val="Style_3"/>
        <w:widowControl w:val="1"/>
        <w:ind w:firstLine="284" w:right="-2"/>
        <w:contextualSpacing w:val="1"/>
        <w:rPr>
          <w:rFonts w:ascii="Times New Roman" w:hAnsi="Times New Roman"/>
          <w:color w:themeColor="text1" w:val="000000"/>
          <w:sz w:val="24"/>
        </w:rPr>
      </w:pPr>
    </w:p>
    <w:p w14:paraId="53000000">
      <w:pPr>
        <w:pStyle w:val="Style_2"/>
        <w:widowControl w:val="1"/>
        <w:spacing w:line="240" w:lineRule="atLeast"/>
        <w:ind w:firstLine="284" w:right="-2"/>
        <w:contextualSpacing w:val="1"/>
        <w:jc w:val="both"/>
        <w:rPr>
          <w:rFonts w:ascii="Times New Roman" w:hAnsi="Times New Roman"/>
          <w:color w:themeColor="text1" w:val="000000"/>
          <w:sz w:val="24"/>
        </w:rPr>
      </w:pPr>
    </w:p>
    <w:p w14:paraId="54000000">
      <w:pPr>
        <w:widowControl w:val="1"/>
        <w:spacing w:after="0" w:line="240" w:lineRule="atLeast"/>
        <w:ind w:firstLine="284" w:right="-2"/>
        <w:contextualSpacing w:val="1"/>
        <w:jc w:val="center"/>
        <w:rPr>
          <w:b w:val="1"/>
          <w:color w:themeColor="text1" w:val="000000"/>
        </w:rPr>
      </w:pPr>
    </w:p>
    <w:p w14:paraId="55000000">
      <w:pPr>
        <w:widowControl w:val="1"/>
        <w:spacing w:after="0" w:line="240" w:lineRule="atLeast"/>
        <w:ind w:firstLine="284" w:right="-2"/>
        <w:contextualSpacing w:val="1"/>
        <w:jc w:val="center"/>
        <w:rPr>
          <w:b w:val="1"/>
          <w:color w:themeColor="text1" w:val="000000"/>
        </w:rPr>
      </w:pPr>
      <w:r>
        <w:rPr>
          <w:b w:val="1"/>
          <w:color w:themeColor="text1" w:val="000000"/>
        </w:rPr>
        <w:t>4.Права и обязанности Заказчика</w:t>
      </w:r>
    </w:p>
    <w:p w14:paraId="56000000">
      <w:pPr>
        <w:widowControl w:val="1"/>
        <w:spacing w:after="0" w:line="240" w:lineRule="atLeast"/>
        <w:ind w:firstLine="284" w:right="-2"/>
        <w:contextualSpacing w:val="1"/>
        <w:rPr>
          <w:b w:val="1"/>
          <w:color w:themeColor="text1" w:val="000000"/>
        </w:rPr>
      </w:pPr>
      <w:r>
        <w:rPr>
          <w:b w:val="1"/>
          <w:color w:themeColor="text1" w:val="000000"/>
        </w:rPr>
        <w:t>4.1. Заказчик обязан:</w:t>
      </w:r>
    </w:p>
    <w:p w14:paraId="57000000">
      <w:pPr>
        <w:widowControl w:val="1"/>
        <w:spacing w:after="0" w:line="240" w:lineRule="atLeast"/>
        <w:ind w:firstLine="284" w:right="-2"/>
        <w:contextualSpacing w:val="1"/>
        <w:rPr>
          <w:color w:themeColor="text1" w:val="000000"/>
        </w:rPr>
      </w:pPr>
      <w:r>
        <w:rPr>
          <w:color w:themeColor="text1" w:val="000000"/>
        </w:rPr>
        <w:t xml:space="preserve">4.1.1. Передать Подрядчику до начала выполнения работ объект, указанный в пункте 1.1. Контракта, по акту передачи объекта Подрядчику для выполнения работ (далее – акт передачи объекта для выполнения работ). </w:t>
      </w:r>
    </w:p>
    <w:p w14:paraId="58000000">
      <w:pPr>
        <w:widowControl w:val="1"/>
        <w:spacing w:after="0" w:line="240" w:lineRule="atLeast"/>
        <w:ind w:firstLine="284" w:right="-2"/>
        <w:contextualSpacing w:val="1"/>
        <w:rPr>
          <w:color w:themeColor="text1" w:val="000000"/>
        </w:rPr>
      </w:pPr>
      <w:r>
        <w:rPr>
          <w:color w:themeColor="text1" w:val="000000"/>
        </w:rPr>
        <w:t>4.1.2. Обеспечить в течение всего периода выполнения работ технический надзор и контроль в соответствии с Контрактом.</w:t>
      </w:r>
    </w:p>
    <w:p w14:paraId="59000000">
      <w:pPr>
        <w:widowControl w:val="1"/>
        <w:spacing w:after="0" w:line="240" w:lineRule="atLeast"/>
        <w:ind w:firstLine="284" w:right="-2"/>
        <w:contextualSpacing w:val="1"/>
        <w:rPr>
          <w:color w:themeColor="text1" w:val="000000"/>
        </w:rPr>
      </w:pPr>
      <w:r>
        <w:rPr>
          <w:color w:themeColor="text1" w:val="000000"/>
        </w:rPr>
        <w:t>4.1.3. Участвовать в освидетельствовании скрытых работ.</w:t>
      </w:r>
    </w:p>
    <w:p w14:paraId="5A000000">
      <w:pPr>
        <w:widowControl w:val="1"/>
        <w:spacing w:after="0" w:line="240" w:lineRule="atLeast"/>
        <w:ind w:firstLine="284" w:right="-2"/>
        <w:contextualSpacing w:val="1"/>
        <w:rPr>
          <w:color w:themeColor="text1" w:val="000000"/>
        </w:rPr>
      </w:pPr>
      <w:r>
        <w:rPr>
          <w:color w:themeColor="text1" w:val="000000"/>
        </w:rPr>
        <w:t>4.1.4. По окончании выполнения Подрядчиком работ организовывать и осуществлять приемку их результата.</w:t>
      </w:r>
    </w:p>
    <w:p w14:paraId="5B000000">
      <w:pPr>
        <w:widowControl w:val="1"/>
        <w:spacing w:after="0" w:line="240" w:lineRule="atLeast"/>
        <w:ind w:firstLine="284" w:right="-2"/>
        <w:contextualSpacing w:val="1"/>
        <w:rPr>
          <w:color w:themeColor="text1" w:val="000000"/>
        </w:rPr>
      </w:pPr>
      <w:r>
        <w:rPr>
          <w:color w:themeColor="text1" w:val="000000"/>
        </w:rPr>
        <w:t>4.1.5. Оказывать Подрядчику необходимое по условиям и характеру производимых работ содействие в целях надлежащего выполнения Подрядчиком работ в рамках контракта.</w:t>
      </w:r>
    </w:p>
    <w:p w14:paraId="5C000000">
      <w:pPr>
        <w:widowControl w:val="1"/>
        <w:spacing w:after="0" w:line="240" w:lineRule="atLeast"/>
        <w:ind w:firstLine="284" w:right="-2"/>
        <w:contextualSpacing w:val="1"/>
        <w:rPr>
          <w:color w:themeColor="text1" w:val="000000"/>
        </w:rPr>
      </w:pPr>
      <w:r>
        <w:rPr>
          <w:color w:themeColor="text1" w:val="000000"/>
        </w:rPr>
        <w:t>4.1.6. Обеспечивать оплату выполненных работ в порядке и сроки, предусмотренные в контракте.</w:t>
      </w:r>
    </w:p>
    <w:p w14:paraId="5D000000">
      <w:pPr>
        <w:widowControl w:val="1"/>
        <w:spacing w:after="0" w:line="240" w:lineRule="atLeast"/>
        <w:ind w:firstLine="284" w:right="-2"/>
        <w:contextualSpacing w:val="1"/>
        <w:rPr>
          <w:color w:themeColor="text1" w:val="000000"/>
        </w:rPr>
      </w:pPr>
      <w:r>
        <w:rPr>
          <w:color w:themeColor="text1" w:val="000000"/>
        </w:rPr>
        <w:t xml:space="preserve">4.1.7. Незамедлительно извещать Подрядчика о любых обстоятельствах, которые могут препятствовать надлежащему исполнению сторонами своих обязательств. </w:t>
      </w:r>
    </w:p>
    <w:p w14:paraId="5E000000">
      <w:pPr>
        <w:widowControl w:val="1"/>
        <w:spacing w:after="0" w:line="240" w:lineRule="atLeast"/>
        <w:ind w:firstLine="284" w:right="-2"/>
        <w:contextualSpacing w:val="1"/>
        <w:rPr>
          <w:color w:themeColor="text1" w:val="000000"/>
        </w:rPr>
      </w:pPr>
      <w:r>
        <w:rPr>
          <w:color w:themeColor="text1" w:val="000000"/>
        </w:rPr>
        <w:t>4.1.8. Выполнить в полном объеме иные обязательства, предусмотренные контрактом.</w:t>
      </w:r>
    </w:p>
    <w:p w14:paraId="5F000000">
      <w:pPr>
        <w:widowControl w:val="1"/>
        <w:spacing w:after="0" w:line="240" w:lineRule="atLeast"/>
        <w:ind w:firstLine="284" w:right="-2"/>
        <w:contextualSpacing w:val="1"/>
        <w:rPr>
          <w:b w:val="1"/>
          <w:color w:themeColor="text1" w:val="000000"/>
        </w:rPr>
      </w:pPr>
      <w:r>
        <w:rPr>
          <w:b w:val="1"/>
          <w:color w:themeColor="text1" w:val="000000"/>
        </w:rPr>
        <w:t>4.2. Заказчик вправе:</w:t>
      </w:r>
    </w:p>
    <w:p w14:paraId="60000000">
      <w:pPr>
        <w:widowControl w:val="1"/>
        <w:spacing w:after="0" w:line="240" w:lineRule="atLeast"/>
        <w:ind w:firstLine="284" w:right="-2"/>
        <w:contextualSpacing w:val="1"/>
        <w:rPr>
          <w:color w:themeColor="text1" w:val="000000"/>
        </w:rPr>
      </w:pPr>
      <w:r>
        <w:rPr>
          <w:color w:themeColor="text1" w:val="000000"/>
        </w:rPr>
        <w:t>4.2.1. В любое время осуществлять контроль за соблюдением сроков выполнения работ и соответствием общей стоимости работ, а также качеством материалов и оборудования, не вмешиваясь при этом в оперативно-хозяйственную деятельность Подрядчика.</w:t>
      </w:r>
    </w:p>
    <w:p w14:paraId="61000000">
      <w:pPr>
        <w:widowControl w:val="1"/>
        <w:spacing w:after="0" w:line="240" w:lineRule="atLeast"/>
        <w:ind w:firstLine="284" w:right="-2"/>
        <w:contextualSpacing w:val="1"/>
        <w:rPr>
          <w:color w:themeColor="text1" w:val="000000"/>
        </w:rPr>
      </w:pPr>
      <w:r>
        <w:rPr>
          <w:color w:themeColor="text1" w:val="000000"/>
        </w:rPr>
        <w:t>4.2.2. При обнаружении в ходе выполнения работ отступлений от условий контракта,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62000000">
      <w:pPr>
        <w:widowControl w:val="1"/>
        <w:spacing w:after="0" w:line="240" w:lineRule="atLeast"/>
        <w:ind w:firstLine="284" w:right="-2"/>
        <w:contextualSpacing w:val="1"/>
        <w:rPr>
          <w:color w:themeColor="text1" w:val="000000"/>
        </w:rPr>
      </w:pPr>
      <w:r>
        <w:rPr>
          <w:color w:themeColor="text1" w:val="000000"/>
        </w:rPr>
        <w:t>4.2.3. Если отступления в работе от условий контракта или иные недостатки результата работы в установленный Заказчиком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63000000">
      <w:pPr>
        <w:widowControl w:val="1"/>
        <w:spacing w:line="240" w:lineRule="atLeast"/>
        <w:ind w:firstLine="567"/>
        <w:contextualSpacing w:val="1"/>
      </w:pPr>
      <w:r>
        <w:rPr>
          <w:color w:themeColor="text1" w:val="000000"/>
        </w:rPr>
        <w:t>4.2.</w:t>
      </w:r>
      <w:r>
        <w:rPr>
          <w:color w:themeColor="text1" w:val="000000"/>
        </w:rPr>
        <w:t>4.</w:t>
      </w:r>
      <w:r>
        <w:t>Производить</w:t>
      </w:r>
      <w:r>
        <w:t xml:space="preserve"> поэтапную оплату за фактически выполненные Подрядчиком работы при наличии справки о стоимости выполненных работ и затрат (форма № КС-3), акта о приемке выполненных работ (форма № КС-2), документ о приемке, подписанных Сторонами, счета, счета-фактуры</w:t>
      </w:r>
      <w:r>
        <w:rPr>
          <w:color w:themeColor="text1" w:val="000000"/>
        </w:rPr>
        <w:t>(при УСН не требуется)</w:t>
      </w:r>
      <w:r>
        <w:t>.</w:t>
      </w:r>
    </w:p>
    <w:p w14:paraId="64000000">
      <w:pPr>
        <w:widowControl w:val="1"/>
        <w:spacing w:after="0" w:line="240" w:lineRule="atLeast"/>
        <w:ind w:firstLine="284" w:right="-2"/>
        <w:contextualSpacing w:val="1"/>
        <w:jc w:val="center"/>
        <w:rPr>
          <w:color w:themeColor="text1" w:val="000000"/>
        </w:rPr>
      </w:pPr>
    </w:p>
    <w:p w14:paraId="65000000">
      <w:pPr>
        <w:widowControl w:val="1"/>
        <w:spacing w:after="0" w:line="240" w:lineRule="atLeast"/>
        <w:ind w:firstLine="284" w:right="-2"/>
        <w:contextualSpacing w:val="1"/>
        <w:jc w:val="center"/>
        <w:rPr>
          <w:b w:val="1"/>
          <w:color w:themeColor="text1" w:val="000000"/>
        </w:rPr>
      </w:pPr>
      <w:r>
        <w:rPr>
          <w:b w:val="1"/>
          <w:color w:themeColor="text1" w:val="000000"/>
        </w:rPr>
        <w:t>5. Сроки и место выполнения работ.</w:t>
      </w:r>
    </w:p>
    <w:p w14:paraId="66000000">
      <w:pPr>
        <w:widowControl w:val="1"/>
        <w:spacing w:after="0"/>
        <w:ind w:firstLine="284" w:right="-2"/>
        <w:contextualSpacing w:val="1"/>
        <w:rPr>
          <w:color w:themeColor="text1" w:val="000000"/>
        </w:rPr>
      </w:pPr>
      <w:r>
        <w:rPr>
          <w:color w:themeColor="text1" w:val="000000"/>
        </w:rPr>
        <w:t>5.1. Местом выполнения работ является:</w:t>
      </w:r>
    </w:p>
    <w:p w14:paraId="67000000">
      <w:pPr>
        <w:widowControl w:val="1"/>
        <w:spacing w:after="0"/>
        <w:ind w:firstLine="284" w:right="-2"/>
      </w:pPr>
      <w:r>
        <w:t xml:space="preserve">5.1.1. </w:t>
      </w:r>
      <w:r>
        <w:t xml:space="preserve">Республика Бурятия, </w:t>
      </w:r>
      <w:r>
        <w:rPr>
          <w:color w:themeColor="text1" w:val="000000"/>
        </w:rPr>
        <w:t>г. Улан-Удэ, ул. Коммунистическая, д.50</w:t>
      </w:r>
      <w:r>
        <w:t>.</w:t>
      </w:r>
    </w:p>
    <w:p w14:paraId="68000000">
      <w:pPr>
        <w:widowControl w:val="1"/>
        <w:spacing w:after="0"/>
        <w:ind w:firstLine="284" w:right="-2"/>
        <w:rPr>
          <w:color w:themeColor="text1" w:val="000000"/>
        </w:rPr>
      </w:pPr>
      <w:r>
        <w:rPr>
          <w:color w:themeColor="text1" w:val="000000"/>
        </w:rPr>
        <w:t>5.2. Начало выполнения работ: с даты заключения государственного контракта, по согласованному с Заказчиком календарному плану выполнения работ</w:t>
      </w:r>
      <w:r>
        <w:rPr>
          <w:color w:themeColor="text1" w:val="000000"/>
        </w:rPr>
        <w:t xml:space="preserve"> </w:t>
      </w:r>
      <w:r>
        <w:rPr>
          <w:b w:val="1"/>
        </w:rPr>
        <w:t>в течение 10 календарных дней</w:t>
      </w:r>
      <w:r>
        <w:rPr>
          <w:color w:themeColor="text1" w:val="000000"/>
        </w:rPr>
        <w:t>.</w:t>
      </w:r>
    </w:p>
    <w:p w14:paraId="69000000">
      <w:pPr>
        <w:widowControl w:val="1"/>
        <w:spacing w:after="0"/>
        <w:ind w:firstLine="284"/>
        <w:rPr>
          <w:color w:val="FB290D"/>
        </w:rPr>
      </w:pPr>
      <w:bookmarkStart w:id="2" w:name="_Hlk121403069"/>
      <w:bookmarkStart w:id="3" w:name="_Hlk121403097"/>
      <w:r>
        <w:rPr>
          <w:color w:themeColor="text1" w:val="000000"/>
        </w:rPr>
        <w:t xml:space="preserve">5.3. </w:t>
      </w:r>
      <w:r>
        <w:t xml:space="preserve">Окончание выполнения </w:t>
      </w:r>
      <w:r>
        <w:t xml:space="preserve">работ: </w:t>
      </w:r>
      <w:bookmarkEnd w:id="2"/>
      <w:bookmarkEnd w:id="3"/>
      <w:r>
        <w:rPr>
          <w:b w:val="1"/>
        </w:rPr>
        <w:t xml:space="preserve"> до</w:t>
      </w:r>
      <w:r>
        <w:rPr>
          <w:b w:val="1"/>
        </w:rPr>
        <w:t xml:space="preserve"> ____________.</w:t>
      </w:r>
    </w:p>
    <w:p w14:paraId="6A000000">
      <w:pPr>
        <w:widowControl w:val="1"/>
        <w:spacing w:after="0"/>
        <w:ind w:firstLine="284"/>
        <w:rPr>
          <w:color w:themeColor="text1" w:val="000000"/>
        </w:rPr>
      </w:pPr>
      <w:r>
        <w:t>5.4. Подрядчик вправе выполнить работы</w:t>
      </w:r>
      <w:r>
        <w:rPr>
          <w:color w:themeColor="text1" w:val="000000"/>
        </w:rPr>
        <w:t xml:space="preserve"> досрочно, предварительно и письменно согласовав сроки выполнения работ с Заказчиком. При этом Заказчик обязан принять выполненные работы и оплатить их в соответствии с условиями настоящего контракта.</w:t>
      </w:r>
    </w:p>
    <w:p w14:paraId="6B000000">
      <w:pPr>
        <w:widowControl w:val="1"/>
        <w:spacing w:after="0"/>
        <w:ind w:firstLine="284" w:right="-2"/>
        <w:rPr>
          <w:color w:themeColor="text1" w:val="000000"/>
        </w:rPr>
      </w:pPr>
      <w:r>
        <w:rPr>
          <w:color w:themeColor="text1" w:val="000000"/>
        </w:rPr>
        <w:t>5.5. Датой окончания выполнения работ считается дата подписания окончательного акта приемки выполненных работ в соответствии с Контрактом.</w:t>
      </w:r>
    </w:p>
    <w:p w14:paraId="6C000000">
      <w:pPr>
        <w:widowControl w:val="1"/>
        <w:spacing w:after="0"/>
        <w:ind w:firstLine="284" w:right="-2"/>
      </w:pPr>
    </w:p>
    <w:p w14:paraId="6D000000">
      <w:pPr>
        <w:widowControl w:val="1"/>
        <w:spacing w:after="0" w:line="240" w:lineRule="atLeast"/>
        <w:ind w:firstLine="284" w:right="-2"/>
        <w:contextualSpacing w:val="1"/>
        <w:jc w:val="center"/>
        <w:rPr>
          <w:b w:val="1"/>
          <w:color w:themeColor="text1" w:val="000000"/>
        </w:rPr>
      </w:pPr>
      <w:r>
        <w:rPr>
          <w:b w:val="1"/>
          <w:color w:themeColor="text1" w:val="000000"/>
        </w:rPr>
        <w:t>6. Производство работ, требования к качеству работ</w:t>
      </w:r>
    </w:p>
    <w:p w14:paraId="6E000000">
      <w:pPr>
        <w:widowControl w:val="1"/>
        <w:spacing w:after="0"/>
        <w:ind w:firstLine="284" w:right="-2"/>
      </w:pPr>
      <w:bookmarkStart w:id="4" w:name="_Hlk118889467"/>
      <w:r>
        <w:t>6.1 Подрядчик при выполнении работ должен соблюдать обязательные требования нормативных правовых актов РФ.</w:t>
      </w:r>
    </w:p>
    <w:p w14:paraId="6F000000">
      <w:pPr>
        <w:widowControl w:val="1"/>
        <w:spacing w:after="0"/>
        <w:ind w:firstLine="284" w:right="-2"/>
      </w:pPr>
      <w:r>
        <w:t xml:space="preserve">Подрядчик не имеет права самостоятельно изменять перечень и объем работ, указанных </w:t>
      </w:r>
      <w:r>
        <w:rPr>
          <w:color w:themeColor="text1" w:val="000000"/>
        </w:rPr>
        <w:t xml:space="preserve">в </w:t>
      </w:r>
      <w:r>
        <w:t>Приложении №1 к контракту.</w:t>
      </w:r>
    </w:p>
    <w:p w14:paraId="70000000">
      <w:pPr>
        <w:widowControl w:val="1"/>
        <w:spacing w:after="0"/>
        <w:ind w:firstLine="284" w:right="-2"/>
      </w:pPr>
      <w:r>
        <w:t xml:space="preserve">6.1.1. Подрядчик должен выполнить работы в полном соответствии с условиями контракта, с соблюдением технологии и качества выполняемых работ, используемых материалов и оборудования в соответствии с законодательством Российской Федерации и нормативными документами, в том числе, с перечисленными в Техническом задании (Приложение № 1 к </w:t>
      </w:r>
      <w:r>
        <w:rPr>
          <w:color w:themeColor="text1" w:val="000000"/>
        </w:rPr>
        <w:t>контракту</w:t>
      </w:r>
      <w:r>
        <w:t>).</w:t>
      </w:r>
    </w:p>
    <w:p w14:paraId="71000000">
      <w:pPr>
        <w:widowControl w:val="1"/>
        <w:spacing w:after="0"/>
        <w:ind w:firstLine="284" w:right="-2"/>
      </w:pPr>
      <w:r>
        <w:t>6.1.2. Подрядчик при выполнении работ обязан своевременно предоставлять акты на скрытые работы, извещая Заказчика не менее чем за 3 дня о времени освидетельствования скрытых работ.</w:t>
      </w:r>
    </w:p>
    <w:p w14:paraId="72000000">
      <w:pPr>
        <w:widowControl w:val="1"/>
        <w:spacing w:after="0"/>
        <w:ind w:firstLine="284" w:right="-2"/>
      </w:pPr>
      <w:r>
        <w:t xml:space="preserve">6.2. Если работы выполнены с нарушением обязательных требований, предусмотренных нормативными правовыми актами РФ, и (или) иных актов и документов, устанавливающих требования к работам, если соблюдение Подрядчиком таких документов предусмотрено прямо Контрактом, их результат является некачественным. </w:t>
      </w:r>
    </w:p>
    <w:p w14:paraId="73000000">
      <w:pPr>
        <w:widowControl w:val="1"/>
        <w:spacing w:after="0"/>
        <w:ind w:firstLine="284" w:right="-2"/>
      </w:pPr>
      <w:r>
        <w:t xml:space="preserve">6.3. Заказчик не вправе обосновывать некачественность выполненных Подрядчиком работ их несоответствием требованиям актов и (или) документов, соблюдение которых не является обязательным в соответствии с законодательством РФ, если в Контракте отсутствует условие о необходимости соблюдения Подрядчиком таких актов и (или) документов, и работы выполнены Подрядчиком в соответствии с условиями Контракта. </w:t>
      </w:r>
    </w:p>
    <w:p w14:paraId="74000000">
      <w:pPr>
        <w:widowControl w:val="1"/>
        <w:spacing w:after="0"/>
        <w:ind w:firstLine="284" w:right="-2"/>
      </w:pPr>
      <w:r>
        <w:t>Результат работ, не пригодный для использования по назначению, т.е. не имеющий для Заказчика потребительской ценности, не является качественным.</w:t>
      </w:r>
      <w:bookmarkEnd w:id="4"/>
    </w:p>
    <w:p w14:paraId="75000000">
      <w:pPr>
        <w:widowControl w:val="1"/>
        <w:spacing w:after="0"/>
        <w:ind w:firstLine="284" w:right="-2"/>
      </w:pPr>
      <w:r>
        <w:t xml:space="preserve">6.4. Заказчик и Подрядчик назначают своих уполномоченных представителей. </w:t>
      </w:r>
    </w:p>
    <w:p w14:paraId="76000000">
      <w:pPr>
        <w:widowControl w:val="1"/>
        <w:spacing w:after="0"/>
        <w:ind w:firstLine="284" w:right="-2"/>
      </w:pPr>
      <w:r>
        <w:t>По окончании выполнения Подрядчиком работ Заказчик осуществляет приемку результата работ, совместно с представителем организации, осуществляющей строительный контроль, на основании контракта с Заказчиком.</w:t>
      </w:r>
    </w:p>
    <w:p w14:paraId="77000000">
      <w:pPr>
        <w:widowControl w:val="1"/>
        <w:spacing w:after="0"/>
        <w:ind w:firstLine="284" w:right="-2"/>
      </w:pPr>
      <w:r>
        <w:t xml:space="preserve">6.5.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 имеющие значение во взаимоотношениях сторон. Если Заказчик и представитель организации, осуществляющей строительный </w:t>
      </w:r>
      <w:r>
        <w:t>контроль,не</w:t>
      </w:r>
      <w:r>
        <w:t xml:space="preserve"> удовлетворен(ы) ходом и качеством работ или записями Подрядчика, то он(и) излагает(ют) свое мнение в журнале производства работ. </w:t>
      </w:r>
    </w:p>
    <w:p w14:paraId="78000000">
      <w:pPr>
        <w:widowControl w:val="1"/>
        <w:spacing w:after="0"/>
        <w:ind w:firstLine="284" w:right="-2"/>
      </w:pPr>
      <w:r>
        <w:t>В случае если Заказчиком будут обнаружены некачественно выполненные работы, то Подрядчик обязуется принять меры к устранению недостатков, обоснованно указанных в журнале, в течение 3 (трех) рабочих дней, без увеличения стоимости работ.</w:t>
      </w:r>
    </w:p>
    <w:p w14:paraId="79000000">
      <w:pPr>
        <w:widowControl w:val="1"/>
        <w:spacing w:after="0"/>
        <w:ind w:firstLine="284" w:right="-2"/>
      </w:pPr>
      <w:r>
        <w:t xml:space="preserve">6.6. Согласование с органами государственного надзора порядка ведения работ на объекте и его соблюдение осуществляет Подрядчик, в случаях установленных законодательством РФ и иными нормативно-правовыми актами РФ и Республики Бурятия. </w:t>
      </w:r>
    </w:p>
    <w:p w14:paraId="7A000000">
      <w:pPr>
        <w:widowControl w:val="1"/>
        <w:spacing w:after="0"/>
        <w:ind w:firstLine="284" w:right="-2"/>
      </w:pPr>
      <w:r>
        <w:t>6.7. Временные подсоединения коммуникаций на период выполнения работ и вновь построенных коммуникаций в точках подключения осуществляет Подрядчик.</w:t>
      </w:r>
    </w:p>
    <w:p w14:paraId="7B000000">
      <w:pPr>
        <w:widowControl w:val="1"/>
        <w:spacing w:after="0"/>
        <w:ind w:firstLine="284" w:right="-2"/>
      </w:pPr>
      <w:r>
        <w:t xml:space="preserve">6.8. За 3 (три) рабочих дня до начала приемки скрытых работ Подрядчик письменно информирует об этом Заказчика и представителя организации, осуществляющей строительный контроль. Готовность принимаемых работ подтверждается подписанием Заказчиком, представителем организации, осуществляющей строительный контроль и Подрядчиком актов освидетельствования скрытых работ. Подрядчик приступает к выполнению последующих работ только после письменного разрешения Заказчика, внесенного в журнал производства работ. Подрядчик представляет Заказчику и представителю организации, осуществляющей строительный </w:t>
      </w:r>
      <w:r>
        <w:t>контрольпо</w:t>
      </w:r>
      <w:r>
        <w:t xml:space="preserve"> его требованию образцы материалов для проведения испытаний и оценки их качества. Если закрытие работ выполнено без подтверждения Заказчиком и представителя организации, осуществляющей строительный контроль, или он не был информирован об этом, или информированы с опозданием, то по требованию и/или указанию Подрядчик обязан за свой счет вскрыть любую часть скрытых работ, а затем восстановить ее своими силами и за свой счет.</w:t>
      </w:r>
    </w:p>
    <w:p w14:paraId="7C000000">
      <w:pPr>
        <w:widowControl w:val="1"/>
        <w:spacing w:after="0"/>
        <w:ind w:firstLine="284" w:right="-2"/>
      </w:pPr>
      <w:r>
        <w:t>6.9. При выполнении работ должна обеспечиваться сохранность и работоспособность электрических, противопожарных и инженерных сетей на участке производства работ.</w:t>
      </w:r>
    </w:p>
    <w:p w14:paraId="7D000000">
      <w:pPr>
        <w:widowControl w:val="1"/>
        <w:spacing w:after="0"/>
        <w:ind w:firstLine="284" w:right="-2"/>
      </w:pPr>
      <w:r>
        <w:t>Материалы и оборудование, применяемые при выполнении работ, должны быть новыми, не бывшими в употреблении, готовыми к использованию, не обремененными правами третьих лиц, иметь товарный вид, быть укомплектованными в соответствии с технической документацией.</w:t>
      </w:r>
    </w:p>
    <w:p w14:paraId="7E000000">
      <w:pPr>
        <w:widowControl w:val="1"/>
        <w:spacing w:after="0"/>
        <w:ind w:firstLine="284" w:right="-2"/>
      </w:pPr>
      <w:r>
        <w:t>Подрядчик обязан выполнять работы силами квалифицированного персонала, прошедшего профессиональную подготовку и обучение.</w:t>
      </w:r>
    </w:p>
    <w:p w14:paraId="7F000000">
      <w:pPr>
        <w:widowControl w:val="1"/>
        <w:spacing w:after="0"/>
        <w:ind w:firstLine="284" w:right="-2"/>
      </w:pPr>
      <w:r>
        <w:t>Подрядчик обязан обеспечить соблюдение своими работниками требований по технике безопасности, пожарной безопасности в ходе выполнения Работ, а также соблюдение своими работниками правил поведения и внутреннего распорядка, действующих на территории Заказчика.</w:t>
      </w:r>
    </w:p>
    <w:p w14:paraId="80000000">
      <w:pPr>
        <w:widowControl w:val="1"/>
        <w:spacing w:after="0" w:line="240" w:lineRule="atLeast"/>
        <w:ind w:firstLine="284" w:right="-2"/>
        <w:contextualSpacing w:val="1"/>
        <w:jc w:val="center"/>
        <w:rPr>
          <w:b w:val="1"/>
          <w:color w:themeColor="text1" w:val="000000"/>
        </w:rPr>
      </w:pPr>
    </w:p>
    <w:p w14:paraId="81000000">
      <w:pPr>
        <w:widowControl w:val="1"/>
        <w:spacing w:after="0" w:line="240" w:lineRule="atLeast"/>
        <w:ind w:firstLine="284" w:right="-2"/>
        <w:contextualSpacing w:val="1"/>
        <w:jc w:val="center"/>
        <w:rPr>
          <w:b w:val="1"/>
          <w:color w:themeColor="text1" w:val="000000"/>
        </w:rPr>
      </w:pPr>
      <w:r>
        <w:rPr>
          <w:b w:val="1"/>
          <w:color w:themeColor="text1" w:val="000000"/>
        </w:rPr>
        <w:t>7. Порядок и сроки осуществления Заказчиком приемки выполненной работы (ее результатов) в части соответствия ее объема требованиям, установленным Контрактом, порядок и сроки оформления результатов такой приемки.</w:t>
      </w:r>
    </w:p>
    <w:p w14:paraId="82000000">
      <w:pPr>
        <w:widowControl w:val="1"/>
        <w:spacing w:after="0"/>
        <w:ind/>
        <w:rPr>
          <w:highlight w:val="white"/>
        </w:rPr>
      </w:pPr>
      <w:r>
        <w:rPr>
          <w:highlight w:val="white"/>
        </w:rPr>
        <w:t>7.</w:t>
      </w:r>
      <w:r>
        <w:rPr>
          <w:highlight w:val="white"/>
        </w:rPr>
        <w:t>1.Приемка</w:t>
      </w:r>
      <w:r>
        <w:rPr>
          <w:highlight w:val="white"/>
        </w:rPr>
        <w:t>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p>
    <w:p w14:paraId="83000000">
      <w:pPr>
        <w:widowControl w:val="1"/>
        <w:spacing w:after="0"/>
        <w:ind/>
      </w:pPr>
      <w:r>
        <w:t>7.2. После завершения выполнения Работ, предусмотренных Контрактом, Подрядчик в течение 3-х рабочих дней письменно уведомляет Заказчика о факте завершения выполнения Работ и направляет в адрес Заказчика Акт по форме КС-2, Справку по форме КС-3 в 2 (двух) экземплярах, счет, счет-фактуру, также комплект документации (копии сертификатов соответствия на поставляемые оборудование и устройства, копии государственных таможенных деклараций (при установке оборудования и использовании материалов импортного производства), используемые Подрядчиком при выполнении Работ, и иные необходимые документы.</w:t>
      </w:r>
    </w:p>
    <w:p w14:paraId="84000000">
      <w:pPr>
        <w:widowControl w:val="1"/>
        <w:spacing w:after="0"/>
        <w:ind/>
      </w:pPr>
      <w:r>
        <w:t xml:space="preserve">7.3.Не позднее 5 (пяти) рабочих дней после получения от Подрядчика документов, указанных в п. 7.2.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 Заказчик в течение 5(пяти) </w:t>
      </w:r>
      <w:r>
        <w:t xml:space="preserve"> ра</w:t>
      </w:r>
      <w:r>
        <w:t>бочих дней со дня получения от Подрядчика Акта по форме КС-2, Справки по форме КС3 обязан направить Подрядчику один экземпляр подписанных актов приемки выполненных Работ либо мотивированный отказ от приемки выполненных Работ, в котором указываются выявленные Заказчиком недостатки. Заказчик устанавливает Подрядчику срок для устранения таких недостатков не более 5 (пяти) рабочих дней. Мотивированный отказ направляется в порядке, предусмотренном р.15 настоящего Контракта.</w:t>
      </w:r>
    </w:p>
    <w:p w14:paraId="85000000">
      <w:pPr>
        <w:widowControl w:val="1"/>
        <w:spacing w:after="0"/>
        <w:ind/>
      </w:pPr>
      <w:r>
        <w:t>7.4.В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 приемки выполненных Работ Заказчик подписывает в течение 5 (пяти) рабочих дней после устранения Подрядчиком указанных недостатков. До подписания КС-2 и КС-3, Заказчик не имеет право эксплуатировать оборудование и устройства. </w:t>
      </w:r>
    </w:p>
    <w:p w14:paraId="86000000">
      <w:pPr>
        <w:widowControl w:val="1"/>
        <w:spacing w:after="0"/>
        <w:ind/>
      </w:pPr>
      <w:r>
        <w:t>7.</w:t>
      </w:r>
      <w:r>
        <w:t>5.Если</w:t>
      </w:r>
      <w:r>
        <w:t> Подрядчик в установленный срок не устранит недостатки, указанные в мотивированном отказе от приемки выполненных Работ, Заказчик вправе предъявить Подрядчику требование о возмещении понесенных убытков, уплате неустойки и (или) о расторжении Контракта. </w:t>
      </w:r>
    </w:p>
    <w:p w14:paraId="87000000">
      <w:pPr>
        <w:widowControl w:val="1"/>
        <w:spacing w:after="0"/>
        <w:ind w:firstLine="284" w:right="-2"/>
      </w:pPr>
      <w:r>
        <w:t xml:space="preserve">7.6. Обязательства Подрядчика по настоящему Контракту считаются исполненными после подписания Сторонами документа о приемке. </w:t>
      </w:r>
    </w:p>
    <w:p w14:paraId="88000000">
      <w:pPr>
        <w:widowControl w:val="1"/>
        <w:spacing w:after="0"/>
        <w:ind w:firstLine="284" w:right="-2"/>
      </w:pPr>
      <w:r>
        <w:t>7.7. Заказчик вправе не отказывать в приемке результатов выполненных работ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Подрядчиком.</w:t>
      </w:r>
    </w:p>
    <w:p w14:paraId="89000000">
      <w:pPr>
        <w:widowControl w:val="1"/>
        <w:spacing w:after="0"/>
        <w:ind w:firstLine="284" w:right="-2"/>
      </w:pPr>
    </w:p>
    <w:p w14:paraId="8A000000">
      <w:pPr>
        <w:widowControl w:val="1"/>
        <w:spacing w:after="0" w:line="240" w:lineRule="atLeast"/>
        <w:ind w:firstLine="284" w:right="-2"/>
        <w:contextualSpacing w:val="1"/>
        <w:jc w:val="center"/>
        <w:rPr>
          <w:b w:val="1"/>
          <w:color w:themeColor="text1" w:val="000000"/>
        </w:rPr>
      </w:pPr>
      <w:r>
        <w:rPr>
          <w:b w:val="1"/>
          <w:color w:themeColor="text1" w:val="000000"/>
        </w:rPr>
        <w:t>8. Обстоятельства непреодолимой силы</w:t>
      </w:r>
    </w:p>
    <w:p w14:paraId="8B000000">
      <w:pPr>
        <w:widowControl w:val="1"/>
        <w:spacing w:after="0" w:line="240" w:lineRule="atLeast"/>
        <w:ind w:firstLine="284" w:right="-2"/>
        <w:contextualSpacing w:val="1"/>
        <w:rPr>
          <w:color w:themeColor="text1" w:val="000000"/>
        </w:rPr>
      </w:pPr>
      <w:r>
        <w:rPr>
          <w:color w:themeColor="text1" w:val="000000"/>
        </w:rPr>
        <w:t xml:space="preserve">8.1. Стороны освобождаются от ответственности за частичное или неполное 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w:t>
      </w:r>
    </w:p>
    <w:p w14:paraId="8C000000">
      <w:pPr>
        <w:widowControl w:val="1"/>
        <w:spacing w:after="0" w:line="240" w:lineRule="atLeast"/>
        <w:ind w:firstLine="284" w:right="-2"/>
        <w:contextualSpacing w:val="1"/>
        <w:rPr>
          <w:color w:themeColor="text1" w:val="000000"/>
        </w:rPr>
      </w:pPr>
      <w:r>
        <w:rPr>
          <w:color w:themeColor="text1" w:val="000000"/>
        </w:rPr>
        <w:t xml:space="preserve">К обстоятельствам непреодолимой силы относятся события, на которые стороны не могут оказать влияния и </w:t>
      </w:r>
      <w:r>
        <w:rPr>
          <w:color w:themeColor="text1" w:val="000000"/>
        </w:rPr>
        <w:t>за возникновения</w:t>
      </w:r>
      <w:r>
        <w:rPr>
          <w:color w:themeColor="text1" w:val="000000"/>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w:t>
      </w:r>
    </w:p>
    <w:p w14:paraId="8D000000">
      <w:pPr>
        <w:widowControl w:val="1"/>
        <w:spacing w:after="0" w:line="240" w:lineRule="atLeast"/>
        <w:ind w:firstLine="284" w:right="-2"/>
        <w:contextualSpacing w:val="1"/>
        <w:rPr>
          <w:color w:themeColor="text1" w:val="000000"/>
        </w:rPr>
      </w:pPr>
      <w:r>
        <w:rPr>
          <w:color w:themeColor="text1" w:val="000000"/>
        </w:rPr>
        <w:t>8.2. В случае наступления обстоятельств, указанных в п. 8.1 контракта, сторона, которая не в состоянии исполнить обязательства, взятые на себя по контракту, должна в трехдневный срок сообщить об этих обстоятельствах другой стороне в письменной форме.</w:t>
      </w:r>
    </w:p>
    <w:p w14:paraId="8E000000">
      <w:pPr>
        <w:widowControl w:val="1"/>
        <w:spacing w:after="0" w:line="240" w:lineRule="atLeast"/>
        <w:ind w:firstLine="284" w:right="-2"/>
        <w:contextualSpacing w:val="1"/>
        <w:rPr>
          <w:color w:themeColor="text1" w:val="000000"/>
        </w:rPr>
      </w:pPr>
      <w:r>
        <w:rPr>
          <w:color w:themeColor="text1" w:val="000000"/>
        </w:rPr>
        <w:t>8.3. С момента наступления форс-мажорных обстоятельств действие Контракта приостанавливается до момента, определяемого сторонами</w:t>
      </w:r>
    </w:p>
    <w:p w14:paraId="8F000000">
      <w:pPr>
        <w:widowControl w:val="1"/>
        <w:spacing w:after="0" w:line="240" w:lineRule="atLeast"/>
        <w:ind w:firstLine="284" w:right="-2"/>
        <w:contextualSpacing w:val="1"/>
        <w:jc w:val="center"/>
        <w:rPr>
          <w:color w:themeColor="text1" w:val="000000"/>
        </w:rPr>
      </w:pPr>
    </w:p>
    <w:p w14:paraId="90000000">
      <w:pPr>
        <w:widowControl w:val="1"/>
        <w:spacing w:after="0" w:line="240" w:lineRule="atLeast"/>
        <w:ind w:firstLine="284" w:right="-2"/>
        <w:contextualSpacing w:val="1"/>
        <w:jc w:val="center"/>
        <w:rPr>
          <w:b w:val="1"/>
          <w:color w:themeColor="text1" w:val="000000"/>
        </w:rPr>
      </w:pPr>
      <w:r>
        <w:rPr>
          <w:b w:val="1"/>
          <w:color w:themeColor="text1" w:val="000000"/>
        </w:rPr>
        <w:t>9. Гарантийные обязательства, обеспечение гарантийных обязательств.</w:t>
      </w:r>
    </w:p>
    <w:p w14:paraId="91000000">
      <w:pPr>
        <w:widowControl w:val="1"/>
        <w:spacing w:after="0"/>
        <w:ind w:firstLine="284" w:right="-2"/>
      </w:pPr>
      <w:r>
        <w:t xml:space="preserve">9.1. </w:t>
      </w:r>
      <w:r>
        <w:rPr>
          <w:rStyle w:val="Style_4_ch"/>
        </w:rPr>
        <w:t>Заказчик вправе предъявить требования, связанные с недостатками результата работы, обнаруженными в течение гарантийного срока (пункт 3 статьи 724 ГК РФ)</w:t>
      </w:r>
      <w:r>
        <w:rPr>
          <w:rStyle w:val="Style_5_ch"/>
        </w:rPr>
        <w:footnoteReference w:id="1"/>
      </w:r>
      <w:r>
        <w:rPr>
          <w:rStyle w:val="Style_4_ch"/>
        </w:rPr>
        <w:t xml:space="preserve">. </w:t>
      </w:r>
    </w:p>
    <w:p w14:paraId="92000000">
      <w:pPr>
        <w:widowControl w:val="1"/>
        <w:spacing w:after="0"/>
        <w:ind w:firstLine="284" w:right="-2"/>
        <w:rPr>
          <w:rStyle w:val="Style_4_ch"/>
        </w:rPr>
      </w:pPr>
      <w:r>
        <w:rPr>
          <w:rStyle w:val="Style_4_ch"/>
        </w:rPr>
        <w:t>Гарантийный срок на основные виды работ и оборудование должен составлять 24 месяца с момента подписания акта о приемке выполненных работ (КС-2) и передачи объекта (результатов работ) в эксплуатацию. В течение гарантийного срока Подрядчик обеспечивает за свой счет устранение и исправление возникших по его вине разрушений и дефектов (в течение одной недели с момента уведомления Заказчиком).</w:t>
      </w:r>
    </w:p>
    <w:p w14:paraId="93000000">
      <w:pPr>
        <w:widowControl w:val="1"/>
        <w:spacing w:after="0"/>
        <w:ind w:firstLine="284" w:right="-2"/>
      </w:pPr>
      <w: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94000000">
      <w:pPr>
        <w:widowControl w:val="1"/>
        <w:spacing w:after="0"/>
        <w:ind w:firstLine="284" w:right="-2"/>
      </w:pPr>
      <w:r>
        <w:t xml:space="preserve">9.3. Если в период гарантийного срока эксплуатации объекта обнаружатся дефекты, вызванные результатом выполненных работ или препятствующие нормальной эксплуатации объекта, Подрядчик обязан устранить их за свой счет в течение 14 (четырнадцати) календарных дней. Гарантийный срок в этом случае продлевается на период устранения дефектов. </w:t>
      </w:r>
    </w:p>
    <w:p w14:paraId="95000000">
      <w:pPr>
        <w:widowControl w:val="1"/>
        <w:spacing w:after="0"/>
        <w:ind w:firstLine="284" w:right="-2"/>
      </w:pPr>
      <w:r>
        <w:t>9.4. Течение гарантийного срока прерывается на все время со дня письменного уведомления Заказчика об обнаружении недостатков до дня устранения их Подрядчиком.</w:t>
      </w:r>
    </w:p>
    <w:p w14:paraId="96000000">
      <w:pPr>
        <w:widowControl w:val="1"/>
        <w:spacing w:after="0"/>
        <w:ind w:firstLine="284" w:right="-2"/>
      </w:pPr>
      <w:r>
        <w:t>9.5. Требование обеспечения гарантийных обязательств не установлено.</w:t>
      </w:r>
    </w:p>
    <w:p w14:paraId="97000000">
      <w:pPr>
        <w:pStyle w:val="Style_3"/>
        <w:widowControl w:val="1"/>
        <w:spacing w:line="240" w:lineRule="atLeast"/>
        <w:ind w:firstLine="284" w:right="-2"/>
        <w:contextualSpacing w:val="1"/>
        <w:jc w:val="center"/>
        <w:rPr>
          <w:rFonts w:ascii="Times New Roman" w:hAnsi="Times New Roman"/>
          <w:color w:themeColor="text1" w:val="000000"/>
          <w:sz w:val="24"/>
        </w:rPr>
      </w:pPr>
    </w:p>
    <w:p w14:paraId="98000000">
      <w:pPr>
        <w:widowControl w:val="1"/>
        <w:spacing w:after="0" w:line="240" w:lineRule="atLeast"/>
        <w:ind w:firstLine="284" w:right="-2"/>
        <w:contextualSpacing w:val="1"/>
        <w:jc w:val="center"/>
        <w:rPr>
          <w:b w:val="1"/>
          <w:color w:themeColor="text1" w:val="000000"/>
        </w:rPr>
      </w:pPr>
      <w:r>
        <w:rPr>
          <w:b w:val="1"/>
          <w:color w:themeColor="text1" w:val="000000"/>
        </w:rPr>
        <w:t>10. Ответственность сторон</w:t>
      </w:r>
    </w:p>
    <w:p w14:paraId="99000000">
      <w:pPr>
        <w:widowControl w:val="1"/>
        <w:spacing w:after="0" w:line="240" w:lineRule="atLeast"/>
        <w:ind w:firstLine="284" w:right="-2"/>
        <w:contextualSpacing w:val="1"/>
        <w:rPr>
          <w:color w:themeColor="text1" w:val="000000"/>
        </w:rPr>
      </w:pPr>
      <w:r>
        <w:rPr>
          <w:color w:themeColor="text1" w:val="000000"/>
        </w:rPr>
        <w:t>10.1.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9A000000">
      <w:pPr>
        <w:widowControl w:val="1"/>
        <w:spacing w:after="0" w:line="240" w:lineRule="atLeast"/>
        <w:ind w:firstLine="284" w:right="-2"/>
        <w:contextualSpacing w:val="1"/>
        <w:rPr>
          <w:color w:themeColor="text1" w:val="000000"/>
        </w:rPr>
      </w:pPr>
      <w:r>
        <w:rPr>
          <w:color w:themeColor="text1" w:val="00000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9B000000">
      <w:pPr>
        <w:widowControl w:val="1"/>
        <w:spacing w:after="0" w:line="240" w:lineRule="atLeast"/>
        <w:ind w:firstLine="284" w:right="-2"/>
        <w:contextualSpacing w:val="1"/>
        <w:rPr>
          <w:color w:themeColor="text1" w:val="000000"/>
        </w:rPr>
      </w:pPr>
      <w:r>
        <w:rPr>
          <w:color w:themeColor="text1" w:val="000000"/>
        </w:rPr>
        <w:t xml:space="preserve">10.2.1.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w:t>
      </w:r>
      <w:r>
        <w:rPr>
          <w:color w:themeColor="text1" w:val="000000"/>
        </w:rPr>
        <w:t xml:space="preserve">ставки Центрального банка Российской Федерации от не уплаченной в срок суммы. </w:t>
      </w:r>
    </w:p>
    <w:p w14:paraId="9C000000">
      <w:pPr>
        <w:widowControl w:val="1"/>
        <w:spacing w:after="0" w:line="240" w:lineRule="atLeast"/>
        <w:ind w:firstLine="284" w:right="-2"/>
        <w:contextualSpacing w:val="1"/>
        <w:rPr>
          <w:color w:themeColor="text1" w:val="000000"/>
        </w:rPr>
      </w:pPr>
      <w:r>
        <w:rPr>
          <w:color w:themeColor="text1" w:val="000000"/>
        </w:rPr>
        <w:t>10.2.2.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w:t>
      </w:r>
      <w:r>
        <w:rPr>
          <w:color w:themeColor="text1" w:val="000000"/>
          <w:sz w:val="22"/>
        </w:rPr>
        <w:t xml:space="preserve"> </w:t>
      </w:r>
      <w:r>
        <w:rPr>
          <w:color w:themeColor="text1" w:val="000000"/>
        </w:rPr>
        <w:t xml:space="preserve">устанавливается в соответствии с </w:t>
      </w:r>
      <w:r>
        <w:t xml:space="preserve">постановлением Правительства Российской Федерации от 30 августа 2017 г. № 1042 (далее - Правила) </w:t>
      </w:r>
      <w:r>
        <w:rPr>
          <w:color w:themeColor="text1" w:val="000000"/>
        </w:rPr>
        <w:t>в следующем порядке:</w:t>
      </w:r>
    </w:p>
    <w:p w14:paraId="9D000000">
      <w:pPr>
        <w:widowControl w:val="1"/>
        <w:spacing w:after="0" w:line="240" w:lineRule="atLeast"/>
        <w:ind w:firstLine="284" w:right="-2"/>
        <w:contextualSpacing w:val="1"/>
        <w:rPr>
          <w:color w:themeColor="text1" w:val="000000"/>
        </w:rPr>
      </w:pPr>
      <w:r>
        <w:rPr>
          <w:color w:themeColor="text1" w:val="000000"/>
        </w:rPr>
        <w:t>а) 1 000,00 рублей, если цена контракта не превышает 3 млн. рублей (включительно).</w:t>
      </w:r>
    </w:p>
    <w:p w14:paraId="9E000000">
      <w:pPr>
        <w:widowControl w:val="1"/>
        <w:spacing w:after="0" w:line="240" w:lineRule="atLeast"/>
        <w:ind w:firstLine="284" w:right="-2"/>
        <w:contextualSpacing w:val="1"/>
        <w:rPr>
          <w:color w:themeColor="text1" w:val="000000"/>
        </w:rPr>
      </w:pPr>
      <w:r>
        <w:rPr>
          <w:color w:themeColor="text1" w:val="000000"/>
        </w:rPr>
        <w:t xml:space="preserve">10.2.3.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9F000000">
      <w:pPr>
        <w:widowControl w:val="1"/>
        <w:spacing w:after="0" w:line="240" w:lineRule="atLeast"/>
        <w:ind w:firstLine="284" w:right="-2"/>
        <w:contextualSpacing w:val="1"/>
        <w:rPr>
          <w:color w:themeColor="text1" w:val="000000"/>
        </w:rPr>
      </w:pPr>
      <w:r>
        <w:rPr>
          <w:color w:themeColor="text1" w:val="000000"/>
        </w:rPr>
        <w:t>10.3.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A0000000">
      <w:pPr>
        <w:widowControl w:val="1"/>
        <w:spacing w:after="0" w:line="240" w:lineRule="atLeast"/>
        <w:ind w:firstLine="284" w:right="-2"/>
        <w:contextualSpacing w:val="1"/>
        <w:rPr>
          <w:color w:themeColor="text1" w:val="000000"/>
        </w:rPr>
      </w:pPr>
      <w:r>
        <w:rPr>
          <w:color w:themeColor="text1" w:val="000000"/>
        </w:rPr>
        <w:t>10.3.1.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за исключением случаев, если законодательством Российской Федерации установлен иной порядок начисления пени.</w:t>
      </w:r>
    </w:p>
    <w:p w14:paraId="A1000000">
      <w:pPr>
        <w:widowControl w:val="1"/>
        <w:spacing w:after="0" w:line="240" w:lineRule="atLeast"/>
        <w:ind w:firstLine="284" w:right="-2"/>
        <w:contextualSpacing w:val="1"/>
        <w:rPr>
          <w:color w:themeColor="text1" w:val="000000"/>
        </w:rPr>
      </w:pPr>
      <w:r>
        <w:rPr>
          <w:color w:themeColor="text1" w:val="000000"/>
        </w:rPr>
        <w:t>10.3.2. За каждый факт неисполнения или ненадлежащего исполнения Подрядчиком обязательств, предусмотренных Контрактом, размер штрафа устанавливается в размере 10 процентов от цены контракта.</w:t>
      </w:r>
    </w:p>
    <w:p w14:paraId="A2000000">
      <w:pPr>
        <w:widowControl w:val="1"/>
        <w:spacing w:after="0" w:line="240" w:lineRule="atLeast"/>
        <w:ind w:firstLine="284" w:right="-2"/>
        <w:contextualSpacing w:val="1"/>
        <w:rPr>
          <w:color w:themeColor="text1" w:val="000000"/>
        </w:rPr>
      </w:pPr>
      <w:r>
        <w:rPr>
          <w:color w:themeColor="text1" w:val="000000"/>
        </w:rPr>
        <w:t>10.3.3.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A3000000">
      <w:pPr>
        <w:widowControl w:val="1"/>
        <w:spacing w:after="0" w:line="240" w:lineRule="atLeast"/>
        <w:ind w:firstLine="284" w:right="-2"/>
        <w:contextualSpacing w:val="1"/>
        <w:rPr>
          <w:color w:themeColor="text1" w:val="000000"/>
        </w:rPr>
      </w:pPr>
      <w:r>
        <w:rPr>
          <w:color w:themeColor="text1" w:val="000000"/>
        </w:rPr>
        <w:t>а) 1 000,00 рублей, если цена контракта не превышает 3 млн. рублей;</w:t>
      </w:r>
    </w:p>
    <w:p w14:paraId="A4000000">
      <w:pPr>
        <w:widowControl w:val="1"/>
        <w:spacing w:after="0" w:line="240" w:lineRule="atLeast"/>
        <w:ind w:firstLine="284" w:right="-2"/>
        <w:contextualSpacing w:val="1"/>
        <w:rPr>
          <w:color w:themeColor="text1" w:val="000000"/>
        </w:rPr>
      </w:pPr>
      <w:r>
        <w:rPr>
          <w:color w:themeColor="text1" w:val="000000"/>
        </w:rPr>
        <w:t xml:space="preserve">10.4.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14:paraId="A5000000">
      <w:pPr>
        <w:widowControl w:val="1"/>
        <w:spacing w:after="0" w:line="240" w:lineRule="atLeast"/>
        <w:ind w:firstLine="284" w:right="-2"/>
        <w:contextualSpacing w:val="1"/>
        <w:rPr>
          <w:color w:themeColor="text1" w:val="000000"/>
        </w:rPr>
      </w:pPr>
      <w:r>
        <w:rPr>
          <w:color w:themeColor="text1" w:val="000000"/>
        </w:rPr>
        <w:t xml:space="preserve">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A6000000">
      <w:pPr>
        <w:widowControl w:val="1"/>
        <w:spacing w:after="0" w:line="240" w:lineRule="atLeast"/>
        <w:ind w:firstLine="284" w:right="-2"/>
        <w:contextualSpacing w:val="1"/>
        <w:rPr>
          <w:color w:themeColor="text1" w:val="000000"/>
        </w:rPr>
      </w:pPr>
      <w:r>
        <w:rPr>
          <w:color w:themeColor="text1" w:val="000000"/>
        </w:rPr>
        <w:t xml:space="preserve">10.7. Уплата неустойки (штрафа, пени) производится Подрядчиком на основании претензии Заказчика путем перечисления денежных средств на счет Заказчика, указанный в претензии. Претензия может быть направлена Подрядчику, </w:t>
      </w:r>
      <w:r>
        <w:rPr>
          <w:color w:themeColor="text1" w:val="000000"/>
        </w:rPr>
        <w:t>в том</w:t>
      </w:r>
      <w:r>
        <w:rPr>
          <w:color w:themeColor="text1" w:val="000000"/>
        </w:rPr>
        <w:t xml:space="preserve"> числе в адрес электронной почты, указанный в разделе 16 Контракта. </w:t>
      </w:r>
    </w:p>
    <w:p w14:paraId="A7000000">
      <w:pPr>
        <w:widowControl w:val="1"/>
        <w:spacing w:after="0" w:line="240" w:lineRule="atLeast"/>
        <w:ind w:firstLine="284" w:right="-2"/>
        <w:contextualSpacing w:val="1"/>
        <w:rPr>
          <w:color w:themeColor="text1" w:val="000000"/>
        </w:rPr>
      </w:pPr>
      <w:r>
        <w:rPr>
          <w:color w:themeColor="text1" w:val="000000"/>
        </w:rPr>
        <w:t xml:space="preserve">10.7. Заказчик вправе удержать неустойку (штрафы, пени) с Подрядчика и осуществить выплату суммы за выполненную работу, уменьшенную на сумму пени и (или) штрафов (Постановление правительства Российской Федерации от 31 октября 2022 г. N 1946). </w:t>
      </w:r>
    </w:p>
    <w:p w14:paraId="A8000000">
      <w:pPr>
        <w:widowControl w:val="1"/>
        <w:spacing w:after="0" w:line="240" w:lineRule="atLeast"/>
        <w:ind w:firstLine="284" w:right="-2"/>
        <w:contextualSpacing w:val="1"/>
        <w:rPr>
          <w:color w:themeColor="text1" w:val="000000"/>
        </w:rPr>
      </w:pPr>
      <w:r>
        <w:rPr>
          <w:color w:themeColor="text1" w:val="000000"/>
        </w:rPr>
        <w:t>10.8. Уплата неустойки не освобождает Стороны от исполнения их контрактных обязательств. Неустойка взымается за каждое нарушение в отдельности.</w:t>
      </w:r>
    </w:p>
    <w:p w14:paraId="A9000000">
      <w:pPr>
        <w:widowControl w:val="1"/>
        <w:spacing w:after="0" w:line="240" w:lineRule="atLeast"/>
        <w:ind w:firstLine="284" w:right="-2"/>
        <w:contextualSpacing w:val="1"/>
        <w:rPr>
          <w:color w:themeColor="text1" w:val="000000"/>
        </w:rPr>
      </w:pPr>
    </w:p>
    <w:p w14:paraId="AA000000">
      <w:pPr>
        <w:widowControl w:val="1"/>
        <w:spacing w:after="0"/>
        <w:ind w:firstLine="284" w:right="-2"/>
        <w:jc w:val="center"/>
        <w:rPr>
          <w:b w:val="1"/>
        </w:rPr>
      </w:pPr>
      <w:r>
        <w:rPr>
          <w:b w:val="1"/>
        </w:rPr>
        <w:t>11. Обеспечение исполнения обязательств по Контракту (обеспечение Контракта)</w:t>
      </w:r>
    </w:p>
    <w:p w14:paraId="AB000000">
      <w:pPr>
        <w:widowControl w:val="1"/>
        <w:spacing w:after="0"/>
        <w:ind w:firstLine="284" w:right="-2"/>
      </w:pPr>
      <w:bookmarkStart w:id="5" w:name="_Hlk126758062"/>
      <w:bookmarkEnd w:id="5"/>
      <w:r>
        <w:t>11.1. Требование обеспечения исполнения контракта не установлено.</w:t>
      </w:r>
    </w:p>
    <w:p w14:paraId="AC000000">
      <w:pPr>
        <w:widowControl w:val="1"/>
        <w:spacing w:after="0"/>
        <w:ind w:firstLine="284" w:right="-2"/>
      </w:pPr>
    </w:p>
    <w:p w14:paraId="AD000000">
      <w:pPr>
        <w:widowControl w:val="1"/>
        <w:spacing w:after="0"/>
        <w:ind w:firstLine="284" w:right="-2"/>
        <w:jc w:val="center"/>
      </w:pPr>
      <w:r>
        <w:rPr>
          <w:b w:val="1"/>
        </w:rPr>
        <w:t>12. Срок действия, порядок изменения и расторжения Контракта</w:t>
      </w:r>
    </w:p>
    <w:p w14:paraId="AE000000">
      <w:pPr>
        <w:widowControl w:val="1"/>
        <w:spacing w:after="0"/>
        <w:ind/>
      </w:pPr>
      <w:r>
        <w:t>12.1. Контракт вступает в силу со дня его подписания Сторонами</w:t>
      </w:r>
      <w:r>
        <w:rPr>
          <w:i w:val="1"/>
        </w:rPr>
        <w:t>.</w:t>
      </w:r>
    </w:p>
    <w:p w14:paraId="AF000000">
      <w:pPr>
        <w:widowControl w:val="1"/>
        <w:spacing w:after="0"/>
        <w:ind/>
      </w:pPr>
      <w:r>
        <w:t>12.</w:t>
      </w:r>
      <w:r>
        <w:t>2.Контракт</w:t>
      </w:r>
      <w:r>
        <w:t> действует до</w:t>
      </w:r>
      <w:r>
        <w:rPr>
          <w:b w:val="1"/>
        </w:rPr>
        <w:t> 30.10.2026,</w:t>
      </w:r>
      <w:r>
        <w:t xml:space="preserve"> но, в любом случае, до полного исполнения Сторонами своих обязательств по Контракту в</w:t>
      </w:r>
      <w:r>
        <w:t> полном объеме.</w:t>
      </w:r>
    </w:p>
    <w:p w14:paraId="B0000000">
      <w:pPr>
        <w:widowControl w:val="1"/>
        <w:spacing w:after="0"/>
        <w:ind/>
      </w:pPr>
      <w:r>
        <w:t>12.</w:t>
      </w:r>
      <w:r>
        <w:t>3.Контракт</w:t>
      </w:r>
      <w:r>
        <w:t> может быть расторгнут:</w:t>
      </w:r>
    </w:p>
    <w:p w14:paraId="B1000000">
      <w:pPr>
        <w:widowControl w:val="1"/>
        <w:numPr>
          <w:ilvl w:val="0"/>
          <w:numId w:val="1"/>
        </w:numPr>
        <w:spacing w:after="0"/>
        <w:ind w:firstLine="0" w:left="0"/>
      </w:pPr>
      <w:r>
        <w:t>по соглашению Сторон;</w:t>
      </w:r>
    </w:p>
    <w:p w14:paraId="B2000000">
      <w:pPr>
        <w:widowControl w:val="1"/>
        <w:numPr>
          <w:ilvl w:val="0"/>
          <w:numId w:val="1"/>
        </w:numPr>
        <w:spacing w:after="0"/>
        <w:ind w:firstLine="0" w:left="0"/>
      </w:pPr>
      <w:r>
        <w:t>по решению суда;</w:t>
      </w:r>
    </w:p>
    <w:p w14:paraId="B3000000">
      <w:pPr>
        <w:widowControl w:val="1"/>
        <w:numPr>
          <w:ilvl w:val="0"/>
          <w:numId w:val="1"/>
        </w:numPr>
        <w:spacing w:after="0"/>
        <w:ind w:firstLine="0" w:left="0"/>
      </w:pPr>
      <w:r>
        <w:t>в случае одностороннего отказа Стороны Контракта от исполнения Контракта в соответствии с гражданским законодательством.</w:t>
      </w:r>
    </w:p>
    <w:p w14:paraId="B4000000">
      <w:pPr>
        <w:widowControl w:val="1"/>
        <w:spacing w:after="0"/>
        <w:ind/>
      </w:pPr>
      <w:r>
        <w:t>12.4. При заключении и исполнении контракта изменение его условий не допускается, за исключением случаев, предусмотренных Законом о контрактной системе.</w:t>
      </w:r>
    </w:p>
    <w:p w14:paraId="B5000000">
      <w:pPr>
        <w:widowControl w:val="1"/>
        <w:spacing w:after="0"/>
        <w:ind/>
      </w:pPr>
      <w:r>
        <w:t>12.5. Все приложения, изменения или дополнения к настоящему Контракту оформляются в письменной форме и являются его неотъемлемой частью.</w:t>
      </w:r>
    </w:p>
    <w:p w14:paraId="B6000000">
      <w:pPr>
        <w:widowControl w:val="1"/>
        <w:spacing w:after="0"/>
        <w:ind w:firstLine="284" w:right="-2"/>
        <w:contextualSpacing w:val="1"/>
        <w:rPr>
          <w:color w:themeColor="text1" w:val="000000"/>
        </w:rPr>
      </w:pPr>
    </w:p>
    <w:p w14:paraId="B7000000">
      <w:pPr>
        <w:widowControl w:val="1"/>
        <w:spacing w:after="0"/>
        <w:ind w:firstLine="284" w:right="-2"/>
        <w:contextualSpacing w:val="1"/>
        <w:jc w:val="center"/>
        <w:rPr>
          <w:b w:val="1"/>
          <w:color w:themeColor="text1" w:val="000000"/>
        </w:rPr>
      </w:pPr>
      <w:r>
        <w:rPr>
          <w:b w:val="1"/>
          <w:color w:themeColor="text1" w:val="000000"/>
        </w:rPr>
        <w:t>14. Антикоррупционная оговорка</w:t>
      </w:r>
    </w:p>
    <w:p w14:paraId="B8000000">
      <w:pPr>
        <w:widowControl w:val="1"/>
        <w:spacing w:after="0"/>
        <w:ind w:firstLine="284" w:right="-2"/>
        <w:contextualSpacing w:val="1"/>
        <w:rPr>
          <w:color w:themeColor="text1" w:val="000000"/>
        </w:rPr>
      </w:pPr>
      <w:r>
        <w:rPr>
          <w:color w:themeColor="text1" w:val="000000"/>
        </w:rPr>
        <w:t xml:space="preserve">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14:paraId="B9000000">
      <w:pPr>
        <w:widowControl w:val="1"/>
        <w:spacing w:after="0"/>
        <w:ind w:firstLine="284" w:right="-2"/>
        <w:contextualSpacing w:val="1"/>
        <w:rPr>
          <w:color w:themeColor="text1" w:val="000000"/>
        </w:rPr>
      </w:pPr>
      <w:r>
        <w:rPr>
          <w:color w:themeColor="text1" w:val="000000"/>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14:paraId="BA000000">
      <w:pPr>
        <w:widowControl w:val="1"/>
        <w:spacing w:after="0"/>
        <w:ind w:firstLine="284" w:right="-2"/>
        <w:contextualSpacing w:val="1"/>
        <w:rPr>
          <w:color w:themeColor="text1" w:val="000000"/>
        </w:rPr>
      </w:pPr>
      <w:r>
        <w:rPr>
          <w:color w:themeColor="text1" w:val="000000"/>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BB000000">
      <w:pPr>
        <w:widowControl w:val="1"/>
        <w:spacing w:after="0"/>
        <w:ind w:firstLine="284" w:right="-2"/>
        <w:contextualSpacing w:val="1"/>
        <w:rPr>
          <w:color w:themeColor="text1" w:val="000000"/>
        </w:rPr>
      </w:pPr>
      <w:r>
        <w:rPr>
          <w:color w:themeColor="text1" w:val="000000"/>
        </w:rPr>
        <w:t>- не совершать иных действий, нарушающих антикоррупционное законодательство Российской Федерации.</w:t>
      </w:r>
    </w:p>
    <w:p w14:paraId="BC000000">
      <w:pPr>
        <w:widowControl w:val="1"/>
        <w:spacing w:after="0"/>
        <w:ind w:firstLine="284" w:right="-2"/>
        <w:contextualSpacing w:val="1"/>
        <w:jc w:val="center"/>
        <w:rPr>
          <w:b w:val="1"/>
          <w:color w:themeColor="text1" w:val="000000"/>
        </w:rPr>
      </w:pPr>
      <w:r>
        <w:rPr>
          <w:b w:val="1"/>
          <w:color w:themeColor="text1" w:val="000000"/>
        </w:rPr>
        <w:t>15. Прочие условия</w:t>
      </w:r>
    </w:p>
    <w:p w14:paraId="BD000000">
      <w:pPr>
        <w:widowControl w:val="1"/>
        <w:tabs>
          <w:tab w:leader="none" w:pos="540" w:val="left"/>
        </w:tabs>
        <w:spacing w:after="0"/>
        <w:ind w:firstLine="284" w:right="-2"/>
        <w:contextualSpacing w:val="1"/>
        <w:rPr>
          <w:color w:themeColor="text1" w:val="000000"/>
        </w:rPr>
      </w:pPr>
      <w:r>
        <w:rPr>
          <w:color w:themeColor="text1" w:val="000000"/>
        </w:rPr>
        <w:t xml:space="preserve">15.1. Любые изменения Контракта оформляются дополнительным соглашением, которое должно быть подписано сторонами. </w:t>
      </w:r>
    </w:p>
    <w:p w14:paraId="BE000000">
      <w:pPr>
        <w:widowControl w:val="1"/>
        <w:tabs>
          <w:tab w:leader="none" w:pos="540" w:val="left"/>
        </w:tabs>
        <w:spacing w:after="0"/>
        <w:ind w:firstLine="284" w:right="-2"/>
        <w:contextualSpacing w:val="1"/>
        <w:rPr>
          <w:color w:themeColor="text1" w:val="000000"/>
        </w:rPr>
      </w:pPr>
      <w:r>
        <w:rPr>
          <w:color w:themeColor="text1" w:val="000000"/>
        </w:rPr>
        <w:t>15.2. В случае изменения наименования, места нахождения, банковских реквизитов или иных сведений, имеющих значение для надлежащего исполнения сторонами своих обязательств, стороны уведомляют об этом друг друга в течение 2 (Двух) рабочих дней. Сторона, не исполнившая указанную обязанность, несет риск неблагоприятных последствий.</w:t>
      </w:r>
    </w:p>
    <w:p w14:paraId="BF000000">
      <w:pPr>
        <w:widowControl w:val="1"/>
        <w:tabs>
          <w:tab w:leader="none" w:pos="720" w:val="left"/>
        </w:tabs>
        <w:spacing w:after="0"/>
        <w:ind w:firstLine="284" w:right="-2"/>
        <w:contextualSpacing w:val="1"/>
        <w:rPr>
          <w:color w:themeColor="text1" w:val="000000"/>
        </w:rPr>
      </w:pPr>
      <w:r>
        <w:rPr>
          <w:color w:themeColor="text1" w:val="000000"/>
        </w:rPr>
        <w:t>15.3. Все споры, разногласия или требования, вытекающие из Контракта или в связи с ним, в том числе касающиеся его исполнения, нарушения, прекращения или недействительности, разрешаются путем переговоров.</w:t>
      </w:r>
    </w:p>
    <w:p w14:paraId="C0000000">
      <w:pPr>
        <w:widowControl w:val="1"/>
        <w:tabs>
          <w:tab w:leader="none" w:pos="720" w:val="left"/>
        </w:tabs>
        <w:spacing w:after="0"/>
        <w:ind w:firstLine="284" w:right="-2"/>
        <w:contextualSpacing w:val="1"/>
        <w:rPr>
          <w:color w:themeColor="text1" w:val="000000"/>
        </w:rPr>
      </w:pPr>
      <w:r>
        <w:t>Претензионный порядок разрешения споров является обязательным. Обмен претензиями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или Исполнителя, и размещаются в единой информационной системы без размещения на официальном сайте.</w:t>
      </w:r>
    </w:p>
    <w:p w14:paraId="C1000000">
      <w:pPr>
        <w:widowControl w:val="1"/>
        <w:tabs>
          <w:tab w:leader="none" w:pos="720" w:val="left"/>
        </w:tabs>
        <w:spacing w:after="0"/>
        <w:ind w:firstLine="284" w:right="-2"/>
        <w:contextualSpacing w:val="1"/>
        <w:rPr>
          <w:color w:themeColor="text1" w:val="000000"/>
        </w:rPr>
      </w:pPr>
      <w:r>
        <w:rPr>
          <w:color w:themeColor="text1" w:val="000000"/>
        </w:rPr>
        <w:t xml:space="preserve">Срок рассмотрения претензии – 10 (десять) календарных дней с момента получения претензии. </w:t>
      </w:r>
    </w:p>
    <w:p w14:paraId="C2000000">
      <w:pPr>
        <w:widowControl w:val="1"/>
        <w:spacing w:after="0"/>
        <w:ind w:firstLine="284" w:right="-2"/>
        <w:contextualSpacing w:val="1"/>
        <w:rPr>
          <w:color w:themeColor="text1" w:val="000000"/>
        </w:rPr>
      </w:pPr>
      <w:r>
        <w:rPr>
          <w:color w:themeColor="text1" w:val="000000"/>
        </w:rPr>
        <w:t xml:space="preserve">При невозможности разрешения споров, разногласий или требований путем переговоров они рассматриваются Арбитражным судом Забайкальского края. </w:t>
      </w:r>
    </w:p>
    <w:p w14:paraId="C3000000">
      <w:pPr>
        <w:pStyle w:val="Style_2"/>
        <w:widowControl w:val="1"/>
        <w:ind w:firstLine="284"/>
        <w:jc w:val="both"/>
        <w:rPr>
          <w:rFonts w:ascii="Times New Roman" w:hAnsi="Times New Roman"/>
          <w:sz w:val="24"/>
        </w:rPr>
      </w:pPr>
      <w:r>
        <w:rPr>
          <w:rFonts w:ascii="Times New Roman" w:hAnsi="Times New Roman"/>
          <w:sz w:val="24"/>
        </w:rPr>
        <w:t xml:space="preserve">15.4. В соответствии с пунктом 5 статьи 78.1 Бюджетного кодекса Российской Федерации возможно изменение по соглашению сторон размера и (или) сроков оплаты и (или) объема товаров, работ, услуг в случае уменьшения в соответствии с Бюджетным </w:t>
      </w:r>
      <w:r>
        <w:rPr>
          <w:rFonts w:ascii="Times New Roman" w:hAnsi="Times New Roman"/>
          <w:sz w:val="24"/>
        </w:rPr>
        <w:t>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C4000000">
      <w:pPr>
        <w:widowControl w:val="1"/>
        <w:spacing w:after="0"/>
        <w:ind w:firstLine="284" w:right="-2"/>
        <w:contextualSpacing w:val="1"/>
        <w:rPr>
          <w:color w:themeColor="text1" w:val="000000"/>
        </w:rPr>
      </w:pPr>
      <w:r>
        <w:rPr>
          <w:color w:themeColor="text1" w:val="000000"/>
        </w:rPr>
        <w:t>15.5. Во всем остальном, не оговоренном настоящим Контрактом, стороны руководствуются гражданским законодательством РФ.</w:t>
      </w:r>
    </w:p>
    <w:p w14:paraId="C5000000">
      <w:pPr>
        <w:widowControl w:val="1"/>
        <w:tabs>
          <w:tab w:leader="none" w:pos="540" w:val="left"/>
        </w:tabs>
        <w:spacing w:after="0"/>
        <w:ind w:firstLine="284" w:right="-2"/>
        <w:contextualSpacing w:val="1"/>
        <w:rPr>
          <w:color w:themeColor="text1" w:val="000000"/>
        </w:rPr>
      </w:pPr>
      <w:r>
        <w:rPr>
          <w:color w:themeColor="text1" w:val="000000"/>
        </w:rPr>
        <w:t>15.6. Контракт включает в себя нижеперечисленные приложения, являющиеся его неотъемлемой частью:</w:t>
      </w:r>
    </w:p>
    <w:p w14:paraId="C6000000">
      <w:pPr>
        <w:widowControl w:val="1"/>
        <w:tabs>
          <w:tab w:leader="none" w:pos="540" w:val="left"/>
        </w:tabs>
        <w:spacing w:after="0"/>
        <w:ind w:firstLine="284" w:right="-2"/>
        <w:contextualSpacing w:val="1"/>
        <w:rPr>
          <w:color w:themeColor="text1" w:val="000000"/>
        </w:rPr>
      </w:pPr>
      <w:r>
        <w:rPr>
          <w:color w:themeColor="text1" w:val="000000"/>
        </w:rPr>
        <w:t>Приложение № 1 – Техническое задание (Описание объекта закупки).</w:t>
      </w:r>
    </w:p>
    <w:p w14:paraId="C7000000">
      <w:pPr>
        <w:widowControl w:val="1"/>
        <w:tabs>
          <w:tab w:leader="none" w:pos="540" w:val="left"/>
        </w:tabs>
        <w:spacing w:after="0"/>
        <w:ind w:firstLine="284" w:right="-2"/>
        <w:contextualSpacing w:val="1"/>
        <w:rPr>
          <w:color w:themeColor="text1" w:val="000000"/>
        </w:rPr>
      </w:pPr>
      <w:r>
        <w:rPr>
          <w:color w:themeColor="text1" w:val="000000"/>
        </w:rPr>
        <w:t xml:space="preserve">Приложение №2- </w:t>
      </w:r>
      <w:r>
        <w:t>Локальный сметный расчет.</w:t>
      </w:r>
    </w:p>
    <w:p w14:paraId="C8000000">
      <w:pPr>
        <w:widowControl w:val="1"/>
        <w:spacing w:after="0" w:line="264" w:lineRule="auto"/>
        <w:ind w:firstLine="284" w:right="-2"/>
        <w:jc w:val="left"/>
        <w:rPr>
          <w:color w:themeColor="text1" w:val="000000"/>
        </w:rPr>
      </w:pPr>
    </w:p>
    <w:p w14:paraId="C9000000">
      <w:pPr>
        <w:widowControl w:val="1"/>
        <w:spacing w:after="0"/>
        <w:ind w:firstLine="284" w:right="-2"/>
        <w:contextualSpacing w:val="1"/>
        <w:jc w:val="center"/>
        <w:rPr>
          <w:b w:val="1"/>
          <w:color w:themeColor="text1" w:val="000000"/>
          <w:sz w:val="22"/>
        </w:rPr>
      </w:pPr>
      <w:r>
        <w:rPr>
          <w:b w:val="1"/>
          <w:color w:themeColor="text1" w:val="000000"/>
          <w:sz w:val="22"/>
        </w:rPr>
        <w:t>16. Адреса, банковские реквизиты сторон и подписи Сторон:</w:t>
      </w:r>
    </w:p>
    <w:tbl>
      <w:tblPr>
        <w:tblStyle w:val="Style_6"/>
        <w:tblpPr w:bottomFromText="0" w:horzAnchor="margin" w:leftFromText="180" w:rightFromText="180" w:tblpXSpec="center" w:tblpY="90"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53"/>
        <w:gridCol w:w="4940"/>
      </w:tblGrid>
      <w:tr>
        <w:trPr>
          <w:trHeight w:hRule="atLeast" w:val="274"/>
        </w:trPr>
        <w:tc>
          <w:tcPr>
            <w:tcW w:type="dxa" w:w="5353"/>
            <w:tcBorders>
              <w:top w:color="000000" w:sz="4" w:val="single"/>
              <w:left w:color="000000" w:sz="4" w:val="single"/>
              <w:bottom w:color="000000" w:sz="4" w:val="single"/>
              <w:right w:color="000000" w:sz="4" w:val="single"/>
            </w:tcBorders>
          </w:tcPr>
          <w:p w14:paraId="CA000000">
            <w:pPr>
              <w:widowControl w:val="1"/>
              <w:spacing w:after="0"/>
              <w:ind/>
            </w:pPr>
            <w:r>
              <w:rPr>
                <w:sz w:val="22"/>
              </w:rPr>
              <w:t>«Заказчик»</w:t>
            </w:r>
          </w:p>
        </w:tc>
        <w:tc>
          <w:tcPr>
            <w:tcW w:type="dxa" w:w="4940"/>
            <w:tcBorders>
              <w:top w:color="000000" w:sz="4" w:val="single"/>
              <w:left w:color="000000" w:sz="4" w:val="single"/>
              <w:bottom w:color="000000" w:sz="4" w:val="single"/>
              <w:right w:color="000000" w:sz="4" w:val="single"/>
            </w:tcBorders>
          </w:tcPr>
          <w:p w14:paraId="CB000000">
            <w:pPr>
              <w:widowControl w:val="1"/>
              <w:spacing w:after="0"/>
              <w:ind/>
            </w:pPr>
            <w:r>
              <w:rPr>
                <w:sz w:val="22"/>
              </w:rPr>
              <w:t>«Подрядчик»</w:t>
            </w:r>
          </w:p>
        </w:tc>
      </w:tr>
      <w:tr>
        <w:trPr>
          <w:trHeight w:hRule="atLeast" w:val="274"/>
        </w:trPr>
        <w:tc>
          <w:tcPr>
            <w:tcW w:type="dxa" w:w="5353"/>
            <w:tcBorders>
              <w:top w:color="000000" w:sz="4" w:val="single"/>
              <w:left w:color="000000" w:sz="4" w:val="single"/>
              <w:bottom w:color="000000" w:sz="4" w:val="single"/>
              <w:right w:color="000000" w:sz="4" w:val="single"/>
            </w:tcBorders>
          </w:tcPr>
          <w:p w14:paraId="CC000000">
            <w:pPr>
              <w:widowControl w:val="1"/>
              <w:spacing w:after="0"/>
              <w:ind/>
            </w:pPr>
            <w:r>
              <w:t>Полное наименование: 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w:t>
            </w:r>
          </w:p>
        </w:tc>
        <w:tc>
          <w:tcPr>
            <w:tcW w:type="dxa" w:w="4940"/>
            <w:tcBorders>
              <w:top w:color="000000" w:sz="4" w:val="single"/>
              <w:left w:color="000000" w:sz="4" w:val="single"/>
              <w:bottom w:color="000000" w:sz="4" w:val="single"/>
              <w:right w:color="000000" w:sz="4" w:val="single"/>
            </w:tcBorders>
          </w:tcPr>
          <w:p w14:paraId="CD000000">
            <w:pPr>
              <w:widowControl w:val="1"/>
              <w:spacing w:after="0"/>
              <w:ind/>
            </w:pPr>
          </w:p>
        </w:tc>
      </w:tr>
      <w:tr>
        <w:trPr>
          <w:trHeight w:hRule="atLeast" w:val="274"/>
        </w:trPr>
        <w:tc>
          <w:tcPr>
            <w:tcW w:type="dxa" w:w="5353"/>
            <w:tcBorders>
              <w:top w:color="000000" w:sz="4" w:val="single"/>
              <w:left w:color="000000" w:sz="4" w:val="single"/>
              <w:bottom w:color="000000" w:sz="4" w:val="single"/>
              <w:right w:color="000000" w:sz="4" w:val="single"/>
            </w:tcBorders>
          </w:tcPr>
          <w:p w14:paraId="CE000000">
            <w:pPr>
              <w:widowControl w:val="1"/>
              <w:spacing w:after="0"/>
              <w:ind/>
            </w:pPr>
            <w:r>
              <w:t>Сокращенное наименование: МТУ Росимущества в Забайкальском крае и Республике Бурятия</w:t>
            </w:r>
          </w:p>
        </w:tc>
        <w:tc>
          <w:tcPr>
            <w:tcW w:type="dxa" w:w="4940"/>
            <w:tcBorders>
              <w:top w:color="000000" w:sz="4" w:val="single"/>
              <w:left w:color="000000" w:sz="4" w:val="single"/>
              <w:bottom w:color="000000" w:sz="4" w:val="single"/>
              <w:right w:color="000000" w:sz="4" w:val="single"/>
            </w:tcBorders>
          </w:tcPr>
          <w:p w14:paraId="CF000000">
            <w:pPr>
              <w:widowControl w:val="1"/>
              <w:spacing w:after="0"/>
              <w:ind/>
            </w:pPr>
          </w:p>
        </w:tc>
      </w:tr>
      <w:tr>
        <w:trPr>
          <w:trHeight w:hRule="atLeast" w:val="274"/>
        </w:trPr>
        <w:tc>
          <w:tcPr>
            <w:tcW w:type="dxa" w:w="5353"/>
            <w:tcBorders>
              <w:top w:color="000000" w:sz="4" w:val="single"/>
              <w:left w:color="000000" w:sz="4" w:val="single"/>
              <w:bottom w:color="000000" w:sz="4" w:val="single"/>
              <w:right w:color="000000" w:sz="4" w:val="single"/>
            </w:tcBorders>
          </w:tcPr>
          <w:p w14:paraId="D0000000">
            <w:pPr>
              <w:widowControl w:val="1"/>
              <w:spacing w:after="0"/>
              <w:ind/>
            </w:pPr>
            <w:r>
              <w:t>Адрес места нахождения: 672002, Забайкальский край, г. Чита, ул. Амурская, 68</w:t>
            </w:r>
          </w:p>
        </w:tc>
        <w:tc>
          <w:tcPr>
            <w:tcW w:type="dxa" w:w="4940"/>
            <w:tcBorders>
              <w:top w:color="000000" w:sz="4" w:val="single"/>
              <w:left w:color="000000" w:sz="4" w:val="single"/>
              <w:bottom w:color="000000" w:sz="4" w:val="single"/>
              <w:right w:color="000000" w:sz="4" w:val="single"/>
            </w:tcBorders>
          </w:tcPr>
          <w:p w14:paraId="D1000000">
            <w:pPr>
              <w:widowControl w:val="1"/>
              <w:spacing w:after="0"/>
              <w:ind/>
            </w:pPr>
          </w:p>
        </w:tc>
      </w:tr>
      <w:tr>
        <w:tc>
          <w:tcPr>
            <w:tcW w:type="dxa" w:w="5353"/>
            <w:tcBorders>
              <w:top w:color="000000" w:sz="4" w:val="single"/>
              <w:left w:color="000000" w:sz="4" w:val="single"/>
              <w:bottom w:color="000000" w:sz="4" w:val="single"/>
              <w:right w:color="000000" w:sz="4" w:val="single"/>
            </w:tcBorders>
          </w:tcPr>
          <w:p w14:paraId="D2000000">
            <w:pPr>
              <w:widowControl w:val="1"/>
              <w:spacing w:after="0"/>
              <w:ind/>
            </w:pPr>
            <w:r>
              <w:t>Почтовый адрес: 672002, Забайкальский край, г. Чита, ул. Амурская, 68</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3000000">
            <w:pPr>
              <w:widowControl w:val="1"/>
              <w:spacing w:after="0"/>
              <w:ind/>
            </w:pPr>
            <w:r>
              <w:t>Телефон: 8(3022) 35-66-62</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4000000">
            <w:pPr>
              <w:widowControl w:val="1"/>
              <w:spacing w:after="0"/>
              <w:ind/>
            </w:pPr>
            <w:r>
              <w:t>ИНН 7536179850 КПП 753601001</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5000000">
            <w:pPr>
              <w:widowControl w:val="1"/>
              <w:spacing w:after="0"/>
              <w:ind/>
            </w:pPr>
            <w:r>
              <w:t>ОКТМО 76701000001</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6000000">
            <w:pPr>
              <w:widowControl w:val="1"/>
              <w:spacing w:after="0"/>
              <w:ind/>
            </w:pPr>
            <w:r>
              <w:t>ОКПО 10909088</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7000000">
            <w:pPr>
              <w:widowControl w:val="1"/>
              <w:spacing w:after="0"/>
              <w:ind/>
            </w:pPr>
            <w:r>
              <w:t>ОКАТО 76401373000</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8000000">
            <w:pPr>
              <w:widowControl w:val="1"/>
              <w:spacing w:after="0"/>
              <w:ind/>
            </w:pP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9000000">
            <w:pPr>
              <w:widowControl w:val="1"/>
              <w:spacing w:after="0"/>
              <w:ind/>
            </w:pPr>
            <w:r>
              <w:t>Дальневосточное ГУ Банка России//УФК по Приморскому краю г. Владивосток</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A000000">
            <w:pPr>
              <w:widowControl w:val="1"/>
              <w:spacing w:after="0"/>
              <w:ind/>
            </w:pPr>
            <w:r>
              <w:t>БИК 010507002</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B000000">
            <w:pPr>
              <w:widowControl w:val="1"/>
              <w:spacing w:after="0"/>
              <w:ind/>
            </w:pPr>
            <w:r>
              <w:t>ЕКС 40102810545370000012</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C000000">
            <w:pPr>
              <w:widowControl w:val="1"/>
              <w:spacing w:after="0"/>
              <w:ind/>
            </w:pPr>
            <w:r>
              <w:t>Казначейский счет 03211643000000012009</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D000000">
            <w:pPr>
              <w:widowControl w:val="1"/>
              <w:spacing w:after="0"/>
              <w:ind/>
              <w:rPr>
                <w:color w:val="FF0000"/>
              </w:rPr>
            </w:pPr>
            <w:r>
              <w:t>л/</w:t>
            </w:r>
            <w:r>
              <w:t>сч</w:t>
            </w:r>
            <w:r>
              <w:t xml:space="preserve"> 03911F93830</w:t>
            </w:r>
          </w:p>
        </w:tc>
        <w:tc>
          <w:tcPr>
            <w:tcW w:type="dxa" w:w="4940"/>
            <w:tcBorders>
              <w:top w:color="000000" w:sz="4" w:val="single"/>
              <w:left w:color="000000" w:sz="4" w:val="single"/>
              <w:bottom w:color="000000" w:sz="4" w:val="single"/>
              <w:right w:color="000000" w:sz="4" w:val="single"/>
            </w:tcBorders>
          </w:tcPr>
          <w:p/>
        </w:tc>
      </w:tr>
      <w:tr>
        <w:tc>
          <w:tcPr>
            <w:tcW w:type="dxa" w:w="5353"/>
            <w:tcBorders>
              <w:top w:color="000000" w:sz="4" w:val="single"/>
              <w:left w:color="000000" w:sz="4" w:val="single"/>
              <w:bottom w:color="000000" w:sz="4" w:val="single"/>
              <w:right w:color="000000" w:sz="4" w:val="single"/>
            </w:tcBorders>
          </w:tcPr>
          <w:p w14:paraId="DE000000">
            <w:pPr>
              <w:widowControl w:val="1"/>
              <w:spacing w:after="0"/>
              <w:ind/>
            </w:pPr>
            <w:r>
              <w:t>E-mail: tu75@rosim.gov.ru</w:t>
            </w:r>
          </w:p>
        </w:tc>
        <w:tc>
          <w:tcPr>
            <w:tcW w:type="dxa" w:w="4940"/>
            <w:tcBorders>
              <w:top w:color="000000" w:sz="4" w:val="single"/>
              <w:left w:color="000000" w:sz="4" w:val="single"/>
              <w:bottom w:color="000000" w:sz="4" w:val="single"/>
              <w:right w:color="000000" w:sz="4" w:val="single"/>
            </w:tcBorders>
          </w:tcPr>
          <w:p/>
        </w:tc>
      </w:tr>
    </w:tbl>
    <w:p w14:paraId="DF000000">
      <w:pPr>
        <w:widowControl w:val="1"/>
        <w:spacing w:after="0" w:line="264" w:lineRule="auto"/>
        <w:ind/>
        <w:jc w:val="right"/>
        <w:rPr>
          <w:color w:themeColor="text1" w:val="000000"/>
          <w:sz w:val="22"/>
        </w:rPr>
      </w:pPr>
    </w:p>
    <w:p w14:paraId="E0000000">
      <w:pPr>
        <w:widowControl w:val="1"/>
        <w:spacing w:after="0" w:line="264" w:lineRule="auto"/>
        <w:ind/>
        <w:jc w:val="right"/>
        <w:rPr>
          <w:color w:themeColor="text1" w:val="000000"/>
          <w:sz w:val="22"/>
        </w:rPr>
      </w:pPr>
    </w:p>
    <w:tbl>
      <w:tblPr>
        <w:tblStyle w:val="Style_6"/>
        <w:tblW w:type="auto" w:w="0"/>
        <w:tblInd w:type="dxa" w:w="-222"/>
        <w:tblLayout w:type="fixed"/>
        <w:tblCellMar>
          <w:top w:type="dxa" w:w="102"/>
          <w:left w:type="dxa" w:w="62"/>
          <w:bottom w:type="dxa" w:w="102"/>
          <w:right w:type="dxa" w:w="62"/>
        </w:tblCellMar>
      </w:tblPr>
      <w:tblGrid>
        <w:gridCol w:w="4808"/>
        <w:gridCol w:w="4546"/>
      </w:tblGrid>
      <w:tr>
        <w:tc>
          <w:tcPr>
            <w:tcW w:type="dxa" w:w="4808"/>
            <w:tcBorders>
              <w:top w:sz="4" w:val="nil"/>
              <w:left w:sz="4" w:val="nil"/>
              <w:bottom w:sz="4" w:val="nil"/>
              <w:right w:sz="4" w:val="nil"/>
            </w:tcBorders>
            <w:tcMar>
              <w:top w:type="dxa" w:w="102"/>
              <w:left w:type="dxa" w:w="62"/>
              <w:bottom w:type="dxa" w:w="102"/>
              <w:right w:type="dxa" w:w="62"/>
            </w:tcMar>
          </w:tcPr>
          <w:p w14:paraId="E1000000">
            <w:pPr>
              <w:pStyle w:val="Style_2"/>
              <w:widowControl w:val="1"/>
              <w:ind/>
              <w:jc w:val="center"/>
              <w:rPr>
                <w:rFonts w:ascii="Times New Roman" w:hAnsi="Times New Roman"/>
                <w:b w:val="1"/>
                <w:sz w:val="24"/>
              </w:rPr>
            </w:pPr>
            <w:r>
              <w:rPr>
                <w:rFonts w:ascii="Times New Roman" w:hAnsi="Times New Roman"/>
                <w:b w:val="1"/>
                <w:sz w:val="24"/>
              </w:rPr>
              <w:t>ЗАКАЗЧИК:</w:t>
            </w:r>
          </w:p>
        </w:tc>
        <w:tc>
          <w:tcPr>
            <w:tcW w:type="dxa" w:w="4546"/>
            <w:tcBorders>
              <w:top w:sz="4" w:val="nil"/>
              <w:left w:sz="4" w:val="nil"/>
              <w:bottom w:sz="4" w:val="nil"/>
              <w:right w:sz="4" w:val="nil"/>
            </w:tcBorders>
            <w:tcMar>
              <w:top w:type="dxa" w:w="102"/>
              <w:left w:type="dxa" w:w="62"/>
              <w:bottom w:type="dxa" w:w="102"/>
              <w:right w:type="dxa" w:w="62"/>
            </w:tcMar>
          </w:tcPr>
          <w:p w14:paraId="E2000000">
            <w:pPr>
              <w:pStyle w:val="Style_2"/>
              <w:widowControl w:val="1"/>
              <w:ind w:firstLine="57"/>
              <w:jc w:val="center"/>
              <w:rPr>
                <w:rFonts w:ascii="Times New Roman" w:hAnsi="Times New Roman"/>
                <w:b w:val="1"/>
                <w:sz w:val="24"/>
              </w:rPr>
            </w:pPr>
            <w:r>
              <w:rPr>
                <w:rFonts w:ascii="Times New Roman" w:hAnsi="Times New Roman"/>
                <w:b w:val="1"/>
                <w:sz w:val="24"/>
              </w:rPr>
              <w:t>ПОСТАВЩИК:</w:t>
            </w:r>
          </w:p>
        </w:tc>
      </w:tr>
      <w:tr>
        <w:tc>
          <w:tcPr>
            <w:tcW w:type="dxa" w:w="4808"/>
            <w:tcBorders>
              <w:top w:sz="4" w:val="nil"/>
              <w:left w:sz="4" w:val="nil"/>
              <w:bottom w:sz="4" w:val="nil"/>
              <w:right w:sz="4" w:val="nil"/>
            </w:tcBorders>
            <w:tcMar>
              <w:top w:type="dxa" w:w="102"/>
              <w:left w:type="dxa" w:w="62"/>
              <w:bottom w:type="dxa" w:w="102"/>
              <w:right w:type="dxa" w:w="62"/>
            </w:tcMar>
          </w:tcPr>
          <w:p w14:paraId="E3000000">
            <w:pPr>
              <w:pStyle w:val="Style_2"/>
              <w:rPr>
                <w:rFonts w:ascii="Times New Roman" w:hAnsi="Times New Roman"/>
                <w:sz w:val="24"/>
                <w:u w:val="single"/>
              </w:rPr>
            </w:pPr>
            <w:r>
              <w:rPr>
                <w:rFonts w:ascii="Times New Roman" w:hAnsi="Times New Roman"/>
                <w:sz w:val="24"/>
                <w:u w:val="single"/>
              </w:rPr>
              <w:t>Руководитель______________</w:t>
            </w:r>
          </w:p>
          <w:p w14:paraId="E4000000">
            <w:pPr>
              <w:pStyle w:val="Style_2"/>
              <w:widowControl w:val="1"/>
              <w:ind/>
              <w:jc w:val="center"/>
              <w:rPr>
                <w:rFonts w:ascii="Times New Roman" w:hAnsi="Times New Roman"/>
                <w:sz w:val="24"/>
              </w:rPr>
            </w:pPr>
            <w:r>
              <w:rPr>
                <w:rFonts w:ascii="Times New Roman" w:hAnsi="Times New Roman"/>
                <w:sz w:val="24"/>
              </w:rPr>
              <w:t>(должность)</w:t>
            </w:r>
          </w:p>
        </w:tc>
        <w:tc>
          <w:tcPr>
            <w:tcW w:type="dxa" w:w="4546"/>
            <w:tcBorders>
              <w:top w:sz="4" w:val="nil"/>
              <w:left w:sz="4" w:val="nil"/>
              <w:bottom w:sz="4" w:val="nil"/>
              <w:right w:sz="4" w:val="nil"/>
            </w:tcBorders>
            <w:tcMar>
              <w:top w:type="dxa" w:w="102"/>
              <w:left w:type="dxa" w:w="62"/>
              <w:bottom w:type="dxa" w:w="102"/>
              <w:right w:type="dxa" w:w="62"/>
            </w:tcMar>
          </w:tcPr>
          <w:p w14:paraId="E5000000">
            <w:pPr>
              <w:pStyle w:val="Style_2"/>
              <w:widowControl w:val="1"/>
              <w:ind/>
              <w:jc w:val="center"/>
              <w:rPr>
                <w:rFonts w:ascii="Times New Roman" w:hAnsi="Times New Roman"/>
                <w:sz w:val="24"/>
                <w:u w:val="single"/>
              </w:rPr>
            </w:pPr>
            <w:r>
              <w:rPr>
                <w:rFonts w:ascii="Times New Roman" w:hAnsi="Times New Roman"/>
                <w:sz w:val="24"/>
                <w:u w:val="single"/>
              </w:rPr>
              <w:t>___________________________</w:t>
            </w:r>
          </w:p>
          <w:p w14:paraId="E6000000">
            <w:pPr>
              <w:pStyle w:val="Style_2"/>
              <w:widowControl w:val="1"/>
              <w:ind/>
              <w:jc w:val="center"/>
              <w:rPr>
                <w:rFonts w:ascii="Times New Roman" w:hAnsi="Times New Roman"/>
                <w:sz w:val="24"/>
              </w:rPr>
            </w:pPr>
            <w:r>
              <w:rPr>
                <w:rFonts w:ascii="Times New Roman" w:hAnsi="Times New Roman"/>
                <w:sz w:val="24"/>
              </w:rPr>
              <w:t>(должность)</w:t>
            </w:r>
          </w:p>
        </w:tc>
      </w:tr>
      <w:tr>
        <w:tc>
          <w:tcPr>
            <w:tcW w:type="dxa" w:w="4808"/>
            <w:tcBorders>
              <w:top w:sz="4" w:val="nil"/>
              <w:left w:sz="4" w:val="nil"/>
              <w:bottom w:sz="4" w:val="nil"/>
              <w:right w:sz="4" w:val="nil"/>
            </w:tcBorders>
            <w:tcMar>
              <w:top w:type="dxa" w:w="102"/>
              <w:left w:type="dxa" w:w="62"/>
              <w:bottom w:type="dxa" w:w="102"/>
              <w:right w:type="dxa" w:w="62"/>
            </w:tcMar>
          </w:tcPr>
          <w:p w14:paraId="E7000000">
            <w:pPr>
              <w:pStyle w:val="Style_2"/>
              <w:rPr>
                <w:rFonts w:ascii="Times New Roman" w:hAnsi="Times New Roman"/>
                <w:sz w:val="24"/>
              </w:rPr>
            </w:pPr>
            <w:r>
              <w:rPr>
                <w:rFonts w:ascii="Times New Roman" w:hAnsi="Times New Roman"/>
                <w:sz w:val="24"/>
              </w:rPr>
              <w:t>_________________</w:t>
            </w:r>
            <w:r>
              <w:rPr>
                <w:rFonts w:ascii="Times New Roman" w:hAnsi="Times New Roman"/>
                <w:sz w:val="24"/>
                <w:u w:val="single"/>
              </w:rPr>
              <w:t>Н.В. Пищулина</w:t>
            </w:r>
            <w:r>
              <w:rPr>
                <w:rFonts w:ascii="Times New Roman" w:hAnsi="Times New Roman"/>
                <w:sz w:val="24"/>
              </w:rPr>
              <w:t>_</w:t>
            </w:r>
          </w:p>
          <w:p w14:paraId="E8000000">
            <w:pPr>
              <w:pStyle w:val="Style_2"/>
              <w:widowControl w:val="1"/>
              <w:ind/>
              <w:jc w:val="center"/>
              <w:rPr>
                <w:rFonts w:ascii="Times New Roman" w:hAnsi="Times New Roman"/>
                <w:sz w:val="24"/>
              </w:rPr>
            </w:pPr>
            <w:r>
              <w:rPr>
                <w:rFonts w:ascii="Times New Roman" w:hAnsi="Times New Roman"/>
                <w:sz w:val="24"/>
              </w:rPr>
              <w:t>(подпись, фамилия и инициалы)</w:t>
            </w:r>
          </w:p>
        </w:tc>
        <w:tc>
          <w:tcPr>
            <w:tcW w:type="dxa" w:w="4546"/>
            <w:tcBorders>
              <w:top w:sz="4" w:val="nil"/>
              <w:left w:sz="4" w:val="nil"/>
              <w:bottom w:sz="4" w:val="nil"/>
              <w:right w:sz="4" w:val="nil"/>
            </w:tcBorders>
            <w:tcMar>
              <w:top w:type="dxa" w:w="102"/>
              <w:left w:type="dxa" w:w="62"/>
              <w:bottom w:type="dxa" w:w="102"/>
              <w:right w:type="dxa" w:w="62"/>
            </w:tcMar>
          </w:tcPr>
          <w:p w14:paraId="E9000000">
            <w:pPr>
              <w:pStyle w:val="Style_2"/>
              <w:widowControl w:val="1"/>
              <w:ind w:firstLine="57"/>
              <w:jc w:val="center"/>
              <w:rPr>
                <w:rFonts w:ascii="Times New Roman" w:hAnsi="Times New Roman"/>
                <w:sz w:val="24"/>
              </w:rPr>
            </w:pPr>
            <w:r>
              <w:rPr>
                <w:rFonts w:ascii="Times New Roman" w:hAnsi="Times New Roman"/>
                <w:sz w:val="24"/>
              </w:rPr>
              <w:t xml:space="preserve">________________ /____________ </w:t>
            </w:r>
          </w:p>
          <w:p w14:paraId="EA000000">
            <w:pPr>
              <w:pStyle w:val="Style_2"/>
              <w:widowControl w:val="1"/>
              <w:ind w:firstLine="57"/>
              <w:jc w:val="center"/>
              <w:rPr>
                <w:rFonts w:ascii="Times New Roman" w:hAnsi="Times New Roman"/>
                <w:sz w:val="24"/>
              </w:rPr>
            </w:pPr>
            <w:r>
              <w:rPr>
                <w:rFonts w:ascii="Times New Roman" w:hAnsi="Times New Roman"/>
                <w:sz w:val="24"/>
              </w:rPr>
              <w:t>(подпись, фамилия и инициалы)</w:t>
            </w:r>
          </w:p>
        </w:tc>
      </w:tr>
    </w:tbl>
    <w:p w14:paraId="EB000000">
      <w:pPr>
        <w:widowControl w:val="1"/>
        <w:spacing w:after="0" w:line="264" w:lineRule="auto"/>
        <w:ind/>
        <w:jc w:val="right"/>
        <w:rPr>
          <w:color w:themeColor="text1" w:val="000000"/>
          <w:sz w:val="22"/>
        </w:rPr>
      </w:pPr>
    </w:p>
    <w:p w14:paraId="EC000000">
      <w:pPr>
        <w:widowControl w:val="1"/>
        <w:spacing w:after="0" w:line="264" w:lineRule="auto"/>
        <w:ind/>
        <w:jc w:val="right"/>
        <w:rPr>
          <w:color w:themeColor="text1" w:val="000000"/>
          <w:sz w:val="22"/>
        </w:rPr>
      </w:pPr>
    </w:p>
    <w:p w14:paraId="ED000000">
      <w:pPr>
        <w:widowControl w:val="1"/>
        <w:spacing w:after="0" w:line="264" w:lineRule="auto"/>
        <w:ind/>
        <w:jc w:val="right"/>
        <w:rPr>
          <w:color w:themeColor="text1" w:val="000000"/>
          <w:sz w:val="22"/>
        </w:rPr>
      </w:pPr>
    </w:p>
    <w:p w14:paraId="EE000000">
      <w:pPr>
        <w:widowControl w:val="1"/>
        <w:spacing w:after="0" w:line="264" w:lineRule="auto"/>
        <w:ind/>
        <w:jc w:val="right"/>
        <w:rPr>
          <w:color w:themeColor="text1" w:val="000000"/>
          <w:sz w:val="22"/>
        </w:rPr>
      </w:pPr>
    </w:p>
    <w:p w14:paraId="EF000000">
      <w:pPr>
        <w:widowControl w:val="1"/>
        <w:spacing w:after="0" w:line="264" w:lineRule="auto"/>
        <w:ind/>
        <w:jc w:val="right"/>
        <w:rPr>
          <w:color w:themeColor="text1" w:val="000000"/>
          <w:sz w:val="22"/>
        </w:rPr>
      </w:pPr>
      <w:r>
        <w:rPr>
          <w:color w:themeColor="text1" w:val="000000"/>
          <w:sz w:val="22"/>
        </w:rPr>
        <w:t xml:space="preserve">Приложение № 1 </w:t>
      </w:r>
    </w:p>
    <w:p w14:paraId="F0000000">
      <w:pPr>
        <w:widowControl w:val="1"/>
        <w:spacing w:after="0" w:line="276" w:lineRule="auto"/>
        <w:ind/>
        <w:jc w:val="right"/>
        <w:rPr>
          <w:color w:themeColor="text1" w:val="000000"/>
          <w:sz w:val="22"/>
        </w:rPr>
      </w:pPr>
      <w:r>
        <w:rPr>
          <w:color w:themeColor="text1" w:val="000000"/>
          <w:sz w:val="22"/>
        </w:rPr>
        <w:t>к Контракту № _____ от «___» ________ 202</w:t>
      </w:r>
      <w:r>
        <w:rPr>
          <w:color w:themeColor="text1" w:val="000000"/>
          <w:sz w:val="22"/>
        </w:rPr>
        <w:t>6</w:t>
      </w:r>
      <w:r>
        <w:rPr>
          <w:color w:themeColor="text1" w:val="000000"/>
          <w:sz w:val="22"/>
        </w:rPr>
        <w:t xml:space="preserve"> г.</w:t>
      </w:r>
    </w:p>
    <w:p w14:paraId="F1000000">
      <w:pPr>
        <w:widowControl w:val="1"/>
        <w:spacing w:after="0"/>
        <w:ind/>
        <w:jc w:val="center"/>
      </w:pPr>
      <w:r>
        <w:rPr>
          <w:b w:val="1"/>
          <w:sz w:val="22"/>
        </w:rPr>
        <w:t>ТЕХНИЧЕСКОЕ ЗАДАНИЕ (ОПИСАНИЕ ОБЪЕКТА ЗАКУПКИ)</w:t>
      </w:r>
    </w:p>
    <w:p w14:paraId="F2000000">
      <w:pPr>
        <w:widowControl w:val="1"/>
        <w:spacing w:after="0" w:line="276" w:lineRule="auto"/>
        <w:ind/>
        <w:jc w:val="center"/>
        <w:rPr>
          <w:b w:val="1"/>
          <w:color w:themeColor="text1" w:val="000000"/>
          <w:sz w:val="22"/>
        </w:rPr>
      </w:pPr>
    </w:p>
    <w:p w14:paraId="F3000000">
      <w:pPr>
        <w:widowControl w:val="1"/>
        <w:tabs>
          <w:tab w:leader="none" w:pos="1560" w:val="left"/>
        </w:tabs>
        <w:spacing w:after="88"/>
        <w:ind/>
        <w:jc w:val="center"/>
        <w:rPr>
          <w:b w:val="1"/>
        </w:rPr>
      </w:pPr>
      <w:r>
        <w:rPr>
          <w:b w:val="1"/>
        </w:rPr>
        <w:t>СПЕЦИФИКАЦИЯ</w:t>
      </w:r>
    </w:p>
    <w:tbl>
      <w:tblPr>
        <w:tblStyle w:val="Style_6"/>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83"/>
        <w:gridCol w:w="3734"/>
        <w:gridCol w:w="1418"/>
        <w:gridCol w:w="1085"/>
        <w:gridCol w:w="1325"/>
        <w:gridCol w:w="1354"/>
      </w:tblGrid>
      <w:tr>
        <w:trPr>
          <w:trHeight w:hRule="atLeast" w:val="147"/>
        </w:trPr>
        <w:tc>
          <w:tcPr>
            <w:tcW w:type="dxa" w:w="883"/>
            <w:tcBorders>
              <w:top w:color="000000" w:sz="4" w:val="single"/>
              <w:left w:color="000000" w:sz="4" w:val="single"/>
              <w:bottom w:color="000000" w:sz="4" w:val="single"/>
              <w:right w:color="000000" w:sz="4" w:val="single"/>
            </w:tcBorders>
            <w:vAlign w:val="center"/>
          </w:tcPr>
          <w:p w14:paraId="F4000000">
            <w:pPr>
              <w:widowControl w:val="1"/>
              <w:ind/>
              <w:jc w:val="center"/>
            </w:pPr>
            <w:r>
              <w:t>№</w:t>
            </w:r>
          </w:p>
          <w:p w14:paraId="F5000000">
            <w:pPr>
              <w:widowControl w:val="1"/>
              <w:ind/>
              <w:jc w:val="center"/>
            </w:pPr>
            <w:r>
              <w:t>п/п</w:t>
            </w:r>
          </w:p>
        </w:tc>
        <w:tc>
          <w:tcPr>
            <w:tcW w:type="dxa" w:w="3734"/>
            <w:tcBorders>
              <w:top w:color="000000" w:sz="4" w:val="single"/>
              <w:left w:color="000000" w:sz="4" w:val="single"/>
              <w:bottom w:color="000000" w:sz="4" w:val="single"/>
              <w:right w:color="000000" w:sz="4" w:val="single"/>
            </w:tcBorders>
            <w:vAlign w:val="center"/>
          </w:tcPr>
          <w:p w14:paraId="F6000000">
            <w:pPr>
              <w:widowControl w:val="1"/>
              <w:ind/>
              <w:jc w:val="center"/>
            </w:pPr>
            <w:r>
              <w:t>Наименование ТРУ/код позиции КТРУ, ОКПД2</w:t>
            </w:r>
          </w:p>
        </w:tc>
        <w:tc>
          <w:tcPr>
            <w:tcW w:type="dxa" w:w="1418"/>
            <w:tcBorders>
              <w:top w:color="000000" w:sz="4" w:val="single"/>
              <w:left w:color="000000" w:sz="4" w:val="single"/>
              <w:bottom w:color="000000" w:sz="4" w:val="single"/>
              <w:right w:color="000000" w:sz="4" w:val="single"/>
            </w:tcBorders>
          </w:tcPr>
          <w:p w14:paraId="F7000000">
            <w:pPr>
              <w:widowControl w:val="1"/>
              <w:ind/>
              <w:jc w:val="center"/>
            </w:pPr>
            <w:r>
              <w:t>Единица</w:t>
            </w:r>
          </w:p>
          <w:p w14:paraId="F8000000">
            <w:pPr>
              <w:widowControl w:val="1"/>
              <w:ind/>
              <w:jc w:val="center"/>
            </w:pPr>
            <w:r>
              <w:t>измерения</w:t>
            </w:r>
          </w:p>
        </w:tc>
        <w:tc>
          <w:tcPr>
            <w:tcW w:type="dxa" w:w="1085"/>
            <w:tcBorders>
              <w:top w:color="000000" w:sz="4" w:val="single"/>
              <w:left w:color="000000" w:sz="4" w:val="single"/>
              <w:bottom w:color="000000" w:sz="4" w:val="single"/>
              <w:right w:color="000000" w:sz="4" w:val="single"/>
            </w:tcBorders>
            <w:vAlign w:val="center"/>
          </w:tcPr>
          <w:p w14:paraId="F9000000">
            <w:pPr>
              <w:widowControl w:val="1"/>
              <w:ind/>
              <w:jc w:val="center"/>
            </w:pPr>
            <w:r>
              <w:t>Коли-</w:t>
            </w:r>
            <w:r>
              <w:t>чество</w:t>
            </w:r>
          </w:p>
        </w:tc>
        <w:tc>
          <w:tcPr>
            <w:tcW w:type="dxa" w:w="1325"/>
            <w:tcBorders>
              <w:top w:color="000000" w:sz="4" w:val="single"/>
              <w:left w:color="000000" w:sz="4" w:val="single"/>
              <w:bottom w:color="000000" w:sz="4" w:val="single"/>
              <w:right w:color="000000" w:sz="4" w:val="single"/>
            </w:tcBorders>
          </w:tcPr>
          <w:p w14:paraId="FA000000">
            <w:pPr>
              <w:widowControl w:val="1"/>
              <w:ind w:hanging="20" w:left="20"/>
              <w:jc w:val="center"/>
            </w:pPr>
            <w:r>
              <w:t xml:space="preserve">Стоимость за единицу, </w:t>
            </w:r>
            <w:r>
              <w:t>руб. ,</w:t>
            </w:r>
            <w:r>
              <w:t xml:space="preserve"> с/без НДС</w:t>
            </w:r>
          </w:p>
        </w:tc>
        <w:tc>
          <w:tcPr>
            <w:tcW w:type="dxa" w:w="1354"/>
            <w:tcBorders>
              <w:top w:color="000000" w:sz="4" w:val="single"/>
              <w:left w:color="000000" w:sz="4" w:val="single"/>
              <w:bottom w:color="000000" w:sz="4" w:val="single"/>
              <w:right w:color="000000" w:sz="4" w:val="single"/>
            </w:tcBorders>
          </w:tcPr>
          <w:p w14:paraId="FB000000">
            <w:pPr>
              <w:widowControl w:val="1"/>
              <w:ind/>
              <w:jc w:val="center"/>
            </w:pPr>
            <w:r>
              <w:t>Итого на сумму, руб.</w:t>
            </w:r>
            <w:r>
              <w:t>,  с</w:t>
            </w:r>
            <w:r>
              <w:t>/без НДС</w:t>
            </w:r>
          </w:p>
        </w:tc>
      </w:tr>
      <w:tr>
        <w:trPr>
          <w:trHeight w:hRule="atLeast" w:val="698"/>
        </w:trPr>
        <w:tc>
          <w:tcPr>
            <w:tcW w:type="dxa" w:w="883"/>
            <w:tcBorders>
              <w:top w:color="000000" w:sz="4" w:val="single"/>
              <w:left w:color="000000" w:sz="4" w:val="single"/>
              <w:bottom w:color="000000" w:sz="4" w:val="single"/>
              <w:right w:color="000000" w:sz="4" w:val="single"/>
            </w:tcBorders>
            <w:vAlign w:val="center"/>
          </w:tcPr>
          <w:p w14:paraId="FC000000">
            <w:pPr>
              <w:widowControl w:val="1"/>
              <w:ind/>
              <w:jc w:val="center"/>
            </w:pPr>
            <w:r>
              <w:t>1</w:t>
            </w:r>
          </w:p>
        </w:tc>
        <w:tc>
          <w:tcPr>
            <w:tcW w:type="dxa" w:w="3734"/>
            <w:tcBorders>
              <w:top w:color="000000" w:sz="4" w:val="single"/>
              <w:left w:color="000000" w:sz="4" w:val="single"/>
              <w:bottom w:color="000000" w:sz="4" w:val="single"/>
              <w:right w:color="000000" w:sz="4" w:val="single"/>
            </w:tcBorders>
            <w:vAlign w:val="center"/>
          </w:tcPr>
          <w:p w14:paraId="FD000000">
            <w:r>
              <w:t xml:space="preserve">ТЕКУЩИЙ РЕМОНТ. </w:t>
            </w:r>
            <w:r>
              <w:rPr>
                <w:sz w:val="22"/>
              </w:rPr>
              <w:t>Текущий</w:t>
            </w:r>
            <w:r>
              <w:t xml:space="preserve"> </w:t>
            </w:r>
            <w:r>
              <w:rPr>
                <w:sz w:val="22"/>
              </w:rPr>
              <w:t>ремонт</w:t>
            </w:r>
            <w:r>
              <w:rPr>
                <w:color w:themeColor="text1" w:val="000000"/>
                <w:sz w:val="22"/>
              </w:rPr>
              <w:t xml:space="preserve"> системы отопления</w:t>
            </w:r>
            <w:r>
              <w:rPr>
                <w:sz w:val="22"/>
              </w:rPr>
              <w:t>.</w:t>
            </w:r>
          </w:p>
          <w:p w14:paraId="FE000000">
            <w:r>
              <w:t>ОКПД2: 43.2</w:t>
            </w:r>
            <w:r>
              <w:t>2</w:t>
            </w:r>
            <w:r>
              <w:t>.12.1</w:t>
            </w:r>
            <w:r>
              <w:t>9</w:t>
            </w:r>
            <w:r>
              <w:t xml:space="preserve">0- </w:t>
            </w:r>
            <w:r>
              <w:rPr>
                <w:highlight w:val="white"/>
              </w:rPr>
              <w:t>Работы по монтажу систем отопления, вентиляции и кондиционирования воздуха прочие, не включенные в другие группировки</w:t>
            </w:r>
          </w:p>
        </w:tc>
        <w:tc>
          <w:tcPr>
            <w:tcW w:type="dxa" w:w="1418"/>
            <w:tcBorders>
              <w:top w:color="000000" w:sz="4" w:val="single"/>
              <w:left w:color="000000" w:sz="4" w:val="single"/>
              <w:bottom w:color="000000" w:sz="4" w:val="single"/>
              <w:right w:color="000000" w:sz="4" w:val="single"/>
            </w:tcBorders>
            <w:vAlign w:val="center"/>
          </w:tcPr>
          <w:p w14:paraId="FF000000">
            <w:pPr>
              <w:widowControl w:val="1"/>
              <w:ind/>
              <w:jc w:val="center"/>
            </w:pPr>
            <w:r>
              <w:t>Усл.ед</w:t>
            </w:r>
          </w:p>
        </w:tc>
        <w:tc>
          <w:tcPr>
            <w:tcW w:type="dxa" w:w="1085"/>
            <w:tcBorders>
              <w:top w:color="000000" w:sz="4" w:val="single"/>
              <w:left w:color="000000" w:sz="4" w:val="single"/>
              <w:bottom w:color="000000" w:sz="4" w:val="single"/>
              <w:right w:color="000000" w:sz="4" w:val="single"/>
            </w:tcBorders>
            <w:vAlign w:val="center"/>
          </w:tcPr>
          <w:p w14:paraId="00010000">
            <w:pPr>
              <w:widowControl w:val="1"/>
              <w:ind/>
              <w:jc w:val="center"/>
            </w:pPr>
            <w:r>
              <w:t>1</w:t>
            </w:r>
          </w:p>
        </w:tc>
        <w:tc>
          <w:tcPr>
            <w:tcW w:type="dxa" w:w="1325"/>
            <w:tcBorders>
              <w:top w:color="000000" w:sz="4" w:val="single"/>
              <w:left w:color="000000" w:sz="4" w:val="single"/>
              <w:bottom w:color="000000" w:sz="4" w:val="single"/>
              <w:right w:color="000000" w:sz="4" w:val="single"/>
            </w:tcBorders>
          </w:tcPr>
          <w:p w14:paraId="01010000">
            <w:pPr>
              <w:widowControl w:val="1"/>
              <w:ind/>
              <w:jc w:val="center"/>
            </w:pPr>
          </w:p>
        </w:tc>
        <w:tc>
          <w:tcPr>
            <w:tcW w:type="dxa" w:w="1354"/>
            <w:tcBorders>
              <w:top w:color="000000" w:sz="4" w:val="single"/>
              <w:left w:color="000000" w:sz="4" w:val="single"/>
              <w:bottom w:color="000000" w:sz="4" w:val="single"/>
              <w:right w:color="000000" w:sz="4" w:val="single"/>
            </w:tcBorders>
          </w:tcPr>
          <w:p w14:paraId="02010000">
            <w:pPr>
              <w:widowControl w:val="1"/>
              <w:ind/>
              <w:jc w:val="center"/>
            </w:pPr>
          </w:p>
        </w:tc>
      </w:tr>
    </w:tbl>
    <w:p w14:paraId="03010000">
      <w:pPr>
        <w:widowControl w:val="1"/>
        <w:ind w:firstLine="708"/>
        <w:rPr>
          <w:i w:val="1"/>
          <w:sz w:val="22"/>
        </w:rPr>
      </w:pPr>
      <w:r>
        <w:rPr>
          <w:sz w:val="22"/>
        </w:rPr>
        <w:t>Всего на сумму:________ (_________) рублей ___ копеек (</w:t>
      </w:r>
      <w:r>
        <w:rPr>
          <w:i w:val="1"/>
          <w:sz w:val="22"/>
        </w:rPr>
        <w:t>цена, предложенная участником, цифрами и прописью</w:t>
      </w:r>
      <w:r>
        <w:rPr>
          <w:sz w:val="22"/>
        </w:rPr>
        <w:t xml:space="preserve">),  включая НДС __% в сумме ________ рублей ___ копеек </w:t>
      </w:r>
      <w:r>
        <w:rPr>
          <w:i w:val="1"/>
          <w:sz w:val="22"/>
        </w:rPr>
        <w:t>(</w:t>
      </w:r>
      <w:r>
        <w:rPr>
          <w:i w:val="1"/>
          <w:spacing w:val="-2"/>
          <w:sz w:val="22"/>
        </w:rPr>
        <w:t>в случае, е</w:t>
      </w:r>
      <w:r>
        <w:rPr>
          <w:i w:val="1"/>
          <w:sz w:val="22"/>
        </w:rPr>
        <w:t>сли Исполнитель имеет право на освобождение от уплаты НДС, то слова «включая НДС» заменяются на слова «НДС не облагается»)</w:t>
      </w:r>
    </w:p>
    <w:p w14:paraId="04010000">
      <w:pPr>
        <w:widowControl w:val="1"/>
        <w:spacing w:after="0" w:line="276" w:lineRule="auto"/>
        <w:ind/>
        <w:jc w:val="right"/>
        <w:rPr>
          <w:sz w:val="22"/>
        </w:rPr>
      </w:pPr>
    </w:p>
    <w:p w14:paraId="05010000">
      <w:pPr>
        <w:widowControl w:val="1"/>
        <w:spacing w:after="0"/>
        <w:ind w:firstLine="567"/>
      </w:pPr>
      <w:r>
        <w:t> </w:t>
      </w:r>
    </w:p>
    <w:p w14:paraId="06010000">
      <w:pPr>
        <w:widowControl w:val="1"/>
        <w:spacing w:after="0"/>
        <w:ind w:firstLine="567"/>
      </w:pPr>
      <w:r>
        <w:rPr>
          <w:b w:val="1"/>
          <w:sz w:val="22"/>
        </w:rPr>
        <w:t xml:space="preserve">Предмет контракта: </w:t>
      </w:r>
      <w:r>
        <w:rPr>
          <w:sz w:val="22"/>
        </w:rPr>
        <w:t>Текущий</w:t>
      </w:r>
      <w:r>
        <w:t xml:space="preserve"> </w:t>
      </w:r>
      <w:r>
        <w:rPr>
          <w:sz w:val="22"/>
        </w:rPr>
        <w:t>ремонт</w:t>
      </w:r>
      <w:r>
        <w:rPr>
          <w:color w:themeColor="text1" w:val="000000"/>
          <w:sz w:val="22"/>
        </w:rPr>
        <w:t xml:space="preserve">  </w:t>
      </w:r>
      <w:r>
        <w:rPr>
          <w:color w:themeColor="text1" w:val="000000"/>
          <w:sz w:val="22"/>
        </w:rPr>
        <w:t>системы</w:t>
      </w:r>
      <w:r>
        <w:rPr>
          <w:color w:themeColor="text1" w:val="000000"/>
          <w:sz w:val="22"/>
        </w:rPr>
        <w:t xml:space="preserve"> отопления</w:t>
      </w:r>
      <w:r>
        <w:rPr>
          <w:sz w:val="22"/>
        </w:rPr>
        <w:t>.</w:t>
      </w:r>
    </w:p>
    <w:p w14:paraId="07010000">
      <w:pPr>
        <w:widowControl w:val="1"/>
        <w:spacing w:after="120" w:before="120"/>
        <w:ind w:firstLine="567"/>
      </w:pPr>
      <w:r>
        <w:rPr>
          <w:b w:val="1"/>
          <w:sz w:val="22"/>
        </w:rPr>
        <w:t>Место выполнения работ.</w:t>
      </w:r>
    </w:p>
    <w:p w14:paraId="08010000">
      <w:pPr>
        <w:widowControl w:val="1"/>
        <w:numPr>
          <w:ilvl w:val="0"/>
          <w:numId w:val="2"/>
        </w:numPr>
        <w:spacing w:after="0"/>
        <w:ind w:right="-2"/>
        <w:rPr>
          <w:sz w:val="22"/>
        </w:rPr>
      </w:pPr>
      <w:r>
        <w:rPr>
          <w:color w:themeColor="text1" w:val="000000"/>
        </w:rPr>
        <w:t>Республика Бурятия, г. Улан-Удэ, ул. Коммунистическая, д.50</w:t>
      </w:r>
      <w:r>
        <w:rPr>
          <w:color w:themeColor="text1" w:val="000000"/>
        </w:rPr>
        <w:t>.</w:t>
      </w:r>
    </w:p>
    <w:p w14:paraId="09010000">
      <w:pPr>
        <w:widowControl w:val="1"/>
        <w:spacing w:after="120" w:before="120"/>
        <w:ind w:firstLine="567"/>
      </w:pPr>
      <w:r>
        <w:rPr>
          <w:b w:val="1"/>
          <w:sz w:val="22"/>
        </w:rPr>
        <w:t>Условия выполнения работ.</w:t>
      </w:r>
    </w:p>
    <w:p w14:paraId="0A010000">
      <w:pPr>
        <w:widowControl w:val="1"/>
        <w:spacing w:after="0"/>
        <w:ind w:firstLine="567"/>
      </w:pPr>
      <w:r>
        <w:rPr>
          <w:sz w:val="22"/>
        </w:rPr>
        <w:t>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приложений к нему. Обеспечить качество выполнения всех работ в соответствии с требованиями контракта, другой нормативной документации.</w:t>
      </w:r>
    </w:p>
    <w:p w14:paraId="0B010000">
      <w:pPr>
        <w:widowControl w:val="1"/>
        <w:spacing w:after="120" w:before="120"/>
        <w:ind w:firstLine="567"/>
      </w:pPr>
      <w:r>
        <w:rPr>
          <w:b w:val="1"/>
          <w:sz w:val="22"/>
        </w:rPr>
        <w:t>Сроки выполнения работ.</w:t>
      </w:r>
    </w:p>
    <w:p w14:paraId="0C010000">
      <w:pPr>
        <w:widowControl w:val="1"/>
        <w:spacing w:after="120" w:before="120"/>
        <w:ind w:firstLine="567"/>
      </w:pPr>
      <w:r>
        <w:rPr>
          <w:sz w:val="22"/>
        </w:rPr>
        <w:t xml:space="preserve">Срок выполнения Работ Подрядчиком по Контракту в полном объеме: с даты заключения государственного контракта </w:t>
      </w:r>
      <w:r>
        <w:rPr>
          <w:sz w:val="22"/>
        </w:rPr>
        <w:t xml:space="preserve">в течение 10 календарных дней </w:t>
      </w:r>
      <w:r>
        <w:rPr>
          <w:sz w:val="22"/>
        </w:rPr>
        <w:t xml:space="preserve">не позднее </w:t>
      </w:r>
      <w:r>
        <w:rPr>
          <w:sz w:val="22"/>
        </w:rPr>
        <w:t>_____________________</w:t>
      </w:r>
      <w:r>
        <w:rPr>
          <w:sz w:val="22"/>
        </w:rPr>
        <w:t xml:space="preserve"> (включительно).</w:t>
      </w:r>
    </w:p>
    <w:p w14:paraId="0D010000">
      <w:pPr>
        <w:widowControl w:val="1"/>
        <w:spacing w:after="120" w:before="120"/>
        <w:ind w:firstLine="567"/>
      </w:pPr>
      <w:r>
        <w:rPr>
          <w:b w:val="1"/>
          <w:sz w:val="22"/>
        </w:rPr>
        <w:t>Требования по сроку гарантий качества на результаты работ.</w:t>
      </w:r>
    </w:p>
    <w:p w14:paraId="0E010000">
      <w:pPr>
        <w:widowControl w:val="1"/>
        <w:spacing w:after="0"/>
        <w:ind w:firstLine="567"/>
      </w:pPr>
      <w:r>
        <w:rPr>
          <w:sz w:val="22"/>
        </w:rPr>
        <w:t>Гарантийный срок на выполненные по контракту работы должен составлять </w:t>
      </w:r>
      <w:r>
        <w:rPr>
          <w:sz w:val="22"/>
        </w:rPr>
        <w:t>36</w:t>
      </w:r>
      <w:r>
        <w:t xml:space="preserve"> </w:t>
      </w:r>
      <w:r>
        <w:rPr>
          <w:sz w:val="22"/>
        </w:rPr>
        <w:t>(</w:t>
      </w:r>
      <w:r>
        <w:rPr>
          <w:sz w:val="22"/>
        </w:rPr>
        <w:t>три</w:t>
      </w:r>
      <w:r>
        <w:rPr>
          <w:sz w:val="22"/>
        </w:rPr>
        <w:t xml:space="preserve">дцать </w:t>
      </w:r>
      <w:r>
        <w:rPr>
          <w:sz w:val="22"/>
        </w:rPr>
        <w:t>шесть</w:t>
      </w:r>
      <w:r>
        <w:rPr>
          <w:sz w:val="22"/>
        </w:rPr>
        <w:t>) месяц</w:t>
      </w:r>
      <w:r>
        <w:rPr>
          <w:sz w:val="22"/>
        </w:rPr>
        <w:t>ев</w:t>
      </w:r>
      <w:r>
        <w:rPr>
          <w:sz w:val="22"/>
        </w:rPr>
        <w:t xml:space="preserve"> с даты</w:t>
      </w:r>
      <w:r>
        <w:t xml:space="preserve"> </w:t>
      </w:r>
      <w:r>
        <w:rPr>
          <w:sz w:val="22"/>
        </w:rPr>
        <w:t>подписания актов о</w:t>
      </w:r>
      <w:r>
        <w:t xml:space="preserve"> </w:t>
      </w:r>
      <w:r>
        <w:rPr>
          <w:sz w:val="22"/>
        </w:rPr>
        <w:t>приемке выполненных работ (по форме КС-2).</w:t>
      </w:r>
    </w:p>
    <w:p w14:paraId="0F010000">
      <w:pPr>
        <w:widowControl w:val="1"/>
        <w:spacing w:after="120" w:before="120"/>
        <w:ind w:firstLine="567"/>
      </w:pPr>
      <w:r>
        <w:rPr>
          <w:b w:val="1"/>
          <w:sz w:val="22"/>
        </w:rPr>
        <w:t>Технические требования при выполнении работ по Контракту</w:t>
      </w:r>
      <w:r>
        <w:rPr>
          <w:sz w:val="22"/>
        </w:rPr>
        <w:t>.</w:t>
      </w:r>
    </w:p>
    <w:p w14:paraId="10010000">
      <w:pPr>
        <w:pStyle w:val="Style_7"/>
        <w:widowControl w:val="1"/>
        <w:ind w:firstLine="709"/>
        <w:rPr>
          <w:sz w:val="24"/>
        </w:rPr>
      </w:pPr>
      <w:r>
        <w:rPr>
          <w:sz w:val="24"/>
        </w:rPr>
        <w:t>1. Работы выполнить в соответствии с условиями Гражданского кодекса, Государственного Контракта, техническим заданием, проектно</w:t>
      </w:r>
      <w:r>
        <w:rPr>
          <w:sz w:val="24"/>
        </w:rPr>
        <w:t>-сметной</w:t>
      </w:r>
      <w:r>
        <w:rPr>
          <w:sz w:val="24"/>
        </w:rPr>
        <w:t xml:space="preserve"> документации, действующими строительными нормами, правилами и стандартами.</w:t>
      </w:r>
    </w:p>
    <w:p w14:paraId="11010000">
      <w:pPr>
        <w:pStyle w:val="Style_7"/>
        <w:widowControl w:val="1"/>
        <w:ind w:firstLine="709"/>
        <w:rPr>
          <w:sz w:val="24"/>
        </w:rPr>
      </w:pPr>
      <w:r>
        <w:rPr>
          <w:sz w:val="24"/>
        </w:rPr>
        <w:t>2. Снижение стоимости цены Контракта, предлагаемое участником размещения заказа, не должно исходить от уменьшения физического объёма заданных работ, исключения и сокращения операций в технологических процессах, стоимости и качества строительных материалов, конструкций, оборудования и других факторов, влияющих на качество конечного продукта.</w:t>
      </w:r>
    </w:p>
    <w:p w14:paraId="12010000">
      <w:pPr>
        <w:pStyle w:val="Style_7"/>
        <w:widowControl w:val="1"/>
        <w:ind w:firstLine="709"/>
        <w:rPr>
          <w:sz w:val="24"/>
        </w:rPr>
      </w:pPr>
      <w:r>
        <w:rPr>
          <w:sz w:val="24"/>
        </w:rPr>
        <w:t xml:space="preserve">3. </w:t>
      </w:r>
      <w:r>
        <w:rPr>
          <w:sz w:val="24"/>
        </w:rPr>
        <w:t>Подрядчик</w:t>
      </w:r>
      <w:r>
        <w:rPr>
          <w:sz w:val="24"/>
        </w:rPr>
        <w:t xml:space="preserve"> приобретает материалы, конструкции на весь объём работ в соответствии с локальной сметой, обеспечивает их входной контроль. Применение того или иного материала, конструкции предварительно согласовывается с </w:t>
      </w:r>
      <w:r>
        <w:rPr>
          <w:sz w:val="24"/>
        </w:rPr>
        <w:t>Заказчик</w:t>
      </w:r>
      <w:r>
        <w:rPr>
          <w:sz w:val="24"/>
        </w:rPr>
        <w:t>ом и не должно быть ниже требований, предъявляемых СНиП, СН, ГОСТ к тому виду работ, для которых эти материалы применяются.</w:t>
      </w:r>
    </w:p>
    <w:p w14:paraId="13010000">
      <w:pPr>
        <w:pStyle w:val="Style_7"/>
        <w:widowControl w:val="1"/>
        <w:ind w:firstLine="709"/>
        <w:rPr>
          <w:sz w:val="24"/>
        </w:rPr>
      </w:pPr>
      <w:r>
        <w:rPr>
          <w:rFonts w:ascii="Times New Roman" w:hAnsi="Times New Roman"/>
          <w:sz w:val="24"/>
        </w:rPr>
        <w:t>Все используемые подрядчиком (поставщиком</w:t>
      </w:r>
      <w:r>
        <w:rPr>
          <w:rFonts w:ascii="Times New Roman" w:hAnsi="Times New Roman"/>
          <w:sz w:val="24"/>
        </w:rPr>
        <w:t>,</w:t>
      </w:r>
      <w:r>
        <w:rPr>
          <w:rFonts w:ascii="Times New Roman" w:hAnsi="Times New Roman"/>
          <w:sz w:val="24"/>
        </w:rPr>
        <w:t xml:space="preserve"> исполнителем) материалы</w:t>
      </w:r>
      <w:r>
        <w:rPr>
          <w:rFonts w:ascii="Times New Roman" w:hAnsi="Times New Roman"/>
          <w:sz w:val="24"/>
        </w:rPr>
        <w:t>,</w:t>
      </w:r>
      <w:r>
        <w:rPr>
          <w:rFonts w:ascii="Times New Roman" w:hAnsi="Times New Roman"/>
          <w:sz w:val="24"/>
        </w:rPr>
        <w:t xml:space="preserve"> изделия</w:t>
      </w:r>
      <w:r>
        <w:rPr>
          <w:rFonts w:ascii="Times New Roman" w:hAnsi="Times New Roman"/>
          <w:sz w:val="24"/>
        </w:rPr>
        <w:t>,</w:t>
      </w:r>
      <w:r>
        <w:rPr>
          <w:rFonts w:ascii="Times New Roman" w:hAnsi="Times New Roman"/>
          <w:sz w:val="24"/>
        </w:rPr>
        <w:t xml:space="preserve"> комплектующие</w:t>
      </w:r>
      <w:r>
        <w:rPr>
          <w:rFonts w:ascii="Times New Roman" w:hAnsi="Times New Roman"/>
          <w:sz w:val="24"/>
        </w:rPr>
        <w:t>, оборудование и пр.,</w:t>
      </w:r>
      <w:r>
        <w:rPr>
          <w:rFonts w:ascii="Times New Roman" w:hAnsi="Times New Roman"/>
          <w:sz w:val="24"/>
        </w:rPr>
        <w:t xml:space="preserve"> должны быть высококачественными</w:t>
      </w:r>
      <w:r>
        <w:rPr>
          <w:rFonts w:ascii="Times New Roman" w:hAnsi="Times New Roman"/>
          <w:sz w:val="24"/>
        </w:rPr>
        <w:t>,</w:t>
      </w:r>
      <w:r>
        <w:rPr>
          <w:rFonts w:ascii="Times New Roman" w:hAnsi="Times New Roman"/>
          <w:sz w:val="24"/>
        </w:rPr>
        <w:t xml:space="preserve"> ранее не использовавшимися</w:t>
      </w:r>
      <w:r>
        <w:rPr>
          <w:rFonts w:ascii="Times New Roman" w:hAnsi="Times New Roman"/>
          <w:sz w:val="24"/>
        </w:rPr>
        <w:t>,</w:t>
      </w:r>
      <w:r>
        <w:rPr>
          <w:rFonts w:ascii="Times New Roman" w:hAnsi="Times New Roman"/>
          <w:sz w:val="24"/>
        </w:rPr>
        <w:t xml:space="preserve"> изготовленными по современной технологии</w:t>
      </w:r>
      <w:r>
        <w:rPr>
          <w:rFonts w:ascii="Times New Roman" w:hAnsi="Times New Roman"/>
          <w:sz w:val="24"/>
        </w:rPr>
        <w:t>,</w:t>
      </w:r>
      <w:r>
        <w:rPr>
          <w:rFonts w:ascii="Times New Roman" w:hAnsi="Times New Roman"/>
          <w:sz w:val="24"/>
        </w:rPr>
        <w:t xml:space="preserve"> имеющие сертификаты соответствия (качества). По функциональным и техническим характеристикам отвечать требованиям безопасности</w:t>
      </w:r>
      <w:r>
        <w:rPr>
          <w:rFonts w:ascii="Times New Roman" w:hAnsi="Times New Roman"/>
          <w:sz w:val="24"/>
        </w:rPr>
        <w:t>,</w:t>
      </w:r>
      <w:r>
        <w:rPr>
          <w:rFonts w:ascii="Times New Roman" w:hAnsi="Times New Roman"/>
          <w:sz w:val="24"/>
        </w:rPr>
        <w:t xml:space="preserve"> в т. ч. </w:t>
      </w:r>
      <w:r>
        <w:rPr>
          <w:rFonts w:ascii="Times New Roman" w:hAnsi="Times New Roman"/>
          <w:sz w:val="24"/>
        </w:rPr>
        <w:t>п</w:t>
      </w:r>
      <w:r>
        <w:rPr>
          <w:rFonts w:ascii="Times New Roman" w:hAnsi="Times New Roman"/>
          <w:sz w:val="24"/>
        </w:rPr>
        <w:t>ожарных</w:t>
      </w:r>
      <w:r>
        <w:rPr>
          <w:rFonts w:ascii="Times New Roman" w:hAnsi="Times New Roman"/>
          <w:sz w:val="24"/>
        </w:rPr>
        <w:t>,</w:t>
      </w:r>
      <w:r>
        <w:rPr>
          <w:rFonts w:ascii="Times New Roman" w:hAnsi="Times New Roman"/>
          <w:sz w:val="24"/>
        </w:rPr>
        <w:t xml:space="preserve"> санитарных и других норм</w:t>
      </w:r>
      <w:r>
        <w:rPr>
          <w:rFonts w:ascii="Times New Roman" w:hAnsi="Times New Roman"/>
          <w:sz w:val="24"/>
        </w:rPr>
        <w:t>,</w:t>
      </w:r>
      <w:r>
        <w:rPr>
          <w:rFonts w:ascii="Times New Roman" w:hAnsi="Times New Roman"/>
          <w:sz w:val="24"/>
        </w:rPr>
        <w:t xml:space="preserve"> предъявляемым к тако</w:t>
      </w:r>
      <w:r>
        <w:rPr>
          <w:rFonts w:ascii="Times New Roman" w:hAnsi="Times New Roman"/>
          <w:sz w:val="24"/>
        </w:rPr>
        <w:t>му</w:t>
      </w:r>
      <w:r>
        <w:rPr>
          <w:rFonts w:ascii="Times New Roman" w:hAnsi="Times New Roman"/>
          <w:sz w:val="24"/>
        </w:rPr>
        <w:t xml:space="preserve"> вида изделиям. </w:t>
      </w:r>
    </w:p>
    <w:p w14:paraId="14010000">
      <w:pPr>
        <w:pStyle w:val="Style_7"/>
        <w:widowControl w:val="1"/>
        <w:ind w:firstLine="709"/>
        <w:rPr>
          <w:sz w:val="24"/>
        </w:rPr>
      </w:pPr>
      <w:r>
        <w:rPr>
          <w:sz w:val="24"/>
        </w:rPr>
        <w:t xml:space="preserve">Технические паспорта на конструкции и сертификаты на материалы должны быть переданы </w:t>
      </w:r>
      <w:r>
        <w:rPr>
          <w:sz w:val="24"/>
        </w:rPr>
        <w:t>Заказчик</w:t>
      </w:r>
      <w:r>
        <w:rPr>
          <w:sz w:val="24"/>
        </w:rPr>
        <w:t xml:space="preserve">у до окончания </w:t>
      </w:r>
      <w:r>
        <w:rPr>
          <w:sz w:val="24"/>
        </w:rPr>
        <w:t>текущего</w:t>
      </w:r>
      <w:r>
        <w:rPr>
          <w:sz w:val="24"/>
        </w:rPr>
        <w:t xml:space="preserve"> ремонта.</w:t>
      </w:r>
    </w:p>
    <w:p w14:paraId="15010000">
      <w:pPr>
        <w:pStyle w:val="Style_7"/>
        <w:widowControl w:val="1"/>
        <w:ind w:firstLine="709"/>
        <w:rPr>
          <w:sz w:val="24"/>
        </w:rPr>
      </w:pPr>
      <w:r>
        <w:rPr>
          <w:sz w:val="24"/>
        </w:rPr>
        <w:t xml:space="preserve">4. Работы по </w:t>
      </w:r>
      <w:r>
        <w:rPr>
          <w:sz w:val="24"/>
        </w:rPr>
        <w:t>текуще</w:t>
      </w:r>
      <w:r>
        <w:rPr>
          <w:sz w:val="24"/>
        </w:rPr>
        <w:t xml:space="preserve">му ремонту в условиях действующего учреждения производятся без остановки рабочего процесса и должны учитываться </w:t>
      </w:r>
      <w:r>
        <w:rPr>
          <w:sz w:val="24"/>
        </w:rPr>
        <w:t>Подрядчик</w:t>
      </w:r>
      <w:r>
        <w:rPr>
          <w:sz w:val="24"/>
        </w:rPr>
        <w:t>ом при определении стоимости и сроков выполнения работ.</w:t>
      </w:r>
    </w:p>
    <w:p w14:paraId="16010000">
      <w:pPr>
        <w:pStyle w:val="Style_7"/>
        <w:widowControl w:val="1"/>
        <w:ind w:firstLine="709"/>
        <w:rPr>
          <w:sz w:val="24"/>
        </w:rPr>
      </w:pPr>
      <w:r>
        <w:rPr>
          <w:sz w:val="24"/>
        </w:rPr>
        <w:t xml:space="preserve">5. В ходе работ </w:t>
      </w:r>
      <w:r>
        <w:rPr>
          <w:sz w:val="24"/>
        </w:rPr>
        <w:t>Подрядчик</w:t>
      </w:r>
      <w:r>
        <w:rPr>
          <w:sz w:val="24"/>
        </w:rPr>
        <w:t xml:space="preserve">ом должна быть обеспечена сохранность находящихся на объекте строительных материалов, конструкций и оборудования, проведены необходимые мероприятия по технике безопасности, пожарной безопасности и охране окружающей среды. Возможный ущерб от неправомерных действий либо бездействия </w:t>
      </w:r>
      <w:r>
        <w:rPr>
          <w:sz w:val="24"/>
        </w:rPr>
        <w:t>Подрядчик</w:t>
      </w:r>
      <w:r>
        <w:rPr>
          <w:sz w:val="24"/>
        </w:rPr>
        <w:t xml:space="preserve"> возмещает в полном объеме сверх стоимости работ по </w:t>
      </w:r>
      <w:r>
        <w:rPr>
          <w:sz w:val="24"/>
        </w:rPr>
        <w:t>текуще</w:t>
      </w:r>
      <w:r>
        <w:rPr>
          <w:sz w:val="24"/>
        </w:rPr>
        <w:t>му ремонту.</w:t>
      </w:r>
    </w:p>
    <w:p w14:paraId="17010000">
      <w:pPr>
        <w:pStyle w:val="Style_7"/>
        <w:widowControl w:val="1"/>
        <w:ind w:firstLine="709"/>
        <w:rPr>
          <w:sz w:val="24"/>
        </w:rPr>
      </w:pPr>
      <w:r>
        <w:rPr>
          <w:sz w:val="24"/>
        </w:rPr>
        <w:t xml:space="preserve">6. До начала выполнения работ </w:t>
      </w:r>
      <w:r>
        <w:rPr>
          <w:sz w:val="24"/>
        </w:rPr>
        <w:t>Подрядчик</w:t>
      </w:r>
      <w:r>
        <w:rPr>
          <w:sz w:val="24"/>
        </w:rPr>
        <w:t xml:space="preserve"> назначает ответственного за организацию строительно-монтажных работ на объекте, обеспечивает безопасность на объекте в соответствии с правилами и требованиями СП 49.13330.2010 «Безопасность труда в строительстве. Часть 1. Общие требования». СНиП 12-04-2002 «Безопасность труда в строительстве. Часть 2. Строительное производство». СП 48.13330.2019 «Организация строительства», СП 12-136-2002 «Решения по охране труда и промышленной безопасности в проектах организации строительства и проектах производства работ», постановление правительства РФ от 16.09.2020 г. №1479 «Правила противопожарного режима Российской Федерации», №123-ФЗ от 22.07.2008 г. «Технический регламент о требованиях пожарной безопасности», ГОСТ 12.3.003-86 «Система стандартов безопасности труда. Работы электросварочные. Требования безопасности» и других нормативных документов, действующих на территории Российской Федерации.</w:t>
      </w:r>
    </w:p>
    <w:p w14:paraId="18010000">
      <w:pPr>
        <w:pStyle w:val="Style_7"/>
        <w:widowControl w:val="1"/>
        <w:ind w:firstLine="709"/>
        <w:rPr>
          <w:sz w:val="24"/>
        </w:rPr>
      </w:pPr>
      <w:r>
        <w:rPr>
          <w:sz w:val="24"/>
        </w:rPr>
        <w:t>7. Качество работ должно соответствовать обязательным требованиям, установленным законом, стандартам, техническим регламентам, действующим нормам, техническим условиям и техническому заданию для данных видов работ и оборудования, в том числе:</w:t>
      </w:r>
    </w:p>
    <w:p w14:paraId="19010000">
      <w:pPr>
        <w:pStyle w:val="Style_7"/>
        <w:widowControl w:val="1"/>
        <w:ind w:firstLine="709"/>
        <w:rPr>
          <w:b w:val="1"/>
          <w:spacing w:val="-3"/>
          <w:sz w:val="24"/>
        </w:rPr>
      </w:pPr>
      <w:r>
        <w:rPr>
          <w:rStyle w:val="Style_8_ch"/>
          <w:b w:val="0"/>
          <w:color w:val="333333"/>
          <w:sz w:val="24"/>
          <w:highlight w:val="white"/>
        </w:rPr>
        <w:t>СП 60.13330.2020 «Отопление, вентиляция и кондиционирование воздуха»</w:t>
      </w:r>
      <w:r>
        <w:rPr>
          <w:b w:val="1"/>
          <w:spacing w:val="-3"/>
          <w:sz w:val="24"/>
        </w:rPr>
        <w:t>;</w:t>
      </w:r>
    </w:p>
    <w:p w14:paraId="1A010000">
      <w:pPr>
        <w:pStyle w:val="Style_7"/>
        <w:widowControl w:val="1"/>
        <w:ind w:firstLine="709"/>
        <w:rPr>
          <w:b w:val="1"/>
          <w:spacing w:val="-3"/>
          <w:sz w:val="24"/>
        </w:rPr>
      </w:pPr>
      <w:r>
        <w:rPr>
          <w:rStyle w:val="Style_8_ch"/>
          <w:b w:val="0"/>
          <w:color w:val="333333"/>
          <w:sz w:val="24"/>
          <w:highlight w:val="white"/>
        </w:rPr>
        <w:t>СП 73.13330.2016 «Внутренние санитарно-технические системы зданий»</w:t>
      </w:r>
      <w:r>
        <w:rPr>
          <w:b w:val="1"/>
          <w:spacing w:val="-3"/>
          <w:sz w:val="24"/>
        </w:rPr>
        <w:t>;</w:t>
      </w:r>
    </w:p>
    <w:p w14:paraId="1B010000">
      <w:pPr>
        <w:pStyle w:val="Style_7"/>
        <w:widowControl w:val="1"/>
        <w:ind w:firstLine="709"/>
        <w:rPr>
          <w:sz w:val="24"/>
        </w:rPr>
      </w:pPr>
      <w:r>
        <w:rPr>
          <w:sz w:val="24"/>
        </w:rPr>
        <w:t>В</w:t>
      </w:r>
      <w:r>
        <w:rPr>
          <w:sz w:val="24"/>
        </w:rPr>
        <w:t xml:space="preserve"> случае обнаружения дефектов после приемки объекта в эксплуатацию – исправление дефектов будет проводиться за счет </w:t>
      </w:r>
      <w:r>
        <w:rPr>
          <w:sz w:val="24"/>
        </w:rPr>
        <w:t>Подрядчик</w:t>
      </w:r>
      <w:r>
        <w:rPr>
          <w:sz w:val="24"/>
        </w:rPr>
        <w:t>а.</w:t>
      </w:r>
    </w:p>
    <w:p w14:paraId="1C010000">
      <w:pPr>
        <w:pStyle w:val="Style_7"/>
        <w:widowControl w:val="1"/>
        <w:ind w:firstLine="709"/>
        <w:rPr>
          <w:sz w:val="24"/>
        </w:rPr>
      </w:pPr>
      <w:r>
        <w:rPr>
          <w:sz w:val="24"/>
        </w:rPr>
        <w:t>Подрядчик</w:t>
      </w:r>
      <w:r>
        <w:rPr>
          <w:sz w:val="24"/>
        </w:rPr>
        <w:t xml:space="preserve"> обязан вести производственный контроль качества, операционный контроль с оформлением соответствующей нормативной документации.</w:t>
      </w:r>
    </w:p>
    <w:p w14:paraId="1D010000">
      <w:pPr>
        <w:pStyle w:val="Style_7"/>
        <w:widowControl w:val="1"/>
        <w:ind w:firstLine="709"/>
        <w:rPr>
          <w:sz w:val="24"/>
        </w:rPr>
      </w:pPr>
      <w:r>
        <w:rPr>
          <w:sz w:val="24"/>
        </w:rPr>
        <w:t>8</w:t>
      </w:r>
      <w:r>
        <w:rPr>
          <w:sz w:val="24"/>
        </w:rPr>
        <w:t>.</w:t>
      </w:r>
      <w:r>
        <w:rPr>
          <w:sz w:val="24"/>
        </w:rPr>
        <w:tab/>
      </w:r>
      <w:r>
        <w:rPr>
          <w:sz w:val="24"/>
        </w:rPr>
        <w:t>Работы выполняются в условиях действующего учреждения. Выполнение работ не должно препятствовать или создавать неудобства в работе учреждения или представлять угрозу для сотрудников Заказчика.</w:t>
      </w:r>
    </w:p>
    <w:p w14:paraId="1E010000">
      <w:pPr>
        <w:pStyle w:val="Style_7"/>
        <w:widowControl w:val="1"/>
        <w:ind w:firstLine="709"/>
        <w:rPr>
          <w:rFonts w:ascii="Times New Roman" w:hAnsi="Times New Roman"/>
          <w:sz w:val="24"/>
        </w:rPr>
      </w:pPr>
      <w:r>
        <w:rPr>
          <w:sz w:val="24"/>
        </w:rPr>
        <w:t>9.</w:t>
      </w:r>
      <w:r>
        <w:rPr>
          <w:sz w:val="24"/>
        </w:rPr>
        <w:tab/>
      </w:r>
      <w:r>
        <w:rPr>
          <w:sz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Pr>
          <w:rFonts w:ascii="Times New Roman" w:hAnsi="Times New Roman"/>
          <w:sz w:val="24"/>
        </w:rPr>
        <w:t>Подрядчик должен восстановить</w:t>
      </w:r>
      <w:r>
        <w:rPr>
          <w:rFonts w:ascii="Times New Roman" w:hAnsi="Times New Roman"/>
          <w:sz w:val="24"/>
        </w:rPr>
        <w:t>,</w:t>
      </w:r>
      <w:r>
        <w:rPr>
          <w:rFonts w:ascii="Times New Roman" w:hAnsi="Times New Roman"/>
          <w:sz w:val="24"/>
        </w:rPr>
        <w:t xml:space="preserve"> в случае поврежден</w:t>
      </w:r>
      <w:r>
        <w:rPr>
          <w:rFonts w:ascii="Times New Roman" w:hAnsi="Times New Roman"/>
          <w:sz w:val="24"/>
        </w:rPr>
        <w:t>ия охранно-пожарную сигнализацию,</w:t>
      </w:r>
      <w:r>
        <w:rPr>
          <w:rFonts w:ascii="Times New Roman" w:hAnsi="Times New Roman"/>
          <w:sz w:val="24"/>
        </w:rPr>
        <w:t xml:space="preserve"> электропроводку</w:t>
      </w:r>
      <w:r>
        <w:rPr>
          <w:rFonts w:ascii="Times New Roman" w:hAnsi="Times New Roman"/>
          <w:sz w:val="24"/>
        </w:rPr>
        <w:t xml:space="preserve">, </w:t>
      </w:r>
      <w:r>
        <w:rPr>
          <w:rFonts w:ascii="Times New Roman" w:hAnsi="Times New Roman"/>
          <w:sz w:val="24"/>
        </w:rPr>
        <w:t>телефонную линию.</w:t>
      </w:r>
    </w:p>
    <w:p w14:paraId="1F010000">
      <w:pPr>
        <w:pStyle w:val="Style_7"/>
        <w:widowControl w:val="1"/>
        <w:ind w:firstLine="709"/>
        <w:rPr>
          <w:sz w:val="24"/>
        </w:rPr>
      </w:pPr>
      <w:r>
        <w:rPr>
          <w:sz w:val="24"/>
        </w:rPr>
        <w:t>10</w:t>
      </w:r>
      <w:r>
        <w:rPr>
          <w:sz w:val="24"/>
        </w:rPr>
        <w:t>.</w:t>
      </w:r>
      <w:r>
        <w:rPr>
          <w:sz w:val="24"/>
        </w:rPr>
        <w:tab/>
      </w:r>
      <w:r>
        <w:rPr>
          <w:sz w:val="24"/>
        </w:rPr>
        <w:t>Запрещается загромождать на объекте эвакуационные пути и выходы, в том числе проходы,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20010000">
      <w:pPr>
        <w:pStyle w:val="Style_7"/>
        <w:widowControl w:val="1"/>
        <w:ind w:firstLine="709"/>
        <w:rPr>
          <w:sz w:val="24"/>
        </w:rPr>
      </w:pPr>
      <w:r>
        <w:rPr>
          <w:sz w:val="24"/>
        </w:rPr>
        <w:t xml:space="preserve">11. </w:t>
      </w:r>
      <w:r>
        <w:rPr>
          <w:sz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1010000">
      <w:pPr>
        <w:pStyle w:val="Style_7"/>
        <w:widowControl w:val="1"/>
        <w:ind w:firstLine="709"/>
        <w:rPr>
          <w:rFonts w:ascii="Times New Roman" w:hAnsi="Times New Roman"/>
          <w:sz w:val="24"/>
        </w:rPr>
      </w:pPr>
      <w:r>
        <w:rPr>
          <w:sz w:val="24"/>
        </w:rPr>
        <w:t>12</w:t>
      </w:r>
      <w:r>
        <w:rPr>
          <w:sz w:val="24"/>
        </w:rPr>
        <w:t xml:space="preserve">. Выполнение работ по отключению и подключению систем теплоснабжения, водоснабжения и энергоснабжения производить строго по согласованию с </w:t>
      </w:r>
      <w:r>
        <w:rPr>
          <w:sz w:val="24"/>
        </w:rPr>
        <w:t>Заказчик</w:t>
      </w:r>
      <w:r>
        <w:rPr>
          <w:sz w:val="24"/>
        </w:rPr>
        <w:t xml:space="preserve">ом, совместно с представителями службы эксплуатации здания </w:t>
      </w:r>
      <w:r>
        <w:rPr>
          <w:sz w:val="24"/>
        </w:rPr>
        <w:t>Заказчик</w:t>
      </w:r>
      <w:r>
        <w:rPr>
          <w:sz w:val="24"/>
        </w:rPr>
        <w:t xml:space="preserve">а. В случае несогласованных действий </w:t>
      </w:r>
      <w:r>
        <w:rPr>
          <w:sz w:val="24"/>
        </w:rPr>
        <w:t>Подрядчик</w:t>
      </w:r>
      <w:r>
        <w:rPr>
          <w:sz w:val="24"/>
        </w:rPr>
        <w:t xml:space="preserve"> устраняет последствия за свой счет в сроки, установленные </w:t>
      </w:r>
      <w:r>
        <w:rPr>
          <w:sz w:val="24"/>
        </w:rPr>
        <w:t>Заказчик</w:t>
      </w:r>
      <w:r>
        <w:rPr>
          <w:sz w:val="24"/>
        </w:rPr>
        <w:t xml:space="preserve">ом. </w:t>
      </w:r>
      <w:r>
        <w:rPr>
          <w:rFonts w:ascii="Times New Roman" w:hAnsi="Times New Roman"/>
          <w:sz w:val="24"/>
        </w:rPr>
        <w:t>В период проведения ремонтных работ</w:t>
      </w:r>
      <w:r>
        <w:rPr>
          <w:rFonts w:ascii="Times New Roman" w:hAnsi="Times New Roman"/>
          <w:sz w:val="24"/>
        </w:rPr>
        <w:t>,</w:t>
      </w:r>
      <w:r>
        <w:rPr>
          <w:rFonts w:ascii="Times New Roman" w:hAnsi="Times New Roman"/>
          <w:sz w:val="24"/>
        </w:rPr>
        <w:t xml:space="preserve"> потребленные энергоресурсы и коммунальные услуги возмещаются подрядчиком самостоятельно</w:t>
      </w:r>
      <w:r>
        <w:rPr>
          <w:rFonts w:ascii="Times New Roman" w:hAnsi="Times New Roman"/>
          <w:sz w:val="24"/>
        </w:rPr>
        <w:t xml:space="preserve">, </w:t>
      </w:r>
      <w:r>
        <w:rPr>
          <w:rFonts w:ascii="Times New Roman" w:hAnsi="Times New Roman"/>
          <w:sz w:val="24"/>
        </w:rPr>
        <w:t xml:space="preserve">за счет собственных средств. </w:t>
      </w:r>
      <w:r>
        <w:rPr>
          <w:sz w:val="24"/>
        </w:rPr>
        <w:t>13</w:t>
      </w:r>
      <w:r>
        <w:rPr>
          <w:sz w:val="24"/>
        </w:rPr>
        <w:t xml:space="preserve">. Для организации прохода работников </w:t>
      </w:r>
      <w:r>
        <w:rPr>
          <w:sz w:val="24"/>
        </w:rPr>
        <w:t>Подрядчик</w:t>
      </w:r>
      <w:r>
        <w:rPr>
          <w:sz w:val="24"/>
        </w:rPr>
        <w:t xml:space="preserve">а на территорию </w:t>
      </w:r>
      <w:r>
        <w:rPr>
          <w:sz w:val="24"/>
        </w:rPr>
        <w:t>Заказчик</w:t>
      </w:r>
      <w:r>
        <w:rPr>
          <w:sz w:val="24"/>
        </w:rPr>
        <w:t>а</w:t>
      </w:r>
      <w:r>
        <w:rPr>
          <w:sz w:val="24"/>
        </w:rPr>
        <w:t>,</w:t>
      </w:r>
      <w:r>
        <w:rPr>
          <w:sz w:val="24"/>
        </w:rPr>
        <w:t xml:space="preserve"> </w:t>
      </w:r>
      <w:r>
        <w:rPr>
          <w:sz w:val="24"/>
        </w:rPr>
        <w:t>Подрядчик в</w:t>
      </w:r>
      <w:r>
        <w:rPr>
          <w:sz w:val="24"/>
        </w:rPr>
        <w:t xml:space="preserve"> течение трех дней с </w:t>
      </w:r>
      <w:r>
        <w:rPr>
          <w:sz w:val="24"/>
        </w:rPr>
        <w:t>даты</w:t>
      </w:r>
      <w:r>
        <w:rPr>
          <w:sz w:val="24"/>
        </w:rPr>
        <w:t xml:space="preserve"> подписания </w:t>
      </w:r>
      <w:r>
        <w:rPr>
          <w:sz w:val="24"/>
        </w:rPr>
        <w:t>Контракт</w:t>
      </w:r>
      <w:r>
        <w:rPr>
          <w:sz w:val="24"/>
        </w:rPr>
        <w:t xml:space="preserve">а передает </w:t>
      </w:r>
      <w:r>
        <w:rPr>
          <w:sz w:val="24"/>
        </w:rPr>
        <w:t>Заказчик</w:t>
      </w:r>
      <w:r>
        <w:rPr>
          <w:sz w:val="24"/>
        </w:rPr>
        <w:t>у</w:t>
      </w:r>
      <w:r>
        <w:rPr>
          <w:sz w:val="24"/>
        </w:rPr>
        <w:t xml:space="preserve"> список работников</w:t>
      </w:r>
      <w:r>
        <w:rPr>
          <w:sz w:val="24"/>
        </w:rPr>
        <w:t xml:space="preserve"> с указанием их паспортных данных.</w:t>
      </w:r>
    </w:p>
    <w:p w14:paraId="22010000">
      <w:pPr>
        <w:pStyle w:val="Style_7"/>
        <w:widowControl w:val="1"/>
        <w:ind w:firstLine="709"/>
        <w:rPr>
          <w:sz w:val="24"/>
        </w:rPr>
      </w:pPr>
      <w:r>
        <w:rPr>
          <w:sz w:val="24"/>
        </w:rPr>
        <w:t>1</w:t>
      </w:r>
      <w:r>
        <w:rPr>
          <w:sz w:val="24"/>
        </w:rPr>
        <w:t>4</w:t>
      </w:r>
      <w:r>
        <w:rPr>
          <w:sz w:val="24"/>
        </w:rPr>
        <w:t xml:space="preserve">. Все работы по Контракту должны производиться в рабочее время </w:t>
      </w:r>
      <w:r>
        <w:rPr>
          <w:sz w:val="24"/>
        </w:rPr>
        <w:t>Заказчик</w:t>
      </w:r>
      <w:r>
        <w:rPr>
          <w:sz w:val="24"/>
        </w:rPr>
        <w:t xml:space="preserve">а. Работа во внеурочное время, выходные и праздничные дни – по отдельному согласованию с </w:t>
      </w:r>
      <w:r>
        <w:rPr>
          <w:sz w:val="24"/>
        </w:rPr>
        <w:t>Заказчик</w:t>
      </w:r>
      <w:r>
        <w:rPr>
          <w:sz w:val="24"/>
        </w:rPr>
        <w:t>ом с соблюдением всех условий, изложенных в п.7.</w:t>
      </w:r>
    </w:p>
    <w:p w14:paraId="23010000">
      <w:pPr>
        <w:pStyle w:val="Style_7"/>
        <w:widowControl w:val="1"/>
        <w:ind w:firstLine="709"/>
        <w:rPr>
          <w:sz w:val="24"/>
        </w:rPr>
      </w:pPr>
      <w:r>
        <w:rPr>
          <w:sz w:val="24"/>
        </w:rPr>
        <w:t>1</w:t>
      </w:r>
      <w:r>
        <w:rPr>
          <w:sz w:val="24"/>
        </w:rPr>
        <w:t>5</w:t>
      </w:r>
      <w:r>
        <w:rPr>
          <w:sz w:val="24"/>
        </w:rPr>
        <w:t xml:space="preserve">. </w:t>
      </w:r>
      <w:r>
        <w:rPr>
          <w:sz w:val="24"/>
        </w:rPr>
        <w:t>Подрядчик</w:t>
      </w:r>
      <w:r>
        <w:rPr>
          <w:sz w:val="24"/>
        </w:rPr>
        <w:t xml:space="preserve"> должен обеспечить содержание и уборку строительной площадки и прилегающей территории. </w:t>
      </w:r>
      <w:r>
        <w:rPr>
          <w:rFonts w:ascii="Times New Roman" w:hAnsi="Times New Roman"/>
          <w:sz w:val="24"/>
        </w:rPr>
        <w:t>Строительный мусор загружается в специальные контейнеры и вывозится подрядчиком на установленные полигоны.</w:t>
      </w:r>
    </w:p>
    <w:p w14:paraId="24010000">
      <w:pPr>
        <w:pStyle w:val="Style_7"/>
        <w:widowControl w:val="1"/>
        <w:ind w:firstLine="709"/>
        <w:rPr>
          <w:sz w:val="24"/>
        </w:rPr>
      </w:pPr>
      <w:r>
        <w:rPr>
          <w:sz w:val="24"/>
        </w:rPr>
        <w:t>1</w:t>
      </w:r>
      <w:r>
        <w:rPr>
          <w:sz w:val="24"/>
        </w:rPr>
        <w:t>6</w:t>
      </w:r>
      <w:r>
        <w:rPr>
          <w:sz w:val="24"/>
        </w:rPr>
        <w:t xml:space="preserve">. </w:t>
      </w:r>
      <w:r>
        <w:rPr>
          <w:sz w:val="24"/>
        </w:rPr>
        <w:t>Подрядчик</w:t>
      </w:r>
      <w:r>
        <w:rPr>
          <w:sz w:val="24"/>
        </w:rPr>
        <w:t>у запрещается отступать от перечня и видов работ, содержащихся в проектно</w:t>
      </w:r>
      <w:r>
        <w:rPr>
          <w:sz w:val="24"/>
        </w:rPr>
        <w:t>-сметной</w:t>
      </w:r>
      <w:r>
        <w:rPr>
          <w:sz w:val="24"/>
        </w:rPr>
        <w:t xml:space="preserve"> документации, при этом наименование работ, содержащихся в сметных расценках, служат критерием состава операций, выполняемых при производстве работ и критерием используемых материалов.</w:t>
      </w:r>
    </w:p>
    <w:p w14:paraId="25010000">
      <w:pPr>
        <w:pStyle w:val="Style_7"/>
        <w:widowControl w:val="1"/>
        <w:ind w:firstLine="709"/>
        <w:rPr>
          <w:sz w:val="24"/>
        </w:rPr>
      </w:pPr>
      <w:r>
        <w:rPr>
          <w:sz w:val="24"/>
        </w:rPr>
        <w:t>1</w:t>
      </w:r>
      <w:r>
        <w:rPr>
          <w:sz w:val="24"/>
        </w:rPr>
        <w:t>7</w:t>
      </w:r>
      <w:r>
        <w:rPr>
          <w:sz w:val="24"/>
        </w:rPr>
        <w:t xml:space="preserve">. </w:t>
      </w:r>
      <w:r>
        <w:rPr>
          <w:sz w:val="24"/>
        </w:rPr>
        <w:t>Заказчик</w:t>
      </w:r>
      <w:r>
        <w:rPr>
          <w:sz w:val="24"/>
        </w:rPr>
        <w:t xml:space="preserve"> вправе осуществлять пооперационный контроль за ходом выполнения работ по </w:t>
      </w:r>
      <w:r>
        <w:rPr>
          <w:sz w:val="24"/>
        </w:rPr>
        <w:t>текуще</w:t>
      </w:r>
      <w:r>
        <w:rPr>
          <w:sz w:val="24"/>
        </w:rPr>
        <w:t>му ремонту.</w:t>
      </w:r>
    </w:p>
    <w:p w14:paraId="26010000">
      <w:pPr>
        <w:pStyle w:val="Style_7"/>
        <w:widowControl w:val="1"/>
        <w:ind w:firstLine="709"/>
        <w:rPr>
          <w:sz w:val="24"/>
        </w:rPr>
      </w:pPr>
      <w:r>
        <w:rPr>
          <w:sz w:val="24"/>
        </w:rPr>
        <w:t>1</w:t>
      </w:r>
      <w:r>
        <w:rPr>
          <w:sz w:val="24"/>
        </w:rPr>
        <w:t>8</w:t>
      </w:r>
      <w:r>
        <w:rPr>
          <w:sz w:val="24"/>
        </w:rPr>
        <w:t xml:space="preserve">. </w:t>
      </w:r>
      <w:r>
        <w:rPr>
          <w:sz w:val="24"/>
        </w:rPr>
        <w:t>Подрядчик</w:t>
      </w:r>
      <w:r>
        <w:rPr>
          <w:sz w:val="24"/>
        </w:rPr>
        <w:t xml:space="preserve"> обязан своевременно оформлять акты на скрытые работы, письменно извещая «</w:t>
      </w:r>
      <w:r>
        <w:rPr>
          <w:sz w:val="24"/>
        </w:rPr>
        <w:t>Заказчик</w:t>
      </w:r>
      <w:r>
        <w:rPr>
          <w:sz w:val="24"/>
        </w:rPr>
        <w:t xml:space="preserve">а» не менее чем за 3 (три) дня о времени освидетельствования скрытых работ. Выполнение последующих работ разрешается только после сдачи техническому надзору </w:t>
      </w:r>
      <w:r>
        <w:rPr>
          <w:sz w:val="24"/>
        </w:rPr>
        <w:t>Заказчик</w:t>
      </w:r>
      <w:r>
        <w:rPr>
          <w:sz w:val="24"/>
        </w:rPr>
        <w:t>а скрытых работ и удостоверения в их надлежащем качестве.</w:t>
      </w:r>
    </w:p>
    <w:p w14:paraId="27010000">
      <w:pPr>
        <w:pStyle w:val="Style_7"/>
        <w:widowControl w:val="1"/>
        <w:ind w:firstLine="709"/>
        <w:rPr>
          <w:sz w:val="24"/>
        </w:rPr>
      </w:pPr>
      <w:r>
        <w:rPr>
          <w:sz w:val="24"/>
        </w:rPr>
        <w:t>1</w:t>
      </w:r>
      <w:r>
        <w:rPr>
          <w:sz w:val="24"/>
        </w:rPr>
        <w:t>9</w:t>
      </w:r>
      <w:r>
        <w:rPr>
          <w:sz w:val="24"/>
        </w:rPr>
        <w:t>. По</w:t>
      </w:r>
      <w:r>
        <w:rPr>
          <w:sz w:val="24"/>
        </w:rPr>
        <w:t xml:space="preserve"> окончании</w:t>
      </w:r>
      <w:r>
        <w:rPr>
          <w:sz w:val="24"/>
        </w:rPr>
        <w:t xml:space="preserve"> </w:t>
      </w:r>
      <w:r>
        <w:rPr>
          <w:sz w:val="24"/>
        </w:rPr>
        <w:t>выполнения работ</w:t>
      </w:r>
      <w:r>
        <w:rPr>
          <w:sz w:val="24"/>
        </w:rPr>
        <w:t xml:space="preserve"> подписывается документ о приемке Исполнительные схемы</w:t>
      </w:r>
      <w:r>
        <w:rPr>
          <w:sz w:val="24"/>
        </w:rPr>
        <w:t>,</w:t>
      </w:r>
      <w:r>
        <w:rPr>
          <w:sz w:val="24"/>
        </w:rPr>
        <w:t xml:space="preserve"> акты скрытых работ</w:t>
      </w:r>
      <w:r>
        <w:rPr>
          <w:sz w:val="24"/>
        </w:rPr>
        <w:t>, сертификаты на материалы</w:t>
      </w:r>
      <w:r>
        <w:rPr>
          <w:sz w:val="24"/>
        </w:rPr>
        <w:t xml:space="preserve"> предоставляются </w:t>
      </w:r>
      <w:r>
        <w:rPr>
          <w:sz w:val="24"/>
        </w:rPr>
        <w:t>Заказчик</w:t>
      </w:r>
      <w:r>
        <w:rPr>
          <w:sz w:val="24"/>
        </w:rPr>
        <w:t>у.</w:t>
      </w:r>
    </w:p>
    <w:p w14:paraId="28010000">
      <w:pPr>
        <w:pStyle w:val="Style_7"/>
        <w:widowControl w:val="1"/>
        <w:ind w:firstLine="709"/>
        <w:rPr>
          <w:sz w:val="24"/>
        </w:rPr>
      </w:pPr>
      <w:r>
        <w:rPr>
          <w:sz w:val="24"/>
        </w:rPr>
        <w:t>20</w:t>
      </w:r>
      <w:r>
        <w:rPr>
          <w:sz w:val="24"/>
        </w:rPr>
        <w:t>. Работы должны быть выполнены в полном объеме в соответствии с Техническим заданием и Локальным сметным расчётом.</w:t>
      </w:r>
    </w:p>
    <w:p w14:paraId="29010000">
      <w:pPr>
        <w:pStyle w:val="Style_7"/>
        <w:widowControl w:val="1"/>
        <w:ind w:firstLine="709"/>
        <w:rPr>
          <w:sz w:val="24"/>
        </w:rPr>
      </w:pPr>
      <w:r>
        <w:rPr>
          <w:sz w:val="24"/>
        </w:rPr>
        <w:t>21</w:t>
      </w:r>
      <w:r>
        <w:rPr>
          <w:sz w:val="24"/>
        </w:rPr>
        <w:t>. При использовании в техническом задании</w:t>
      </w:r>
      <w:r>
        <w:rPr>
          <w:sz w:val="24"/>
        </w:rPr>
        <w:t xml:space="preserve"> или сметной документации указаний на товарные знаки подразумевать или «эквивалент». При применении «эквивалента» согласование и технологическую привязку к объекту </w:t>
      </w:r>
      <w:r>
        <w:rPr>
          <w:sz w:val="24"/>
        </w:rPr>
        <w:t>Подрядчик</w:t>
      </w:r>
      <w:r>
        <w:rPr>
          <w:sz w:val="24"/>
        </w:rPr>
        <w:t xml:space="preserve"> производит за свой счет.</w:t>
      </w:r>
    </w:p>
    <w:p w14:paraId="2A010000">
      <w:pPr>
        <w:widowControl w:val="1"/>
        <w:spacing w:after="0"/>
        <w:ind w:firstLine="709"/>
      </w:pPr>
      <w:r>
        <w:t>22</w:t>
      </w:r>
      <w:r>
        <w:t xml:space="preserve">. </w:t>
      </w:r>
      <w:r>
        <w:t xml:space="preserve">В случае если в рамках исполнения Контракта, предметом которого является выполнение работ по </w:t>
      </w:r>
      <w:r>
        <w:t>текущему</w:t>
      </w:r>
      <w:r>
        <w:t xml:space="preserve"> ремонту</w:t>
      </w:r>
      <w:r>
        <w:t xml:space="preserve"> </w:t>
      </w:r>
      <w:r>
        <w:t>объекта, предусматривается поставка товаров, в отношении которых Правительством Российской Федерации в соответствии со статьей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такой Контракт должен содержать отдельный перечень таких товаров.</w:t>
      </w:r>
    </w:p>
    <w:p w14:paraId="2B010000">
      <w:pPr>
        <w:widowControl w:val="1"/>
        <w:spacing w:after="0"/>
        <w:ind w:left="567"/>
        <w:rPr>
          <w:b w:val="1"/>
          <w:sz w:val="22"/>
        </w:rPr>
      </w:pPr>
    </w:p>
    <w:p w14:paraId="2C010000">
      <w:pPr>
        <w:widowControl w:val="1"/>
        <w:spacing w:after="0"/>
        <w:ind w:left="567"/>
      </w:pPr>
      <w:r>
        <w:rPr>
          <w:b w:val="1"/>
          <w:sz w:val="22"/>
        </w:rPr>
        <w:t>Требования к объемам работ и материалов.</w:t>
      </w:r>
    </w:p>
    <w:p w14:paraId="2D010000">
      <w:pPr>
        <w:widowControl w:val="1"/>
        <w:spacing w:after="0"/>
        <w:ind w:left="567"/>
      </w:pPr>
      <w:r>
        <w:rPr>
          <w:sz w:val="22"/>
        </w:rPr>
        <w:t>Работы должны быть выполнены в соответствии с Ведомостью объемов</w:t>
      </w:r>
      <w:r>
        <w:t xml:space="preserve"> </w:t>
      </w:r>
      <w:r>
        <w:rPr>
          <w:sz w:val="22"/>
        </w:rPr>
        <w:t>работ и материалов.</w:t>
      </w:r>
    </w:p>
    <w:p w14:paraId="2E010000">
      <w:pPr>
        <w:widowControl w:val="1"/>
        <w:spacing w:after="0" w:line="276" w:lineRule="auto"/>
        <w:ind/>
        <w:jc w:val="right"/>
        <w:rPr>
          <w:sz w:val="22"/>
        </w:rPr>
      </w:pPr>
    </w:p>
    <w:p w14:paraId="2F010000">
      <w:pPr>
        <w:widowControl w:val="1"/>
        <w:spacing w:after="0" w:line="276" w:lineRule="auto"/>
        <w:ind/>
        <w:jc w:val="right"/>
        <w:rPr>
          <w:sz w:val="22"/>
        </w:rPr>
      </w:pPr>
    </w:p>
    <w:p w14:paraId="30010000">
      <w:pPr>
        <w:widowControl w:val="1"/>
        <w:spacing w:after="0"/>
        <w:ind w:left="567"/>
        <w:jc w:val="center"/>
      </w:pPr>
      <w:r>
        <w:rPr>
          <w:b w:val="1"/>
          <w:sz w:val="22"/>
        </w:rPr>
        <w:t>Ведомость объемов работ и материалов</w:t>
      </w:r>
    </w:p>
    <w:tbl>
      <w:tblPr>
        <w:tblStyle w:val="Style_6"/>
        <w:tblW w:type="auto" w:w="0"/>
        <w:tblBorders>
          <w:top w:sz="4" w:val="nil"/>
          <w:left w:sz="4" w:val="nil"/>
          <w:bottom w:sz="4" w:val="nil"/>
          <w:right w:sz="4" w:val="nil"/>
        </w:tblBorders>
        <w:tblLayout w:type="fixed"/>
      </w:tblPr>
      <w:tblGrid>
        <w:gridCol w:w="676"/>
        <w:gridCol w:w="3916"/>
        <w:gridCol w:w="1019"/>
        <w:gridCol w:w="1068"/>
        <w:gridCol w:w="1526"/>
        <w:gridCol w:w="1149"/>
      </w:tblGrid>
      <w:tr>
        <w:trPr>
          <w:trHeight w:hRule="atLeast" w:val="20"/>
        </w:trPr>
        <w:tc>
          <w:tcPr>
            <w:tcW w:type="dxa" w:w="6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widowControl w:val="1"/>
              <w:spacing w:after="0"/>
              <w:ind/>
              <w:jc w:val="center"/>
            </w:pPr>
            <w:r>
              <w:rPr>
                <w:sz w:val="22"/>
              </w:rPr>
              <w:t>№ п/п</w:t>
            </w:r>
          </w:p>
        </w:tc>
        <w:tc>
          <w:tcPr>
            <w:tcW w:type="dxa" w:w="3916"/>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32010000">
            <w:pPr>
              <w:widowControl w:val="1"/>
              <w:spacing w:after="0"/>
              <w:ind/>
              <w:jc w:val="center"/>
            </w:pPr>
            <w:r>
              <w:rPr>
                <w:sz w:val="22"/>
              </w:rPr>
              <w:t>Наименование работ</w:t>
            </w:r>
          </w:p>
        </w:tc>
        <w:tc>
          <w:tcPr>
            <w:tcW w:type="dxa" w:w="1019"/>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33010000">
            <w:pPr>
              <w:widowControl w:val="1"/>
              <w:spacing w:after="0"/>
              <w:ind/>
              <w:jc w:val="center"/>
            </w:pPr>
            <w:r>
              <w:rPr>
                <w:sz w:val="22"/>
              </w:rPr>
              <w:t>Ед.</w:t>
            </w:r>
            <w:r>
              <w:br/>
            </w:r>
            <w:r>
              <w:rPr>
                <w:sz w:val="22"/>
              </w:rPr>
              <w:t> изм.</w:t>
            </w:r>
          </w:p>
        </w:tc>
        <w:tc>
          <w:tcPr>
            <w:tcW w:type="dxa" w:w="1068"/>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34010000">
            <w:pPr>
              <w:widowControl w:val="1"/>
              <w:spacing w:after="0"/>
              <w:ind/>
              <w:jc w:val="center"/>
            </w:pPr>
            <w:r>
              <w:rPr>
                <w:sz w:val="22"/>
              </w:rPr>
              <w:t>Кол-во</w:t>
            </w:r>
          </w:p>
        </w:tc>
        <w:tc>
          <w:tcPr>
            <w:tcW w:type="dxa" w:w="1526"/>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35010000">
            <w:pPr>
              <w:widowControl w:val="1"/>
              <w:spacing w:after="0"/>
              <w:ind/>
              <w:jc w:val="center"/>
              <w:rPr>
                <w:sz w:val="22"/>
              </w:rPr>
            </w:pPr>
            <w:r>
              <w:rPr>
                <w:sz w:val="22"/>
              </w:rPr>
              <w:t>Обоснование</w:t>
            </w:r>
          </w:p>
        </w:tc>
        <w:tc>
          <w:tcPr>
            <w:tcW w:type="dxa" w:w="1149"/>
            <w:tcBorders>
              <w:top w:color="000000" w:sz="4" w:val="single"/>
              <w:left w:sz="4" w:val="nil"/>
              <w:bottom w:color="000000" w:sz="4" w:val="single"/>
              <w:right w:color="000000" w:sz="4" w:val="single"/>
            </w:tcBorders>
            <w:tcMar>
              <w:top w:type="dxa" w:w="0"/>
              <w:left w:type="dxa" w:w="108"/>
              <w:bottom w:type="dxa" w:w="0"/>
              <w:right w:type="dxa" w:w="108"/>
            </w:tcMar>
            <w:vAlign w:val="center"/>
          </w:tcPr>
          <w:p w14:paraId="36010000">
            <w:pPr>
              <w:widowControl w:val="1"/>
              <w:spacing w:after="0"/>
              <w:ind/>
              <w:jc w:val="center"/>
              <w:rPr>
                <w:sz w:val="22"/>
              </w:rPr>
            </w:pPr>
            <w:r>
              <w:rPr>
                <w:sz w:val="22"/>
              </w:rPr>
              <w:t>Примечание</w:t>
            </w:r>
          </w:p>
        </w:tc>
      </w:tr>
      <w:tr>
        <w:trPr>
          <w:trHeight w:hRule="atLeast" w:val="298"/>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7010000">
            <w:pPr>
              <w:widowControl w:val="1"/>
              <w:spacing w:after="0"/>
              <w:ind/>
              <w:jc w:val="center"/>
            </w:pPr>
            <w:r>
              <w:rPr>
                <w:sz w:val="22"/>
              </w:rPr>
              <w:t>1</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38010000">
            <w:pPr>
              <w:widowControl w:val="1"/>
              <w:spacing w:after="0"/>
              <w:ind/>
              <w:jc w:val="center"/>
            </w:pPr>
            <w:r>
              <w:rPr>
                <w:sz w:val="22"/>
              </w:rPr>
              <w:t>2</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39010000">
            <w:pPr>
              <w:widowControl w:val="1"/>
              <w:spacing w:after="0"/>
              <w:ind/>
              <w:jc w:val="center"/>
            </w:pPr>
            <w:r>
              <w:rPr>
                <w:sz w:val="22"/>
              </w:rPr>
              <w:t>3</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3A010000">
            <w:pPr>
              <w:widowControl w:val="1"/>
              <w:spacing w:after="0"/>
              <w:ind/>
              <w:jc w:val="center"/>
            </w:pPr>
            <w:r>
              <w:rPr>
                <w:sz w:val="22"/>
              </w:rPr>
              <w:t>4</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3B010000">
            <w:pPr>
              <w:widowControl w:val="1"/>
              <w:spacing w:after="0"/>
              <w:ind/>
              <w:jc w:val="center"/>
            </w:pPr>
            <w:r>
              <w:rPr>
                <w:sz w:val="22"/>
              </w:rPr>
              <w:t>5</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3C010000">
            <w:pPr>
              <w:widowControl w:val="1"/>
              <w:spacing w:after="0"/>
              <w:ind/>
              <w:jc w:val="center"/>
              <w:rPr>
                <w:sz w:val="22"/>
              </w:rPr>
            </w:pPr>
            <w:r>
              <w:rPr>
                <w:sz w:val="22"/>
              </w:rPr>
              <w:t>6</w:t>
            </w:r>
          </w:p>
        </w:tc>
      </w:tr>
      <w:tr>
        <w:trPr>
          <w:trHeight w:hRule="atLeast" w:val="362"/>
        </w:trPr>
        <w:tc>
          <w:tcPr>
            <w:tcW w:type="dxa" w:w="9354"/>
            <w:gridSpan w:val="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10000">
            <w:pPr>
              <w:widowControl w:val="1"/>
              <w:spacing w:after="0"/>
              <w:ind/>
            </w:pPr>
            <w:r>
              <w:rPr>
                <w:b w:val="1"/>
                <w:sz w:val="22"/>
              </w:rPr>
              <w:t>Раздел 1. Демонтажные работы</w:t>
            </w: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3E010000">
            <w:pPr>
              <w:widowControl w:val="1"/>
              <w:spacing w:after="0"/>
              <w:ind/>
              <w:jc w:val="center"/>
            </w:pPr>
            <w:r>
              <w:rPr>
                <w:sz w:val="22"/>
              </w:rPr>
              <w:t>1</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3F010000">
            <w:pPr>
              <w:widowControl w:val="1"/>
              <w:spacing w:after="0"/>
              <w:ind w:left="108" w:right="108"/>
            </w:pPr>
            <w:r>
              <w:t>Разборка полов из керамических плиток</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40010000">
            <w:pPr>
              <w:widowControl w:val="1"/>
              <w:spacing w:after="0"/>
              <w:ind w:left="108" w:right="108"/>
              <w:jc w:val="center"/>
              <w:rPr>
                <w:sz w:val="22"/>
              </w:rPr>
            </w:pPr>
            <w:r>
              <w:rPr>
                <w:sz w:val="22"/>
              </w:rPr>
              <w:t>100 кв.м.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41010000">
            <w:pPr>
              <w:widowControl w:val="1"/>
              <w:spacing w:after="0"/>
              <w:ind w:left="108" w:right="108"/>
              <w:jc w:val="center"/>
            </w:pPr>
            <w:r>
              <w:t>0,05</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42010000">
            <w:pPr>
              <w:widowControl w:val="1"/>
              <w:spacing w:after="0"/>
              <w:ind w:left="108" w:right="108"/>
              <w:rPr>
                <w:sz w:val="22"/>
              </w:rPr>
            </w:pPr>
            <w:r>
              <w:rPr>
                <w:sz w:val="22"/>
              </w:rPr>
              <w:t>ГЭСНр57-01-002-03</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43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4010000">
            <w:pPr>
              <w:widowControl w:val="1"/>
              <w:spacing w:after="0"/>
              <w:ind/>
              <w:jc w:val="center"/>
            </w:pPr>
            <w:r>
              <w:rPr>
                <w:sz w:val="22"/>
              </w:rPr>
              <w:t>2</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45010000">
            <w:pPr>
              <w:widowControl w:val="1"/>
              <w:spacing w:after="0"/>
              <w:ind w:left="108" w:right="108"/>
            </w:pPr>
            <w:r>
              <w:t>Разборка трубопроводов из водогазопроводных труб в зданиях и сооружениях на сварке диаметром до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46010000">
            <w:pPr>
              <w:widowControl w:val="1"/>
              <w:spacing w:after="0"/>
              <w:ind w:left="108" w:right="108"/>
              <w:jc w:val="center"/>
              <w:rPr>
                <w:sz w:val="22"/>
              </w:rPr>
            </w:pPr>
            <w:r>
              <w:rPr>
                <w:sz w:val="22"/>
              </w:rPr>
              <w:t>100 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47010000">
            <w:pPr>
              <w:widowControl w:val="1"/>
              <w:spacing w:after="0"/>
              <w:ind w:left="108" w:right="108"/>
              <w:jc w:val="center"/>
            </w:pPr>
            <w:r>
              <w:t>0,1</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48010000">
            <w:pPr>
              <w:widowControl w:val="1"/>
              <w:spacing w:after="0"/>
              <w:ind w:left="108" w:right="108"/>
              <w:rPr>
                <w:sz w:val="22"/>
              </w:rPr>
            </w:pPr>
            <w:r>
              <w:rPr>
                <w:sz w:val="22"/>
              </w:rPr>
              <w:t>ГЭСНр65-02-003-04</w:t>
            </w:r>
          </w:p>
          <w:p w14:paraId="49010000">
            <w:pPr>
              <w:widowControl w:val="1"/>
              <w:spacing w:after="0"/>
              <w:ind w:left="108" w:right="108"/>
            </w:pP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4A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4B010000">
            <w:pPr>
              <w:widowControl w:val="1"/>
              <w:spacing w:after="0"/>
              <w:ind/>
              <w:jc w:val="center"/>
            </w:pPr>
            <w:r>
              <w:rPr>
                <w:sz w:val="22"/>
              </w:rPr>
              <w:t>3</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4C010000">
            <w:pPr>
              <w:widowControl w:val="1"/>
              <w:spacing w:after="0"/>
              <w:ind w:left="108" w:right="108"/>
            </w:pPr>
            <w:r>
              <w:t>Прокладка внутренних трубопроводов водоснабжения и оттопления из многослойных полипропиленовых труб, из заранее собранных узлов, наружным диаметром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4D010000">
            <w:pPr>
              <w:widowControl w:val="1"/>
              <w:spacing w:after="0"/>
              <w:ind w:left="108" w:right="108"/>
              <w:jc w:val="center"/>
              <w:rPr>
                <w:sz w:val="22"/>
              </w:rPr>
            </w:pPr>
            <w:r>
              <w:rPr>
                <w:sz w:val="22"/>
              </w:rPr>
              <w:t>100 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4E010000">
            <w:pPr>
              <w:widowControl w:val="1"/>
              <w:spacing w:after="0"/>
              <w:ind w:left="108" w:right="108"/>
              <w:jc w:val="center"/>
            </w:pPr>
            <w:r>
              <w:t>0,1</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4F010000">
            <w:pPr>
              <w:widowControl w:val="1"/>
              <w:spacing w:after="0"/>
              <w:ind w:left="108" w:right="108"/>
            </w:pPr>
            <w:r>
              <w:t>ГЭСН 16-04-005-05</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50010000">
            <w:pPr>
              <w:widowControl w:val="1"/>
              <w:spacing w:after="0"/>
              <w:ind w:left="108" w:right="108"/>
            </w:pPr>
          </w:p>
        </w:tc>
      </w:tr>
      <w:tr>
        <w:trPr>
          <w:trHeight w:hRule="atLeast" w:val="346"/>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1010000">
            <w:pPr>
              <w:widowControl w:val="1"/>
              <w:spacing w:after="0"/>
              <w:ind/>
              <w:jc w:val="center"/>
            </w:pPr>
            <w:r>
              <w:rPr>
                <w:sz w:val="22"/>
              </w:rPr>
              <w:t>4</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52010000">
            <w:pPr>
              <w:widowControl w:val="1"/>
              <w:spacing w:after="0"/>
              <w:ind w:left="108" w:right="108"/>
            </w:pPr>
            <w:r>
              <w:t>Разборка кладки стен: облегченной конструкции из кирпича</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53010000">
            <w:pPr>
              <w:widowControl w:val="1"/>
              <w:spacing w:after="0"/>
              <w:ind w:left="108" w:right="108"/>
              <w:jc w:val="center"/>
              <w:rPr>
                <w:sz w:val="22"/>
              </w:rPr>
            </w:pPr>
            <w:r>
              <w:rPr>
                <w:sz w:val="22"/>
              </w:rPr>
              <w:t>10 куб.м.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54010000">
            <w:pPr>
              <w:widowControl w:val="1"/>
              <w:spacing w:after="0"/>
              <w:ind w:left="108" w:right="108"/>
              <w:jc w:val="center"/>
            </w:pPr>
            <w:r>
              <w:t>0,02</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55010000">
            <w:pPr>
              <w:widowControl w:val="1"/>
              <w:spacing w:after="0"/>
              <w:ind w:left="108" w:right="108"/>
            </w:pPr>
            <w:r>
              <w:t>ГЭСНр53-01-025-01</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56010000">
            <w:pPr>
              <w:widowControl w:val="1"/>
              <w:spacing w:after="0"/>
              <w:ind w:left="108" w:right="108"/>
            </w:pPr>
          </w:p>
        </w:tc>
      </w:tr>
      <w:tr>
        <w:trPr>
          <w:trHeight w:hRule="atLeast" w:val="20"/>
        </w:trPr>
        <w:tc>
          <w:tcPr>
            <w:tcW w:type="dxa" w:w="9354"/>
            <w:gridSpan w:val="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7010000">
            <w:pPr>
              <w:widowControl w:val="1"/>
              <w:spacing w:after="0"/>
              <w:ind/>
            </w:pPr>
            <w:r>
              <w:rPr>
                <w:b w:val="1"/>
                <w:sz w:val="22"/>
              </w:rPr>
              <w:t>Раздел 2. Монтажные работы</w:t>
            </w: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8010000">
            <w:pPr>
              <w:widowControl w:val="1"/>
              <w:spacing w:after="0"/>
              <w:ind w:left="108" w:right="108"/>
            </w:pPr>
            <w:r>
              <w:t>5</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59010000">
            <w:pPr>
              <w:widowControl w:val="1"/>
              <w:spacing w:after="0"/>
              <w:ind w:left="108" w:right="108"/>
            </w:pPr>
            <w:r>
              <w:t>Прокладка трубопроводов  отопления и водоснабжения из стальных электросварных труб диаметром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5A010000">
            <w:pPr>
              <w:widowControl w:val="1"/>
              <w:spacing w:after="0"/>
              <w:ind w:left="108" w:right="108"/>
              <w:jc w:val="center"/>
            </w:pPr>
            <w:r>
              <w:rPr>
                <w:sz w:val="22"/>
              </w:rPr>
              <w:t>100 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5B010000">
            <w:pPr>
              <w:widowControl w:val="1"/>
              <w:spacing w:after="0"/>
              <w:ind w:left="108" w:right="108"/>
              <w:jc w:val="center"/>
            </w:pPr>
            <w:r>
              <w:t>0,1</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5C010000">
            <w:pPr>
              <w:widowControl w:val="1"/>
              <w:spacing w:after="0"/>
              <w:ind w:left="108" w:right="108"/>
            </w:pPr>
            <w:r>
              <w:t>ГЭСН 16-02-005-02</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5D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5E010000">
            <w:pPr>
              <w:widowControl w:val="1"/>
              <w:spacing w:after="0"/>
              <w:ind w:left="108" w:right="108"/>
            </w:pPr>
            <w:r>
              <w:t>6</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5F010000">
            <w:pPr>
              <w:widowControl w:val="1"/>
              <w:spacing w:after="0"/>
              <w:ind w:left="108" w:right="108"/>
            </w:pPr>
            <w:r>
              <w:t>Трубы стальные электросварные прямошовные из стали марки 20, наружный диаметр 57 мм, толщина стенки 4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60010000">
            <w:pPr>
              <w:widowControl w:val="1"/>
              <w:spacing w:after="0"/>
              <w:ind w:left="108" w:right="108"/>
              <w:jc w:val="center"/>
            </w:pPr>
            <w:r>
              <w:t>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61010000">
            <w:pPr>
              <w:widowControl w:val="1"/>
              <w:spacing w:after="0"/>
              <w:ind w:left="108" w:right="108"/>
              <w:jc w:val="center"/>
            </w:pPr>
            <w:r>
              <w:t>10</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62010000">
            <w:pPr>
              <w:widowControl w:val="1"/>
              <w:spacing w:after="0"/>
              <w:ind w:left="108" w:right="108"/>
            </w:pPr>
            <w:r>
              <w:t>ФСБЦ-23.5.02.02-1144</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63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64010000">
            <w:pPr>
              <w:widowControl w:val="1"/>
              <w:spacing w:after="0"/>
              <w:ind w:left="108" w:right="108"/>
            </w:pPr>
            <w:r>
              <w:t>7</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65010000">
            <w:pPr>
              <w:widowControl w:val="1"/>
              <w:spacing w:after="0"/>
              <w:ind w:left="108" w:right="108"/>
            </w:pPr>
            <w:r>
              <w:t>Отвод 90" с радиусом кривизны R=1,5 Ду на давление  до 16 МПа, номинальный диаметр 50 мм, наружный диаметр 57 мм, толщина стенки 4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66010000">
            <w:pPr>
              <w:widowControl w:val="1"/>
              <w:spacing w:after="0"/>
              <w:ind w:left="108" w:right="108"/>
              <w:jc w:val="center"/>
            </w:pPr>
            <w:r>
              <w:t xml:space="preserve">шт </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67010000">
            <w:pPr>
              <w:widowControl w:val="1"/>
              <w:spacing w:after="0"/>
              <w:ind w:left="108" w:right="108"/>
              <w:jc w:val="center"/>
            </w:pPr>
            <w:r>
              <w:t>10</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68010000">
            <w:pPr>
              <w:widowControl w:val="1"/>
              <w:spacing w:after="0"/>
              <w:ind w:left="108" w:right="108"/>
            </w:pPr>
            <w:r>
              <w:t>ФСБЦ-23.8.04.06-0064</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69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6A010000">
            <w:pPr>
              <w:widowControl w:val="1"/>
              <w:spacing w:after="0"/>
              <w:ind w:left="108" w:right="108"/>
            </w:pPr>
            <w:r>
              <w:t>8</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6B010000">
            <w:pPr>
              <w:widowControl w:val="1"/>
              <w:spacing w:after="0"/>
              <w:ind w:left="108" w:right="108"/>
            </w:pPr>
            <w:r>
              <w:t>Прокладка внутренних трубопроводов водоснабжения и отопления из многослойных полипропиленовых труб, из заранее собранных узлов, наружным диаметром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6C010000">
            <w:pPr>
              <w:widowControl w:val="1"/>
              <w:spacing w:after="0"/>
              <w:ind w:left="108" w:right="108"/>
              <w:jc w:val="center"/>
            </w:pPr>
            <w:r>
              <w:rPr>
                <w:sz w:val="22"/>
              </w:rPr>
              <w:t>100 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6D010000">
            <w:pPr>
              <w:widowControl w:val="1"/>
              <w:spacing w:after="0"/>
              <w:ind w:left="108" w:right="108"/>
              <w:jc w:val="center"/>
            </w:pPr>
            <w:r>
              <w:t>0,1</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6E010000">
            <w:pPr>
              <w:widowControl w:val="1"/>
              <w:spacing w:after="0"/>
              <w:ind w:left="108" w:right="108"/>
            </w:pPr>
            <w:r>
              <w:t>ГЭСН 16-04-005-05</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6F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70010000">
            <w:pPr>
              <w:widowControl w:val="1"/>
              <w:spacing w:after="0"/>
              <w:ind w:left="108" w:right="108"/>
            </w:pPr>
            <w:r>
              <w:t xml:space="preserve">9 </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71010000">
            <w:pPr>
              <w:widowControl w:val="1"/>
              <w:spacing w:after="0"/>
              <w:ind w:left="108" w:right="108"/>
            </w:pPr>
            <w:r>
              <w:t>Муфта полипропиленовая соединительная, номинальный наружний диаметр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72010000">
            <w:pPr>
              <w:widowControl w:val="1"/>
              <w:spacing w:after="0"/>
              <w:ind w:left="108" w:right="108"/>
              <w:jc w:val="center"/>
            </w:pPr>
            <w:r>
              <w:t>шт</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73010000">
            <w:pPr>
              <w:widowControl w:val="1"/>
              <w:spacing w:after="0"/>
              <w:ind w:left="108" w:right="108"/>
              <w:jc w:val="center"/>
            </w:pPr>
            <w:r>
              <w:t>2</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74010000">
            <w:pPr>
              <w:widowControl w:val="1"/>
              <w:spacing w:after="0"/>
              <w:ind w:left="108" w:right="108"/>
            </w:pPr>
            <w:r>
              <w:t>ФСБЦ- 24.3.05.07-0155</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75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76010000">
            <w:pPr>
              <w:widowControl w:val="1"/>
              <w:spacing w:after="0"/>
              <w:ind w:left="108" w:right="108"/>
            </w:pPr>
            <w:r>
              <w:t>10</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77010000">
            <w:pPr>
              <w:widowControl w:val="1"/>
              <w:spacing w:after="0"/>
              <w:ind w:left="108" w:right="108"/>
            </w:pPr>
            <w:r>
              <w:t>Сборка узла трубопровода водоснабжения и отопления из многослойного полипропилена, армированного стекловолокном, раструбная сварка, наружный диаметр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78010000">
            <w:pPr>
              <w:widowControl w:val="1"/>
              <w:spacing w:after="0"/>
              <w:ind w:left="108" w:right="108"/>
              <w:jc w:val="center"/>
            </w:pPr>
            <w:r>
              <w:t>100 соединений</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79010000">
            <w:pPr>
              <w:widowControl w:val="1"/>
              <w:spacing w:after="0"/>
              <w:ind w:left="108" w:right="108"/>
              <w:jc w:val="center"/>
            </w:pPr>
            <w:r>
              <w:t>0,04</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7A010000">
            <w:pPr>
              <w:widowControl w:val="1"/>
              <w:spacing w:after="0"/>
              <w:ind w:left="108" w:right="108"/>
            </w:pPr>
            <w:r>
              <w:t>ГЭСН 16-04-006-05</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7B010000">
            <w:pPr>
              <w:widowControl w:val="1"/>
              <w:spacing w:after="0"/>
              <w:ind w:left="108" w:right="108"/>
            </w:pPr>
          </w:p>
        </w:tc>
      </w:tr>
      <w:tr>
        <w:trPr>
          <w:trHeight w:hRule="atLeast" w:val="20"/>
        </w:trPr>
        <w:tc>
          <w:tcPr>
            <w:tcW w:type="dxa" w:w="676"/>
            <w:tcBorders>
              <w:top w:sz="4" w:val="nil"/>
              <w:left w:color="000000" w:sz="4" w:val="single"/>
              <w:bottom w:color="000000" w:sz="4" w:val="single"/>
              <w:right w:color="000000" w:sz="4" w:val="single"/>
            </w:tcBorders>
            <w:tcMar>
              <w:top w:type="dxa" w:w="0"/>
              <w:left w:type="dxa" w:w="108"/>
              <w:bottom w:type="dxa" w:w="0"/>
              <w:right w:type="dxa" w:w="108"/>
            </w:tcMar>
            <w:vAlign w:val="center"/>
          </w:tcPr>
          <w:p w14:paraId="7C010000">
            <w:pPr>
              <w:widowControl w:val="1"/>
              <w:spacing w:after="0"/>
              <w:ind w:left="108" w:right="108"/>
            </w:pPr>
            <w:r>
              <w:t>11</w:t>
            </w:r>
          </w:p>
        </w:tc>
        <w:tc>
          <w:tcPr>
            <w:tcW w:type="dxa" w:w="3916"/>
            <w:tcBorders>
              <w:top w:sz="4" w:val="nil"/>
              <w:left w:sz="4" w:val="nil"/>
              <w:bottom w:color="000000" w:sz="4" w:val="single"/>
              <w:right w:color="000000" w:sz="4" w:val="single"/>
            </w:tcBorders>
            <w:tcMar>
              <w:top w:type="dxa" w:w="0"/>
              <w:left w:type="dxa" w:w="108"/>
              <w:bottom w:type="dxa" w:w="0"/>
              <w:right w:type="dxa" w:w="108"/>
            </w:tcMar>
            <w:vAlign w:val="center"/>
          </w:tcPr>
          <w:p w14:paraId="7D010000">
            <w:pPr>
              <w:widowControl w:val="1"/>
              <w:spacing w:after="0"/>
              <w:ind w:left="108" w:right="108"/>
            </w:pPr>
            <w:r>
              <w:t>Гидравлическое испытание трубопроводов системы отопления, водопрвода и горячего водоснабжения диаметром до 50 мм</w:t>
            </w:r>
          </w:p>
        </w:tc>
        <w:tc>
          <w:tcPr>
            <w:tcW w:type="dxa" w:w="1019"/>
            <w:tcBorders>
              <w:top w:sz="4" w:val="nil"/>
              <w:left w:sz="4" w:val="nil"/>
              <w:bottom w:color="000000" w:sz="4" w:val="single"/>
              <w:right w:color="000000" w:sz="4" w:val="single"/>
            </w:tcBorders>
            <w:tcMar>
              <w:top w:type="dxa" w:w="0"/>
              <w:left w:type="dxa" w:w="108"/>
              <w:bottom w:type="dxa" w:w="0"/>
              <w:right w:type="dxa" w:w="108"/>
            </w:tcMar>
            <w:vAlign w:val="center"/>
          </w:tcPr>
          <w:p w14:paraId="7E010000">
            <w:pPr>
              <w:widowControl w:val="1"/>
              <w:spacing w:after="0"/>
              <w:ind w:left="108" w:right="108"/>
              <w:jc w:val="center"/>
            </w:pPr>
            <w:r>
              <w:t>100 м</w:t>
            </w:r>
          </w:p>
        </w:tc>
        <w:tc>
          <w:tcPr>
            <w:tcW w:type="dxa" w:w="1068"/>
            <w:tcBorders>
              <w:top w:sz="4" w:val="nil"/>
              <w:left w:sz="4" w:val="nil"/>
              <w:bottom w:color="000000" w:sz="4" w:val="single"/>
              <w:right w:color="000000" w:sz="4" w:val="single"/>
            </w:tcBorders>
            <w:tcMar>
              <w:top w:type="dxa" w:w="0"/>
              <w:left w:type="dxa" w:w="108"/>
              <w:bottom w:type="dxa" w:w="0"/>
              <w:right w:type="dxa" w:w="108"/>
            </w:tcMar>
            <w:vAlign w:val="center"/>
          </w:tcPr>
          <w:p w14:paraId="7F010000">
            <w:pPr>
              <w:widowControl w:val="1"/>
              <w:spacing w:after="0"/>
              <w:ind w:left="108" w:right="108"/>
              <w:jc w:val="center"/>
            </w:pPr>
            <w:r>
              <w:t>0,2</w:t>
            </w:r>
          </w:p>
        </w:tc>
        <w:tc>
          <w:tcPr>
            <w:tcW w:type="dxa" w:w="1526"/>
            <w:tcBorders>
              <w:top w:sz="4" w:val="nil"/>
              <w:left w:sz="4" w:val="nil"/>
              <w:bottom w:color="000000" w:sz="4" w:val="single"/>
              <w:right w:color="000000" w:sz="4" w:val="single"/>
            </w:tcBorders>
            <w:tcMar>
              <w:top w:type="dxa" w:w="0"/>
              <w:left w:type="dxa" w:w="108"/>
              <w:bottom w:type="dxa" w:w="0"/>
              <w:right w:type="dxa" w:w="108"/>
            </w:tcMar>
            <w:vAlign w:val="center"/>
          </w:tcPr>
          <w:p w14:paraId="80010000">
            <w:pPr>
              <w:widowControl w:val="1"/>
              <w:spacing w:after="0"/>
              <w:ind w:left="108" w:right="108"/>
            </w:pPr>
            <w:r>
              <w:t>ГЭСН 16-07-005-01</w:t>
            </w:r>
          </w:p>
        </w:tc>
        <w:tc>
          <w:tcPr>
            <w:tcW w:type="dxa" w:w="1149"/>
            <w:tcBorders>
              <w:top w:sz="4" w:val="nil"/>
              <w:left w:sz="4" w:val="nil"/>
              <w:bottom w:color="000000" w:sz="4" w:val="single"/>
              <w:right w:color="000000" w:sz="4" w:val="single"/>
            </w:tcBorders>
            <w:tcMar>
              <w:top w:type="dxa" w:w="0"/>
              <w:left w:type="dxa" w:w="108"/>
              <w:bottom w:type="dxa" w:w="0"/>
              <w:right w:type="dxa" w:w="108"/>
            </w:tcMar>
            <w:vAlign w:val="center"/>
          </w:tcPr>
          <w:p w14:paraId="81010000">
            <w:pPr>
              <w:widowControl w:val="1"/>
              <w:spacing w:after="0"/>
              <w:ind w:left="108" w:right="108"/>
            </w:pPr>
          </w:p>
        </w:tc>
      </w:tr>
    </w:tbl>
    <w:p w14:paraId="82010000">
      <w:pPr>
        <w:widowControl w:val="1"/>
        <w:spacing w:after="0" w:line="276" w:lineRule="auto"/>
        <w:ind/>
        <w:jc w:val="center"/>
        <w:rPr>
          <w:b w:val="1"/>
          <w:sz w:val="22"/>
        </w:rPr>
      </w:pPr>
      <w:r>
        <w:rPr>
          <w:b w:val="1"/>
          <w:sz w:val="22"/>
        </w:rPr>
        <w:t xml:space="preserve"> </w:t>
      </w:r>
    </w:p>
    <w:p w14:paraId="83010000">
      <w:pPr>
        <w:widowControl w:val="1"/>
        <w:spacing w:after="0"/>
        <w:ind w:firstLine="284"/>
        <w:rPr>
          <w:sz w:val="22"/>
        </w:rPr>
      </w:pPr>
    </w:p>
    <w:p w14:paraId="84010000">
      <w:pPr>
        <w:widowControl w:val="1"/>
        <w:spacing w:after="0"/>
        <w:ind w:firstLine="284"/>
        <w:rPr>
          <w:sz w:val="22"/>
        </w:rPr>
      </w:pPr>
    </w:p>
    <w:p w14:paraId="85010000">
      <w:pPr>
        <w:widowControl w:val="1"/>
        <w:spacing w:after="0"/>
        <w:ind w:firstLine="284"/>
        <w:rPr>
          <w:sz w:val="22"/>
        </w:rPr>
      </w:pPr>
    </w:p>
    <w:p w14:paraId="86010000">
      <w:pPr>
        <w:widowControl w:val="1"/>
        <w:spacing w:after="0"/>
        <w:ind w:firstLine="284"/>
        <w:rPr>
          <w:sz w:val="22"/>
        </w:rPr>
      </w:pPr>
    </w:p>
    <w:p w14:paraId="87010000">
      <w:pPr>
        <w:widowControl w:val="1"/>
        <w:spacing w:after="0"/>
        <w:ind w:firstLine="284"/>
        <w:rPr>
          <w:sz w:val="22"/>
        </w:rPr>
      </w:pPr>
    </w:p>
    <w:p w14:paraId="88010000">
      <w:pPr>
        <w:widowControl w:val="1"/>
        <w:spacing w:after="0"/>
        <w:ind w:firstLine="284"/>
        <w:rPr>
          <w:sz w:val="22"/>
        </w:rPr>
      </w:pPr>
    </w:p>
    <w:p w14:paraId="89010000">
      <w:pPr>
        <w:widowControl w:val="1"/>
        <w:spacing w:after="0"/>
        <w:ind w:firstLine="284"/>
        <w:rPr>
          <w:sz w:val="22"/>
        </w:rPr>
      </w:pPr>
    </w:p>
    <w:p w14:paraId="8A010000">
      <w:pPr>
        <w:widowControl w:val="1"/>
        <w:spacing w:after="0"/>
        <w:ind w:firstLine="284"/>
        <w:rPr>
          <w:sz w:val="22"/>
        </w:rPr>
      </w:pPr>
    </w:p>
    <w:p w14:paraId="8B010000">
      <w:pPr>
        <w:widowControl w:val="1"/>
        <w:spacing w:after="0"/>
        <w:ind w:firstLine="284"/>
        <w:rPr>
          <w:sz w:val="22"/>
        </w:rPr>
      </w:pPr>
    </w:p>
    <w:p w14:paraId="8C010000">
      <w:pPr>
        <w:widowControl w:val="1"/>
        <w:spacing w:after="0"/>
        <w:ind w:firstLine="284"/>
        <w:rPr>
          <w:sz w:val="22"/>
        </w:rPr>
      </w:pPr>
    </w:p>
    <w:p w14:paraId="8D010000">
      <w:pPr>
        <w:widowControl w:val="1"/>
        <w:spacing w:after="0" w:line="264" w:lineRule="auto"/>
        <w:ind/>
        <w:jc w:val="right"/>
        <w:rPr>
          <w:sz w:val="22"/>
        </w:rPr>
      </w:pPr>
      <w:r>
        <w:rPr>
          <w:sz w:val="22"/>
        </w:rPr>
        <w:t>Приложение № 2</w:t>
      </w:r>
    </w:p>
    <w:p w14:paraId="8E010000">
      <w:pPr>
        <w:widowControl w:val="1"/>
        <w:spacing w:after="0" w:line="276" w:lineRule="auto"/>
        <w:ind/>
        <w:jc w:val="right"/>
        <w:rPr>
          <w:sz w:val="22"/>
        </w:rPr>
      </w:pPr>
      <w:r>
        <w:rPr>
          <w:sz w:val="22"/>
        </w:rPr>
        <w:t>к Контракту № _____ от «___» ________ 2026 г.</w:t>
      </w:r>
    </w:p>
    <w:p w14:paraId="8F010000">
      <w:pPr>
        <w:widowControl w:val="1"/>
        <w:spacing w:after="0" w:line="276" w:lineRule="auto"/>
        <w:ind/>
        <w:jc w:val="center"/>
        <w:rPr>
          <w:b w:val="1"/>
          <w:sz w:val="22"/>
        </w:rPr>
      </w:pPr>
      <w:r>
        <w:rPr>
          <w:b w:val="1"/>
          <w:sz w:val="22"/>
        </w:rPr>
        <w:t xml:space="preserve">Локальный сметный расчет. </w:t>
      </w:r>
    </w:p>
    <w:p w14:paraId="90010000">
      <w:pPr>
        <w:widowControl w:val="1"/>
        <w:spacing w:after="0" w:line="276" w:lineRule="auto"/>
        <w:ind/>
        <w:jc w:val="center"/>
        <w:rPr>
          <w:i w:val="1"/>
          <w:sz w:val="22"/>
        </w:rPr>
      </w:pPr>
      <w:r>
        <w:rPr>
          <w:i w:val="1"/>
          <w:sz w:val="22"/>
        </w:rPr>
        <w:t xml:space="preserve">(В объеме ЛСР № 1 с учетом коэффициента снижения.) </w:t>
      </w:r>
    </w:p>
    <w:p w14:paraId="91010000">
      <w:pPr>
        <w:widowControl w:val="1"/>
        <w:spacing w:after="0"/>
        <w:ind w:firstLine="284"/>
        <w:rPr>
          <w:sz w:val="22"/>
        </w:rPr>
      </w:pPr>
    </w:p>
    <w:sectPr>
      <w:headerReference r:id="rId1" w:type="default"/>
      <w:pgSz w:h="16838" w:orient="portrait" w:w="11906"/>
      <w:pgMar w:bottom="1134" w:footer="709" w:gutter="0" w:header="567" w:left="1701" w:right="851" w:top="1134"/>
      <w:titlePg/>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95010000">
      <w:pPr>
        <w:widowControl w:val="1"/>
        <w:spacing w:after="0"/>
        <w:ind/>
      </w:pPr>
      <w:r>
        <w:separator/>
      </w:r>
    </w:p>
  </w:endnote>
  <w:endnote w:id="0" w:type="continuationSeparator">
    <w:p w14:paraId="96010000">
      <w:pPr>
        <w:widowControl w:val="1"/>
        <w:spacing w:after="0"/>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92010000">
      <w:pPr>
        <w:widowControl w:val="1"/>
        <w:spacing w:after="0"/>
        <w:ind/>
      </w:pPr>
      <w:r>
        <w:separator/>
      </w:r>
    </w:p>
  </w:footnote>
  <w:footnote w:id="0" w:type="continuationSeparator">
    <w:p w14:paraId="93010000">
      <w:pPr>
        <w:widowControl w:val="1"/>
        <w:spacing w:after="0"/>
        <w:ind/>
      </w:pPr>
      <w:r>
        <w:continuationSeparator/>
      </w:r>
    </w:p>
  </w:footnote>
  <w:footnote w:id="1">
    <w:p w14:paraId="94010000">
      <w:pPr>
        <w:pStyle w:val="Style_128"/>
        <w:rPr>
          <w:sz w:val="18"/>
        </w:rPr>
      </w:pPr>
      <w:r>
        <w:rPr>
          <w:sz w:val="18"/>
          <w:vertAlign w:val="superscript"/>
        </w:rPr>
        <w:footnoteRef/>
      </w:r>
      <w:r>
        <w:rPr>
          <w:rStyle w:val="Style_4_ch"/>
          <w:sz w:val="18"/>
        </w:rPr>
        <w:t xml:space="preserve">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контрактом или обычаями делового оборота (пункт 2 статьи 724 ГК РФ). </w:t>
      </w:r>
    </w:p>
  </w:footnote>
</w:footnote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lvlJc w:val="left"/>
      <w:pPr>
        <w:widowControl w:val="0"/>
        <w:ind w:hanging="360" w:left="720"/>
      </w:pPr>
      <w:rPr>
        <w:rFonts w:ascii="Symbol" w:hAnsi="Symbol"/>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Symbol" w:hAnsi="Symbol"/>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Symbol" w:hAnsi="Symbol"/>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1">
    <w:lvl w:ilvl="0">
      <w:numFmt w:val="bullet"/>
      <w:lvlText w:val="-"/>
      <w:lvlJc w:val="left"/>
      <w:pPr>
        <w:widowControl w:val="0"/>
        <w:ind w:hanging="360" w:left="720"/>
      </w:pPr>
      <w:rPr>
        <w:rFonts w:ascii="Calibri" w:hAnsi="Calibri"/>
      </w:rPr>
    </w:lvl>
    <w:lvl w:ilvl="1">
      <w:numFmt w:val="bullet"/>
      <w:lvlText w:val="o"/>
      <w:lvlJc w:val="left"/>
      <w:pPr>
        <w:widowControl w:val="0"/>
        <w:ind w:hanging="360" w:left="1440"/>
      </w:pPr>
      <w:rPr>
        <w:rFonts w:ascii="Courier New" w:hAnsi="Courier New"/>
      </w:rPr>
    </w:lvl>
    <w:lvl w:ilvl="2">
      <w:numFmt w:val="bullet"/>
      <w:lvlText w:val=""/>
      <w:lvlJc w:val="left"/>
      <w:pPr>
        <w:widowControl w:val="0"/>
        <w:ind w:hanging="360" w:left="2160"/>
      </w:pPr>
      <w:rPr>
        <w:rFonts w:ascii="Wingdings" w:hAnsi="Wingdings"/>
      </w:rPr>
    </w:lvl>
    <w:lvl w:ilvl="3">
      <w:numFmt w:val="bullet"/>
      <w:lvlText w:val="-"/>
      <w:lvlJc w:val="left"/>
      <w:pPr>
        <w:widowControl w:val="0"/>
        <w:ind w:hanging="360" w:left="2880"/>
      </w:pPr>
      <w:rPr>
        <w:rFonts w:ascii="Calibri" w:hAnsi="Calibri"/>
      </w:rPr>
    </w:lvl>
    <w:lvl w:ilvl="4">
      <w:numFmt w:val="bullet"/>
      <w:lvlText w:val="o"/>
      <w:lvlJc w:val="left"/>
      <w:pPr>
        <w:widowControl w:val="0"/>
        <w:ind w:hanging="360" w:left="3600"/>
      </w:pPr>
      <w:rPr>
        <w:rFonts w:ascii="Courier New" w:hAnsi="Courier New"/>
      </w:rPr>
    </w:lvl>
    <w:lvl w:ilvl="5">
      <w:numFmt w:val="bullet"/>
      <w:lvlText w:val=""/>
      <w:lvlJc w:val="left"/>
      <w:pPr>
        <w:widowControl w:val="0"/>
        <w:ind w:hanging="360" w:left="4320"/>
      </w:pPr>
      <w:rPr>
        <w:rFonts w:ascii="Wingdings" w:hAnsi="Wingdings"/>
      </w:rPr>
    </w:lvl>
    <w:lvl w:ilvl="6">
      <w:numFmt w:val="bullet"/>
      <w:lvlText w:val="-"/>
      <w:lvlJc w:val="left"/>
      <w:pPr>
        <w:widowControl w:val="0"/>
        <w:ind w:hanging="360" w:left="5040"/>
      </w:pPr>
      <w:rPr>
        <w:rFonts w:ascii="Calibri" w:hAnsi="Calibri"/>
      </w:rPr>
    </w:lvl>
    <w:lvl w:ilvl="7">
      <w:numFmt w:val="bullet"/>
      <w:lvlText w:val="o"/>
      <w:lvlJc w:val="left"/>
      <w:pPr>
        <w:widowControl w:val="0"/>
        <w:ind w:hanging="360" w:left="5760"/>
      </w:pPr>
      <w:rPr>
        <w:rFonts w:ascii="Courier New" w:hAnsi="Courier New"/>
      </w:rPr>
    </w:lvl>
    <w:lvl w:ilvl="8">
      <w:numFmt w:val="bullet"/>
      <w:lvlText w:val=""/>
      <w:lvlJc w:val="left"/>
      <w:pPr>
        <w:widowControl w:val="0"/>
        <w:ind w:hanging="360" w:left="6480"/>
      </w:pPr>
      <w:rPr>
        <w:rFonts w:ascii="Wingdings" w:hAnsi="Wingdings"/>
      </w:rPr>
    </w:lvl>
  </w:abstractNum>
  <w:abstractNum w:abstractNumId="2">
    <w:lvl w:ilvl="0">
      <w:start w:val="1"/>
      <w:numFmt w:val="decimal"/>
      <w:pStyle w:val="Style_45"/>
      <w:lvlText w:val="1.%1."/>
      <w:lvlJc w:val="left"/>
      <w:pPr>
        <w:widowControl w:val="0"/>
        <w:ind w:hanging="360" w:left="287"/>
      </w:pPr>
    </w:lvl>
    <w:lvl w:ilvl="1">
      <w:start w:val="1"/>
      <w:numFmt w:val="decimal"/>
      <w:lvlText w:val="1.%2."/>
      <w:lvlJc w:val="left"/>
      <w:pPr>
        <w:widowControl w:val="0"/>
        <w:ind w:hanging="360" w:left="1007"/>
      </w:pPr>
      <w:rPr>
        <w:b w:val="0"/>
      </w:rPr>
    </w:lvl>
    <w:lvl w:ilvl="2">
      <w:start w:val="1"/>
      <w:numFmt w:val="lowerRoman"/>
      <w:lvlText w:val="%3."/>
      <w:lvlJc w:val="right"/>
      <w:pPr>
        <w:widowControl w:val="0"/>
        <w:ind w:hanging="180" w:left="1727"/>
      </w:pPr>
    </w:lvl>
    <w:lvl w:ilvl="3">
      <w:start w:val="1"/>
      <w:numFmt w:val="decimal"/>
      <w:lvlText w:val="%4."/>
      <w:lvlJc w:val="left"/>
      <w:pPr>
        <w:widowControl w:val="0"/>
        <w:ind w:hanging="360" w:left="2447"/>
      </w:pPr>
    </w:lvl>
    <w:lvl w:ilvl="4">
      <w:start w:val="1"/>
      <w:numFmt w:val="lowerLetter"/>
      <w:lvlText w:val="%5."/>
      <w:lvlJc w:val="left"/>
      <w:pPr>
        <w:widowControl w:val="0"/>
        <w:ind w:hanging="360" w:left="3167"/>
      </w:pPr>
    </w:lvl>
    <w:lvl w:ilvl="5">
      <w:start w:val="1"/>
      <w:numFmt w:val="lowerRoman"/>
      <w:lvlText w:val="%6."/>
      <w:lvlJc w:val="right"/>
      <w:pPr>
        <w:widowControl w:val="0"/>
        <w:ind w:hanging="180" w:left="3887"/>
      </w:pPr>
    </w:lvl>
    <w:lvl w:ilvl="6">
      <w:start w:val="1"/>
      <w:numFmt w:val="decimal"/>
      <w:lvlText w:val="%7."/>
      <w:lvlJc w:val="left"/>
      <w:pPr>
        <w:widowControl w:val="0"/>
        <w:ind w:hanging="360" w:left="4607"/>
      </w:pPr>
    </w:lvl>
    <w:lvl w:ilvl="7">
      <w:start w:val="1"/>
      <w:numFmt w:val="lowerLetter"/>
      <w:lvlText w:val="%8."/>
      <w:lvlJc w:val="left"/>
      <w:pPr>
        <w:widowControl w:val="0"/>
        <w:ind w:hanging="360" w:left="5327"/>
      </w:pPr>
    </w:lvl>
    <w:lvl w:ilvl="8">
      <w:start w:val="1"/>
      <w:numFmt w:val="lowerRoman"/>
      <w:lvlText w:val="%9."/>
      <w:lvlJc w:val="right"/>
      <w:pPr>
        <w:widowControl w:val="0"/>
        <w:ind w:hanging="180" w:left="6047"/>
      </w:pPr>
    </w:lvl>
  </w:abstractNum>
  <w:abstractNum w:abstractNumId="3">
    <w:lvl w:ilvl="0">
      <w:start w:val="1"/>
      <w:numFmt w:val="decimal"/>
      <w:lvlText w:val="3.1.%1."/>
      <w:lvlJc w:val="left"/>
      <w:pPr>
        <w:widowControl w:val="0"/>
        <w:ind w:hanging="360" w:left="1353"/>
      </w:pPr>
      <w:rPr>
        <w:b w:val="0"/>
        <w:color w:val="000000"/>
      </w:rPr>
    </w:lvl>
    <w:lvl w:ilvl="1">
      <w:start w:val="1"/>
      <w:numFmt w:val="lowerLetter"/>
      <w:pStyle w:val="Style_94"/>
      <w:lvlText w:val="%2."/>
      <w:lvlJc w:val="left"/>
      <w:pPr>
        <w:widowControl w:val="0"/>
        <w:ind w:hanging="360" w:left="513"/>
      </w:pPr>
    </w:lvl>
    <w:lvl w:ilvl="2">
      <w:start w:val="1"/>
      <w:numFmt w:val="lowerRoman"/>
      <w:lvlText w:val="%3."/>
      <w:lvlJc w:val="right"/>
      <w:pPr>
        <w:widowControl w:val="0"/>
        <w:ind w:hanging="180" w:left="1233"/>
      </w:pPr>
    </w:lvl>
    <w:lvl w:ilvl="3">
      <w:start w:val="1"/>
      <w:numFmt w:val="decimal"/>
      <w:lvlText w:val="%4."/>
      <w:lvlJc w:val="left"/>
      <w:pPr>
        <w:widowControl w:val="0"/>
        <w:ind w:hanging="360" w:left="1953"/>
      </w:pPr>
    </w:lvl>
    <w:lvl w:ilvl="4">
      <w:start w:val="1"/>
      <w:numFmt w:val="lowerLetter"/>
      <w:lvlText w:val="%5."/>
      <w:lvlJc w:val="left"/>
      <w:pPr>
        <w:widowControl w:val="0"/>
        <w:ind w:hanging="360" w:left="2673"/>
      </w:pPr>
    </w:lvl>
    <w:lvl w:ilvl="5">
      <w:start w:val="1"/>
      <w:numFmt w:val="lowerRoman"/>
      <w:lvlText w:val="%6."/>
      <w:lvlJc w:val="right"/>
      <w:pPr>
        <w:widowControl w:val="0"/>
        <w:ind w:hanging="180" w:left="3393"/>
      </w:pPr>
    </w:lvl>
    <w:lvl w:ilvl="6">
      <w:start w:val="1"/>
      <w:numFmt w:val="decimal"/>
      <w:lvlText w:val="%7."/>
      <w:lvlJc w:val="left"/>
      <w:pPr>
        <w:widowControl w:val="0"/>
        <w:ind w:hanging="360" w:left="4113"/>
      </w:pPr>
    </w:lvl>
    <w:lvl w:ilvl="7">
      <w:start w:val="1"/>
      <w:numFmt w:val="lowerLetter"/>
      <w:lvlText w:val="%8."/>
      <w:lvlJc w:val="left"/>
      <w:pPr>
        <w:widowControl w:val="0"/>
        <w:ind w:hanging="360" w:left="4833"/>
      </w:pPr>
    </w:lvl>
    <w:lvl w:ilvl="8">
      <w:start w:val="1"/>
      <w:numFmt w:val="lowerRoman"/>
      <w:lvlText w:val="%9."/>
      <w:lvlJc w:val="right"/>
      <w:pPr>
        <w:widowControl w:val="0"/>
        <w:ind w:hanging="180" w:left="5553"/>
      </w:pPr>
    </w:lvl>
  </w:abstractNum>
  <w:abstractNum w:abstractNumId="4">
    <w:lvl w:ilvl="0">
      <w:start w:val="1"/>
      <w:numFmt w:val="decimal"/>
      <w:pStyle w:val="Style_117"/>
      <w:lvlText w:val="3.4.%1."/>
      <w:lvlJc w:val="left"/>
      <w:pPr>
        <w:widowControl w:val="0"/>
        <w:ind w:hanging="360" w:left="1287"/>
      </w:pPr>
      <w:rPr>
        <w:color w:val="000000"/>
      </w:rPr>
    </w:lvl>
    <w:lvl w:ilvl="1">
      <w:start w:val="1"/>
      <w:numFmt w:val="lowerLetter"/>
      <w:lvlText w:val="%2."/>
      <w:lvlJc w:val="left"/>
      <w:pPr>
        <w:widowControl w:val="0"/>
        <w:ind w:hanging="360" w:left="1440"/>
      </w:pPr>
    </w:lvl>
    <w:lvl w:ilvl="2">
      <w:start w:val="1"/>
      <w:numFmt w:val="lowerRoman"/>
      <w:lvlText w:val="%3."/>
      <w:lvlJc w:val="right"/>
      <w:pPr>
        <w:widowControl w:val="0"/>
        <w:ind w:hanging="180" w:left="2160"/>
      </w:pPr>
    </w:lvl>
    <w:lvl w:ilvl="3">
      <w:start w:val="1"/>
      <w:numFmt w:val="decimal"/>
      <w:lvlText w:val="%4."/>
      <w:lvlJc w:val="left"/>
      <w:pPr>
        <w:widowControl w:val="0"/>
        <w:ind w:hanging="360" w:left="2880"/>
      </w:pPr>
    </w:lvl>
    <w:lvl w:ilvl="4">
      <w:start w:val="1"/>
      <w:numFmt w:val="lowerLetter"/>
      <w:lvlText w:val="%5."/>
      <w:lvlJc w:val="left"/>
      <w:pPr>
        <w:widowControl w:val="0"/>
        <w:ind w:hanging="360" w:left="3600"/>
      </w:pPr>
    </w:lvl>
    <w:lvl w:ilvl="5">
      <w:start w:val="1"/>
      <w:numFmt w:val="lowerRoman"/>
      <w:lvlText w:val="%6."/>
      <w:lvlJc w:val="right"/>
      <w:pPr>
        <w:widowControl w:val="0"/>
        <w:ind w:hanging="180" w:left="4320"/>
      </w:pPr>
    </w:lvl>
    <w:lvl w:ilvl="6">
      <w:start w:val="1"/>
      <w:numFmt w:val="decimal"/>
      <w:lvlText w:val="%7."/>
      <w:lvlJc w:val="left"/>
      <w:pPr>
        <w:widowControl w:val="0"/>
        <w:ind w:hanging="360" w:left="5040"/>
      </w:pPr>
    </w:lvl>
    <w:lvl w:ilvl="7">
      <w:start w:val="1"/>
      <w:numFmt w:val="lowerLetter"/>
      <w:lvlText w:val="%8."/>
      <w:lvlJc w:val="left"/>
      <w:pPr>
        <w:widowControl w:val="0"/>
        <w:ind w:hanging="360" w:left="5760"/>
      </w:pPr>
    </w:lvl>
    <w:lvl w:ilvl="8">
      <w:start w:val="1"/>
      <w:numFmt w:val="lowerRoman"/>
      <w:lvlText w:val="%9."/>
      <w:lvlJc w:val="right"/>
      <w:pPr>
        <w:widowControl w:val="0"/>
        <w:ind w:hanging="180" w:left="6480"/>
      </w:pPr>
    </w:lvl>
  </w:abstractNum>
  <w:abstractNum w:abstractNumId="5">
    <w:lvl w:ilvl="0">
      <w:start w:val="2"/>
      <w:numFmt w:val="decimal"/>
      <w:pStyle w:val="Style_172"/>
      <w:lvlText w:val="%1"/>
      <w:lvlJc w:val="left"/>
      <w:pPr>
        <w:widowControl w:val="0"/>
        <w:ind w:firstLine="0" w:left="360"/>
      </w:pPr>
      <w:rPr>
        <w:rFonts w:ascii="Times New Roman" w:hAnsi="Times New Roman"/>
        <w:b w:val="0"/>
        <w:i w:val="0"/>
        <w:strike w:val="0"/>
        <w:color w:val="000000"/>
        <w:sz w:val="24"/>
        <w:u w:color="000000" w:val="none"/>
      </w:rPr>
    </w:lvl>
    <w:lvl w:ilvl="1">
      <w:start w:val="1"/>
      <w:numFmt w:val="decimal"/>
      <w:lvlText w:val="%1.%2."/>
      <w:lvlJc w:val="left"/>
      <w:pPr>
        <w:widowControl w:val="0"/>
        <w:ind w:firstLine="0" w:left="720"/>
      </w:pPr>
      <w:rPr>
        <w:rFonts w:ascii="Times New Roman" w:hAnsi="Times New Roman"/>
        <w:b w:val="0"/>
        <w:i w:val="0"/>
        <w:strike w:val="0"/>
        <w:color w:val="000000"/>
        <w:sz w:val="24"/>
        <w:u w:color="000000" w:val="none"/>
      </w:rPr>
    </w:lvl>
    <w:lvl w:ilvl="2">
      <w:start w:val="1"/>
      <w:numFmt w:val="lowerRoman"/>
      <w:lvlText w:val="%3"/>
      <w:lvlJc w:val="left"/>
      <w:pPr>
        <w:widowControl w:val="0"/>
        <w:ind w:firstLine="0" w:left="1620"/>
      </w:pPr>
      <w:rPr>
        <w:rFonts w:ascii="Times New Roman" w:hAnsi="Times New Roman"/>
        <w:b w:val="0"/>
        <w:i w:val="0"/>
        <w:strike w:val="0"/>
        <w:color w:val="000000"/>
        <w:sz w:val="24"/>
        <w:u w:color="000000" w:val="none"/>
      </w:rPr>
    </w:lvl>
    <w:lvl w:ilvl="3">
      <w:start w:val="1"/>
      <w:numFmt w:val="decimal"/>
      <w:lvlText w:val="%4"/>
      <w:lvlJc w:val="left"/>
      <w:pPr>
        <w:widowControl w:val="0"/>
        <w:ind w:firstLine="0" w:left="2340"/>
      </w:pPr>
      <w:rPr>
        <w:rFonts w:ascii="Times New Roman" w:hAnsi="Times New Roman"/>
        <w:b w:val="0"/>
        <w:i w:val="0"/>
        <w:strike w:val="0"/>
        <w:color w:val="000000"/>
        <w:sz w:val="24"/>
        <w:u w:color="000000" w:val="none"/>
      </w:rPr>
    </w:lvl>
    <w:lvl w:ilvl="4">
      <w:start w:val="1"/>
      <w:numFmt w:val="lowerLetter"/>
      <w:lvlText w:val="%5"/>
      <w:lvlJc w:val="left"/>
      <w:pPr>
        <w:widowControl w:val="0"/>
        <w:ind w:firstLine="0" w:left="3060"/>
      </w:pPr>
      <w:rPr>
        <w:rFonts w:ascii="Times New Roman" w:hAnsi="Times New Roman"/>
        <w:b w:val="0"/>
        <w:i w:val="0"/>
        <w:strike w:val="0"/>
        <w:color w:val="000000"/>
        <w:sz w:val="24"/>
        <w:u w:color="000000" w:val="none"/>
      </w:rPr>
    </w:lvl>
    <w:lvl w:ilvl="5">
      <w:start w:val="1"/>
      <w:numFmt w:val="lowerRoman"/>
      <w:lvlText w:val="%6"/>
      <w:lvlJc w:val="left"/>
      <w:pPr>
        <w:widowControl w:val="0"/>
        <w:ind w:firstLine="0" w:left="3780"/>
      </w:pPr>
      <w:rPr>
        <w:rFonts w:ascii="Times New Roman" w:hAnsi="Times New Roman"/>
        <w:b w:val="0"/>
        <w:i w:val="0"/>
        <w:strike w:val="0"/>
        <w:color w:val="000000"/>
        <w:sz w:val="24"/>
        <w:u w:color="000000" w:val="none"/>
      </w:rPr>
    </w:lvl>
    <w:lvl w:ilvl="6">
      <w:start w:val="1"/>
      <w:numFmt w:val="decimal"/>
      <w:lvlText w:val="%7"/>
      <w:lvlJc w:val="left"/>
      <w:pPr>
        <w:widowControl w:val="0"/>
        <w:ind w:firstLine="0" w:left="4500"/>
      </w:pPr>
      <w:rPr>
        <w:rFonts w:ascii="Times New Roman" w:hAnsi="Times New Roman"/>
        <w:b w:val="0"/>
        <w:i w:val="0"/>
        <w:strike w:val="0"/>
        <w:color w:val="000000"/>
        <w:sz w:val="24"/>
        <w:u w:color="000000" w:val="none"/>
      </w:rPr>
    </w:lvl>
    <w:lvl w:ilvl="7">
      <w:start w:val="1"/>
      <w:numFmt w:val="lowerLetter"/>
      <w:lvlText w:val="%8"/>
      <w:lvlJc w:val="left"/>
      <w:pPr>
        <w:widowControl w:val="0"/>
        <w:ind w:firstLine="0" w:left="5220"/>
      </w:pPr>
      <w:rPr>
        <w:rFonts w:ascii="Times New Roman" w:hAnsi="Times New Roman"/>
        <w:b w:val="0"/>
        <w:i w:val="0"/>
        <w:strike w:val="0"/>
        <w:color w:val="000000"/>
        <w:sz w:val="24"/>
        <w:u w:color="000000" w:val="none"/>
      </w:rPr>
    </w:lvl>
    <w:lvl w:ilvl="8">
      <w:start w:val="1"/>
      <w:numFmt w:val="lowerRoman"/>
      <w:lvlText w:val="%9"/>
      <w:lvlJc w:val="left"/>
      <w:pPr>
        <w:widowControl w:val="0"/>
        <w:ind w:firstLine="0" w:left="5940"/>
      </w:pPr>
      <w:rPr>
        <w:rFonts w:ascii="Times New Roman" w:hAnsi="Times New Roman"/>
        <w:b w:val="0"/>
        <w:i w:val="0"/>
        <w:strike w:val="0"/>
        <w:color w:val="000000"/>
        <w:sz w:val="24"/>
        <w:u w:color="000000"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widowControl w:val="1"/>
      <w:spacing w:after="60" w:line="240" w:lineRule="auto"/>
      <w:ind/>
      <w:jc w:val="both"/>
    </w:pPr>
    <w:rPr>
      <w:rFonts w:ascii="Times New Roman" w:hAnsi="Times New Roman"/>
      <w:sz w:val="24"/>
    </w:rPr>
  </w:style>
  <w:style w:default="1" w:styleId="Style_9_ch" w:type="character">
    <w:name w:val="Normal"/>
    <w:link w:val="Style_9"/>
    <w:rPr>
      <w:rFonts w:ascii="Times New Roman" w:hAnsi="Times New Roman"/>
      <w:sz w:val="24"/>
    </w:rPr>
  </w:style>
  <w:style w:styleId="Style_10" w:type="paragraph">
    <w:name w:val="Основной текст с отступом 2 Знак2"/>
    <w:basedOn w:val="Style_11"/>
    <w:link w:val="Style_10_ch"/>
    <w:rPr>
      <w:rFonts w:ascii="Times New Roman" w:hAnsi="Times New Roman"/>
      <w:sz w:val="24"/>
    </w:rPr>
  </w:style>
  <w:style w:styleId="Style_10_ch" w:type="character">
    <w:name w:val="Основной текст с отступом 2 Знак2"/>
    <w:basedOn w:val="Style_11_ch"/>
    <w:link w:val="Style_10"/>
    <w:rPr>
      <w:rFonts w:ascii="Times New Roman" w:hAnsi="Times New Roman"/>
      <w:sz w:val="24"/>
    </w:rPr>
  </w:style>
  <w:style w:styleId="Style_12" w:type="paragraph">
    <w:name w:val="annotation subject"/>
    <w:basedOn w:val="Style_13"/>
    <w:next w:val="Style_13"/>
    <w:link w:val="Style_12_ch"/>
    <w:rPr>
      <w:rFonts w:asciiTheme="minorAscii" w:hAnsiTheme="minorHAnsi"/>
      <w:b w:val="1"/>
      <w:sz w:val="22"/>
    </w:rPr>
  </w:style>
  <w:style w:styleId="Style_12_ch" w:type="character">
    <w:name w:val="annotation subject"/>
    <w:basedOn w:val="Style_13_ch"/>
    <w:link w:val="Style_12"/>
    <w:rPr>
      <w:rFonts w:asciiTheme="minorAscii" w:hAnsiTheme="minorHAnsi"/>
      <w:b w:val="1"/>
      <w:sz w:val="22"/>
    </w:rPr>
  </w:style>
  <w:style w:styleId="Style_14" w:type="paragraph">
    <w:name w:val="toc 2"/>
    <w:basedOn w:val="Style_9"/>
    <w:next w:val="Style_9"/>
    <w:link w:val="Style_14_ch"/>
    <w:uiPriority w:val="39"/>
    <w:pPr>
      <w:widowControl w:val="1"/>
      <w:spacing w:after="0"/>
      <w:ind w:left="240"/>
      <w:jc w:val="left"/>
    </w:pPr>
  </w:style>
  <w:style w:styleId="Style_14_ch" w:type="character">
    <w:name w:val="toc 2"/>
    <w:basedOn w:val="Style_9_ch"/>
    <w:link w:val="Style_14"/>
  </w:style>
  <w:style w:styleId="Style_15" w:type="paragraph">
    <w:name w:val="Основной Знак"/>
    <w:link w:val="Style_15_ch"/>
    <w:rPr>
      <w:rFonts w:ascii="Times New Roman" w:hAnsi="Times New Roman"/>
      <w:sz w:val="24"/>
    </w:rPr>
  </w:style>
  <w:style w:styleId="Style_15_ch" w:type="character">
    <w:name w:val="Основной Знак"/>
    <w:link w:val="Style_15"/>
    <w:rPr>
      <w:rFonts w:ascii="Times New Roman" w:hAnsi="Times New Roman"/>
      <w:sz w:val="24"/>
    </w:rPr>
  </w:style>
  <w:style w:styleId="Style_16" w:type="paragraph">
    <w:name w:val="toc 4"/>
    <w:basedOn w:val="Style_17"/>
    <w:link w:val="Style_16_ch"/>
    <w:uiPriority w:val="39"/>
    <w:pPr>
      <w:widowControl w:val="1"/>
      <w:tabs>
        <w:tab w:leader="dot" w:pos="8789" w:val="right"/>
      </w:tabs>
      <w:ind w:left="849"/>
    </w:pPr>
  </w:style>
  <w:style w:styleId="Style_16_ch" w:type="character">
    <w:name w:val="toc 4"/>
    <w:basedOn w:val="Style_17_ch"/>
    <w:link w:val="Style_16"/>
  </w:style>
  <w:style w:styleId="Style_18" w:type="paragraph">
    <w:name w:val="WW-Absatz-Standardschriftart1"/>
    <w:link w:val="Style_18_ch"/>
  </w:style>
  <w:style w:styleId="Style_18_ch" w:type="character">
    <w:name w:val="WW-Absatz-Standardschriftart1"/>
    <w:link w:val="Style_18"/>
  </w:style>
  <w:style w:styleId="Style_19" w:type="paragraph">
    <w:name w:val="heading 7"/>
    <w:basedOn w:val="Style_9"/>
    <w:next w:val="Style_9"/>
    <w:link w:val="Style_19_ch"/>
    <w:uiPriority w:val="9"/>
    <w:qFormat/>
    <w:pPr>
      <w:widowControl w:val="1"/>
      <w:spacing w:before="240"/>
      <w:ind/>
      <w:jc w:val="left"/>
      <w:outlineLvl w:val="6"/>
    </w:pPr>
  </w:style>
  <w:style w:styleId="Style_19_ch" w:type="character">
    <w:name w:val="heading 7"/>
    <w:basedOn w:val="Style_9_ch"/>
    <w:link w:val="Style_19"/>
  </w:style>
  <w:style w:styleId="Style_20" w:type="paragraph">
    <w:name w:val="Название1"/>
    <w:basedOn w:val="Style_9"/>
    <w:next w:val="Style_9"/>
    <w:link w:val="Style_20_ch"/>
    <w:pPr>
      <w:widowControl w:val="1"/>
      <w:spacing w:before="240"/>
      <w:ind/>
      <w:jc w:val="center"/>
    </w:pPr>
    <w:rPr>
      <w:rFonts w:ascii="Cambria" w:hAnsi="Cambria"/>
      <w:b w:val="1"/>
      <w:sz w:val="32"/>
    </w:rPr>
  </w:style>
  <w:style w:styleId="Style_20_ch" w:type="character">
    <w:name w:val="Название1"/>
    <w:basedOn w:val="Style_9_ch"/>
    <w:link w:val="Style_20"/>
    <w:rPr>
      <w:rFonts w:ascii="Cambria" w:hAnsi="Cambria"/>
      <w:b w:val="1"/>
      <w:sz w:val="32"/>
    </w:rPr>
  </w:style>
  <w:style w:styleId="Style_21" w:type="paragraph">
    <w:name w:val="WW-Absatz-Standardschriftart1111"/>
    <w:link w:val="Style_21_ch"/>
  </w:style>
  <w:style w:styleId="Style_21_ch" w:type="character">
    <w:name w:val="WW-Absatz-Standardschriftart1111"/>
    <w:link w:val="Style_21"/>
  </w:style>
  <w:style w:styleId="Style_22" w:type="paragraph">
    <w:name w:val="WW8Num10z3"/>
    <w:link w:val="Style_22_ch"/>
    <w:rPr>
      <w:rFonts w:ascii="Symbol" w:hAnsi="Symbol"/>
    </w:rPr>
  </w:style>
  <w:style w:styleId="Style_22_ch" w:type="character">
    <w:name w:val="WW8Num10z3"/>
    <w:link w:val="Style_22"/>
    <w:rPr>
      <w:rFonts w:ascii="Symbol" w:hAnsi="Symbol"/>
    </w:rPr>
  </w:style>
  <w:style w:styleId="Style_3" w:type="paragraph">
    <w:name w:val="No Spacing"/>
    <w:link w:val="Style_3_ch"/>
    <w:pPr>
      <w:widowControl w:val="1"/>
      <w:spacing w:after="0" w:line="240" w:lineRule="auto"/>
      <w:ind w:firstLine="720"/>
      <w:jc w:val="both"/>
    </w:pPr>
    <w:rPr>
      <w:rFonts w:ascii="Arial" w:hAnsi="Arial"/>
      <w:sz w:val="20"/>
    </w:rPr>
  </w:style>
  <w:style w:styleId="Style_3_ch" w:type="character">
    <w:name w:val="No Spacing"/>
    <w:link w:val="Style_3"/>
    <w:rPr>
      <w:rFonts w:ascii="Arial" w:hAnsi="Arial"/>
      <w:sz w:val="20"/>
    </w:rPr>
  </w:style>
  <w:style w:styleId="Style_23" w:type="paragraph">
    <w:name w:val="WW8Num7z0"/>
    <w:link w:val="Style_23_ch"/>
    <w:rPr>
      <w:sz w:val="28"/>
    </w:rPr>
  </w:style>
  <w:style w:styleId="Style_23_ch" w:type="character">
    <w:name w:val="WW8Num7z0"/>
    <w:link w:val="Style_23"/>
    <w:rPr>
      <w:sz w:val="28"/>
    </w:rPr>
  </w:style>
  <w:style w:styleId="Style_24" w:type="paragraph">
    <w:name w:val="toc 6"/>
    <w:basedOn w:val="Style_17"/>
    <w:link w:val="Style_24_ch"/>
    <w:uiPriority w:val="39"/>
    <w:pPr>
      <w:widowControl w:val="1"/>
      <w:tabs>
        <w:tab w:leader="dot" w:pos="8223" w:val="right"/>
      </w:tabs>
      <w:ind w:left="1415"/>
    </w:pPr>
  </w:style>
  <w:style w:styleId="Style_24_ch" w:type="character">
    <w:name w:val="toc 6"/>
    <w:basedOn w:val="Style_17_ch"/>
    <w:link w:val="Style_24"/>
  </w:style>
  <w:style w:styleId="Style_25" w:type="paragraph">
    <w:name w:val="FR4"/>
    <w:link w:val="Style_25_ch"/>
    <w:pPr>
      <w:widowControl w:val="1"/>
      <w:spacing w:after="0" w:before="460" w:line="240" w:lineRule="auto"/>
      <w:ind w:left="2560"/>
    </w:pPr>
    <w:rPr>
      <w:rFonts w:ascii="Arial" w:hAnsi="Arial"/>
      <w:sz w:val="32"/>
    </w:rPr>
  </w:style>
  <w:style w:styleId="Style_25_ch" w:type="character">
    <w:name w:val="FR4"/>
    <w:link w:val="Style_25"/>
    <w:rPr>
      <w:rFonts w:ascii="Arial" w:hAnsi="Arial"/>
      <w:sz w:val="32"/>
    </w:rPr>
  </w:style>
  <w:style w:styleId="Style_26" w:type="paragraph">
    <w:name w:val="Основной текст 3 Знак2"/>
    <w:basedOn w:val="Style_11"/>
    <w:link w:val="Style_26_ch"/>
    <w:rPr>
      <w:rFonts w:ascii="Times New Roman" w:hAnsi="Times New Roman"/>
      <w:sz w:val="16"/>
    </w:rPr>
  </w:style>
  <w:style w:styleId="Style_26_ch" w:type="character">
    <w:name w:val="Основной текст 3 Знак2"/>
    <w:basedOn w:val="Style_11_ch"/>
    <w:link w:val="Style_26"/>
    <w:rPr>
      <w:rFonts w:ascii="Times New Roman" w:hAnsi="Times New Roman"/>
      <w:sz w:val="16"/>
    </w:rPr>
  </w:style>
  <w:style w:styleId="Style_7" w:type="paragraph">
    <w:name w:val="Body Text Indent 3"/>
    <w:basedOn w:val="Style_9"/>
    <w:link w:val="Style_7_ch"/>
    <w:pPr>
      <w:widowControl w:val="1"/>
      <w:tabs>
        <w:tab w:leader="none" w:pos="1260" w:val="left"/>
      </w:tabs>
      <w:spacing w:after="0"/>
      <w:ind w:firstLine="720"/>
    </w:pPr>
    <w:rPr>
      <w:sz w:val="16"/>
    </w:rPr>
  </w:style>
  <w:style w:styleId="Style_7_ch" w:type="character">
    <w:name w:val="Body Text Indent 3"/>
    <w:basedOn w:val="Style_9_ch"/>
    <w:link w:val="Style_7"/>
    <w:rPr>
      <w:sz w:val="16"/>
    </w:rPr>
  </w:style>
  <w:style w:styleId="Style_27" w:type="paragraph">
    <w:name w:val="Основной текст (2)1"/>
    <w:basedOn w:val="Style_9"/>
    <w:link w:val="Style_27_ch"/>
    <w:pPr>
      <w:widowControl w:val="1"/>
      <w:spacing w:after="0" w:line="240" w:lineRule="atLeast"/>
      <w:ind/>
      <w:jc w:val="left"/>
    </w:pPr>
    <w:rPr>
      <w:rFonts w:asciiTheme="minorAscii" w:hAnsiTheme="minorHAnsi"/>
      <w:sz w:val="22"/>
    </w:rPr>
  </w:style>
  <w:style w:styleId="Style_27_ch" w:type="character">
    <w:name w:val="Основной текст (2)1"/>
    <w:basedOn w:val="Style_9_ch"/>
    <w:link w:val="Style_27"/>
    <w:rPr>
      <w:rFonts w:asciiTheme="minorAscii" w:hAnsiTheme="minorHAnsi"/>
      <w:sz w:val="22"/>
    </w:rPr>
  </w:style>
  <w:style w:styleId="Style_28" w:type="paragraph">
    <w:name w:val="toc 7"/>
    <w:basedOn w:val="Style_17"/>
    <w:link w:val="Style_28_ch"/>
    <w:uiPriority w:val="39"/>
    <w:pPr>
      <w:widowControl w:val="1"/>
      <w:tabs>
        <w:tab w:leader="dot" w:pos="7940" w:val="right"/>
      </w:tabs>
      <w:ind w:left="1698"/>
    </w:pPr>
  </w:style>
  <w:style w:styleId="Style_28_ch" w:type="character">
    <w:name w:val="toc 7"/>
    <w:basedOn w:val="Style_17_ch"/>
    <w:link w:val="Style_28"/>
  </w:style>
  <w:style w:styleId="Style_29" w:type="paragraph">
    <w:name w:val="Абзац списка1"/>
    <w:basedOn w:val="Style_9"/>
    <w:link w:val="Style_29_ch"/>
    <w:pPr>
      <w:widowControl w:val="1"/>
      <w:spacing w:after="0"/>
      <w:ind w:left="720"/>
      <w:jc w:val="left"/>
    </w:pPr>
  </w:style>
  <w:style w:styleId="Style_29_ch" w:type="character">
    <w:name w:val="Абзац списка1"/>
    <w:basedOn w:val="Style_9_ch"/>
    <w:link w:val="Style_29"/>
  </w:style>
  <w:style w:styleId="Style_30" w:type="paragraph">
    <w:name w:val="Font Style14"/>
    <w:link w:val="Style_30_ch"/>
    <w:rPr>
      <w:rFonts w:ascii="Times New Roman" w:hAnsi="Times New Roman"/>
      <w:sz w:val="24"/>
    </w:rPr>
  </w:style>
  <w:style w:styleId="Style_30_ch" w:type="character">
    <w:name w:val="Font Style14"/>
    <w:link w:val="Style_30"/>
    <w:rPr>
      <w:rFonts w:ascii="Times New Roman" w:hAnsi="Times New Roman"/>
      <w:sz w:val="24"/>
    </w:rPr>
  </w:style>
  <w:style w:styleId="Style_31" w:type="paragraph">
    <w:name w:val="Знак Знак3"/>
    <w:basedOn w:val="Style_32"/>
    <w:link w:val="Style_31_ch"/>
  </w:style>
  <w:style w:styleId="Style_31_ch" w:type="character">
    <w:name w:val="Знак Знак3"/>
    <w:basedOn w:val="Style_32_ch"/>
    <w:link w:val="Style_31"/>
  </w:style>
  <w:style w:styleId="Style_33" w:type="paragraph">
    <w:name w:val="Основной текст 3 Знак1"/>
    <w:link w:val="Style_33_ch"/>
    <w:rPr>
      <w:sz w:val="16"/>
    </w:rPr>
  </w:style>
  <w:style w:styleId="Style_33_ch" w:type="character">
    <w:name w:val="Основной текст 3 Знак1"/>
    <w:link w:val="Style_33"/>
    <w:rPr>
      <w:sz w:val="16"/>
    </w:rPr>
  </w:style>
  <w:style w:styleId="Style_34" w:type="paragraph">
    <w:name w:val="Тема примечания Знак2"/>
    <w:basedOn w:val="Style_35"/>
    <w:link w:val="Style_34_ch"/>
    <w:rPr>
      <w:b w:val="1"/>
    </w:rPr>
  </w:style>
  <w:style w:styleId="Style_34_ch" w:type="character">
    <w:name w:val="Тема примечания Знак2"/>
    <w:basedOn w:val="Style_35_ch"/>
    <w:link w:val="Style_34"/>
    <w:rPr>
      <w:b w:val="1"/>
    </w:rPr>
  </w:style>
  <w:style w:styleId="Style_36" w:type="paragraph">
    <w:name w:val="FR5"/>
    <w:link w:val="Style_36_ch"/>
    <w:pPr>
      <w:widowControl w:val="1"/>
      <w:spacing w:after="0" w:line="300" w:lineRule="auto"/>
      <w:ind/>
    </w:pPr>
    <w:rPr>
      <w:rFonts w:ascii="Arial" w:hAnsi="Arial"/>
      <w:b w:val="1"/>
    </w:rPr>
  </w:style>
  <w:style w:styleId="Style_36_ch" w:type="character">
    <w:name w:val="FR5"/>
    <w:link w:val="Style_36"/>
    <w:rPr>
      <w:rFonts w:ascii="Arial" w:hAnsi="Arial"/>
      <w:b w:val="1"/>
    </w:rPr>
  </w:style>
  <w:style w:styleId="Style_1" w:type="paragraph">
    <w:name w:val="header"/>
    <w:basedOn w:val="Style_9"/>
    <w:link w:val="Style_1_ch"/>
    <w:pPr>
      <w:widowControl w:val="1"/>
      <w:tabs>
        <w:tab w:leader="none" w:pos="4677" w:val="center"/>
        <w:tab w:leader="none" w:pos="9355" w:val="right"/>
      </w:tabs>
      <w:spacing w:after="0"/>
      <w:ind/>
    </w:pPr>
  </w:style>
  <w:style w:styleId="Style_1_ch" w:type="character">
    <w:name w:val="header"/>
    <w:basedOn w:val="Style_9_ch"/>
    <w:link w:val="Style_1"/>
  </w:style>
  <w:style w:styleId="Style_37" w:type="paragraph">
    <w:name w:val="Стиль8"/>
    <w:basedOn w:val="Style_9"/>
    <w:link w:val="Style_37_ch"/>
    <w:pPr>
      <w:widowControl w:val="1"/>
      <w:spacing w:after="0" w:before="60" w:line="360" w:lineRule="auto"/>
      <w:ind w:firstLine="709"/>
    </w:pPr>
    <w:rPr>
      <w:sz w:val="28"/>
    </w:rPr>
  </w:style>
  <w:style w:styleId="Style_37_ch" w:type="character">
    <w:name w:val="Стиль8"/>
    <w:basedOn w:val="Style_9_ch"/>
    <w:link w:val="Style_37"/>
    <w:rPr>
      <w:sz w:val="28"/>
    </w:rPr>
  </w:style>
  <w:style w:styleId="Style_38" w:type="paragraph">
    <w:name w:val="SB_Heading1"/>
    <w:basedOn w:val="Style_39"/>
    <w:link w:val="Style_38_ch"/>
    <w:pPr>
      <w:widowControl w:val="1"/>
      <w:spacing w:after="0"/>
      <w:ind w:hanging="810" w:left="810"/>
    </w:pPr>
    <w:rPr>
      <w:caps w:val="1"/>
    </w:rPr>
  </w:style>
  <w:style w:styleId="Style_38_ch" w:type="character">
    <w:name w:val="SB_Heading1"/>
    <w:basedOn w:val="Style_39_ch"/>
    <w:link w:val="Style_38"/>
    <w:rPr>
      <w:caps w:val="1"/>
    </w:rPr>
  </w:style>
  <w:style w:styleId="Style_40" w:type="paragraph">
    <w:name w:val="Тема примечания Знак"/>
    <w:link w:val="Style_40_ch"/>
    <w:rPr>
      <w:rFonts w:ascii="Times New Roman" w:hAnsi="Times New Roman"/>
      <w:b w:val="1"/>
      <w:sz w:val="20"/>
    </w:rPr>
  </w:style>
  <w:style w:styleId="Style_40_ch" w:type="character">
    <w:name w:val="Тема примечания Знак"/>
    <w:link w:val="Style_40"/>
    <w:rPr>
      <w:rFonts w:ascii="Times New Roman" w:hAnsi="Times New Roman"/>
      <w:b w:val="1"/>
      <w:sz w:val="20"/>
    </w:rPr>
  </w:style>
  <w:style w:styleId="Style_41" w:type="paragraph">
    <w:name w:val="s_1"/>
    <w:basedOn w:val="Style_9"/>
    <w:link w:val="Style_41_ch"/>
    <w:pPr>
      <w:widowControl w:val="1"/>
      <w:spacing w:afterAutospacing="on" w:beforeAutospacing="on"/>
      <w:ind/>
      <w:jc w:val="left"/>
    </w:pPr>
  </w:style>
  <w:style w:styleId="Style_41_ch" w:type="character">
    <w:name w:val="s_1"/>
    <w:basedOn w:val="Style_9_ch"/>
    <w:link w:val="Style_41"/>
  </w:style>
  <w:style w:styleId="Style_42" w:type="paragraph">
    <w:name w:val="Пишущая машинка HTML1"/>
    <w:link w:val="Style_42_ch"/>
    <w:rPr>
      <w:rFonts w:ascii="Courier New" w:hAnsi="Courier New"/>
      <w:sz w:val="20"/>
    </w:rPr>
  </w:style>
  <w:style w:styleId="Style_42_ch" w:type="character">
    <w:name w:val="Пишущая машинка HTML1"/>
    <w:link w:val="Style_42"/>
    <w:rPr>
      <w:rFonts w:ascii="Courier New" w:hAnsi="Courier New"/>
      <w:sz w:val="20"/>
    </w:rPr>
  </w:style>
  <w:style w:styleId="Style_43" w:type="paragraph">
    <w:name w:val="Цитаты"/>
    <w:basedOn w:val="Style_9"/>
    <w:link w:val="Style_43_ch"/>
    <w:pPr>
      <w:widowControl w:val="1"/>
      <w:spacing w:after="100" w:before="100"/>
      <w:ind w:left="360" w:right="360"/>
      <w:jc w:val="left"/>
    </w:pPr>
    <w:rPr>
      <w:sz w:val="20"/>
    </w:rPr>
  </w:style>
  <w:style w:styleId="Style_43_ch" w:type="character">
    <w:name w:val="Цитаты"/>
    <w:basedOn w:val="Style_9_ch"/>
    <w:link w:val="Style_43"/>
    <w:rPr>
      <w:sz w:val="20"/>
    </w:rPr>
  </w:style>
  <w:style w:styleId="Style_44" w:type="paragraph">
    <w:name w:val="Стиль 14 пт полужирный По центру"/>
    <w:basedOn w:val="Style_9"/>
    <w:link w:val="Style_44_ch"/>
    <w:pPr>
      <w:widowControl w:val="1"/>
      <w:spacing w:after="0"/>
      <w:ind/>
      <w:jc w:val="center"/>
    </w:pPr>
    <w:rPr>
      <w:b w:val="1"/>
      <w:sz w:val="28"/>
    </w:rPr>
  </w:style>
  <w:style w:styleId="Style_44_ch" w:type="character">
    <w:name w:val="Стиль 14 пт полужирный По центру"/>
    <w:basedOn w:val="Style_9_ch"/>
    <w:link w:val="Style_44"/>
    <w:rPr>
      <w:b w:val="1"/>
      <w:sz w:val="28"/>
    </w:rPr>
  </w:style>
  <w:style w:styleId="Style_45" w:type="paragraph">
    <w:name w:val="4. Список"/>
    <w:basedOn w:val="Style_9"/>
    <w:link w:val="Style_45_ch"/>
    <w:pPr>
      <w:widowControl w:val="1"/>
      <w:numPr>
        <w:numId w:val="3"/>
      </w:numPr>
      <w:spacing w:after="0"/>
      <w:ind/>
    </w:pPr>
    <w:rPr>
      <w:rFonts w:asciiTheme="minorAscii" w:hAnsiTheme="minorHAnsi"/>
    </w:rPr>
  </w:style>
  <w:style w:styleId="Style_45_ch" w:type="character">
    <w:name w:val="4. Список"/>
    <w:basedOn w:val="Style_9_ch"/>
    <w:link w:val="Style_45"/>
    <w:rPr>
      <w:rFonts w:asciiTheme="minorAscii" w:hAnsiTheme="minorHAnsi"/>
    </w:rPr>
  </w:style>
  <w:style w:styleId="Style_46" w:type="paragraph">
    <w:name w:val="Endnote"/>
    <w:basedOn w:val="Style_9"/>
    <w:link w:val="Style_46_ch"/>
    <w:pPr>
      <w:widowControl w:val="1"/>
      <w:spacing w:after="0"/>
      <w:ind/>
      <w:jc w:val="left"/>
    </w:pPr>
    <w:rPr>
      <w:rFonts w:asciiTheme="minorAscii" w:hAnsiTheme="minorHAnsi"/>
      <w:sz w:val="22"/>
    </w:rPr>
  </w:style>
  <w:style w:styleId="Style_46_ch" w:type="character">
    <w:name w:val="Endnote"/>
    <w:basedOn w:val="Style_9_ch"/>
    <w:link w:val="Style_46"/>
    <w:rPr>
      <w:rFonts w:asciiTheme="minorAscii" w:hAnsiTheme="minorHAnsi"/>
      <w:sz w:val="22"/>
    </w:rPr>
  </w:style>
  <w:style w:styleId="Style_47" w:type="paragraph">
    <w:name w:val="heading 3"/>
    <w:basedOn w:val="Style_9"/>
    <w:next w:val="Style_9"/>
    <w:link w:val="Style_47_ch"/>
    <w:uiPriority w:val="9"/>
    <w:qFormat/>
    <w:pPr>
      <w:keepNext w:val="1"/>
      <w:widowControl w:val="1"/>
      <w:spacing w:before="240"/>
      <w:ind/>
      <w:jc w:val="left"/>
      <w:outlineLvl w:val="2"/>
    </w:pPr>
    <w:rPr>
      <w:b w:val="1"/>
      <w:sz w:val="26"/>
    </w:rPr>
  </w:style>
  <w:style w:styleId="Style_47_ch" w:type="character">
    <w:name w:val="heading 3"/>
    <w:basedOn w:val="Style_9_ch"/>
    <w:link w:val="Style_47"/>
    <w:rPr>
      <w:b w:val="1"/>
      <w:sz w:val="26"/>
    </w:rPr>
  </w:style>
  <w:style w:styleId="Style_48" w:type="paragraph">
    <w:name w:val="Index Link"/>
    <w:link w:val="Style_48_ch"/>
  </w:style>
  <w:style w:styleId="Style_48_ch" w:type="character">
    <w:name w:val="Index Link"/>
    <w:link w:val="Style_48"/>
  </w:style>
  <w:style w:styleId="Style_49" w:type="paragraph">
    <w:name w:val="WW8Num2z0"/>
    <w:link w:val="Style_49_ch"/>
  </w:style>
  <w:style w:styleId="Style_49_ch" w:type="character">
    <w:name w:val="WW8Num2z0"/>
    <w:link w:val="Style_49"/>
  </w:style>
  <w:style w:styleId="Style_50" w:type="paragraph">
    <w:name w:val="WW8Num9z0"/>
    <w:link w:val="Style_50_ch"/>
    <w:rPr>
      <w:b w:val="1"/>
      <w:sz w:val="24"/>
    </w:rPr>
  </w:style>
  <w:style w:styleId="Style_50_ch" w:type="character">
    <w:name w:val="WW8Num9z0"/>
    <w:link w:val="Style_50"/>
    <w:rPr>
      <w:b w:val="1"/>
      <w:sz w:val="24"/>
    </w:rPr>
  </w:style>
  <w:style w:styleId="Style_51" w:type="paragraph">
    <w:name w:val="WW-Absatz-Standardschriftart111"/>
    <w:link w:val="Style_51_ch"/>
  </w:style>
  <w:style w:styleId="Style_51_ch" w:type="character">
    <w:name w:val="WW-Absatz-Standardschriftart111"/>
    <w:link w:val="Style_51"/>
  </w:style>
  <w:style w:styleId="Style_52" w:type="paragraph">
    <w:name w:val="WW8Num6z0"/>
    <w:link w:val="Style_52_ch"/>
    <w:rPr>
      <w:sz w:val="28"/>
    </w:rPr>
  </w:style>
  <w:style w:styleId="Style_52_ch" w:type="character">
    <w:name w:val="WW8Num6z0"/>
    <w:link w:val="Style_52"/>
    <w:rPr>
      <w:sz w:val="28"/>
    </w:rPr>
  </w:style>
  <w:style w:styleId="Style_53" w:type="paragraph">
    <w:name w:val="Штамп"/>
    <w:basedOn w:val="Style_9"/>
    <w:link w:val="Style_53_ch"/>
    <w:pPr>
      <w:pageBreakBefore w:val="1"/>
      <w:widowControl w:val="1"/>
      <w:spacing w:after="0"/>
      <w:ind w:left="5387"/>
      <w:jc w:val="center"/>
    </w:pPr>
  </w:style>
  <w:style w:styleId="Style_53_ch" w:type="character">
    <w:name w:val="Штамп"/>
    <w:basedOn w:val="Style_9_ch"/>
    <w:link w:val="Style_53"/>
  </w:style>
  <w:style w:styleId="Style_54" w:type="paragraph">
    <w:name w:val="Заголовок сообщения (текст)"/>
    <w:link w:val="Style_54_ch"/>
    <w:rPr>
      <w:rFonts w:ascii="Arial" w:hAnsi="Arial"/>
      <w:b w:val="1"/>
      <w:spacing w:val="-4"/>
      <w:sz w:val="18"/>
    </w:rPr>
  </w:style>
  <w:style w:styleId="Style_54_ch" w:type="character">
    <w:name w:val="Заголовок сообщения (текст)"/>
    <w:link w:val="Style_54"/>
    <w:rPr>
      <w:rFonts w:ascii="Arial" w:hAnsi="Arial"/>
      <w:b w:val="1"/>
      <w:spacing w:val="-4"/>
      <w:sz w:val="18"/>
    </w:rPr>
  </w:style>
  <w:style w:styleId="Style_55" w:type="paragraph">
    <w:name w:val="Default"/>
    <w:link w:val="Style_55_ch"/>
    <w:pPr>
      <w:widowControl w:val="1"/>
      <w:spacing w:after="0" w:line="240" w:lineRule="auto"/>
      <w:ind/>
    </w:pPr>
    <w:rPr>
      <w:rFonts w:ascii="Times New Roman" w:hAnsi="Times New Roman"/>
      <w:sz w:val="24"/>
    </w:rPr>
  </w:style>
  <w:style w:styleId="Style_55_ch" w:type="character">
    <w:name w:val="Default"/>
    <w:link w:val="Style_55"/>
    <w:rPr>
      <w:rFonts w:ascii="Times New Roman" w:hAnsi="Times New Roman"/>
      <w:sz w:val="24"/>
    </w:rPr>
  </w:style>
  <w:style w:styleId="Style_56" w:type="paragraph">
    <w:name w:val="Цветной список - Акцент 11"/>
    <w:basedOn w:val="Style_9"/>
    <w:link w:val="Style_56_ch"/>
    <w:pPr>
      <w:widowControl w:val="1"/>
      <w:spacing w:after="0"/>
      <w:ind w:left="708"/>
      <w:jc w:val="left"/>
    </w:pPr>
    <w:rPr>
      <w:rFonts w:asciiTheme="minorAscii" w:hAnsiTheme="minorHAnsi"/>
    </w:rPr>
  </w:style>
  <w:style w:styleId="Style_56_ch" w:type="character">
    <w:name w:val="Цветной список - Акцент 11"/>
    <w:basedOn w:val="Style_9_ch"/>
    <w:link w:val="Style_56"/>
    <w:rPr>
      <w:rFonts w:asciiTheme="minorAscii" w:hAnsiTheme="minorHAnsi"/>
    </w:rPr>
  </w:style>
  <w:style w:styleId="Style_57" w:type="paragraph">
    <w:name w:val="Основной текст1"/>
    <w:basedOn w:val="Style_9"/>
    <w:link w:val="Style_57_ch"/>
    <w:pPr>
      <w:widowControl w:val="1"/>
      <w:spacing w:after="200"/>
      <w:ind/>
      <w:jc w:val="left"/>
    </w:pPr>
    <w:rPr>
      <w:rFonts w:asciiTheme="minorAscii" w:hAnsiTheme="minorHAnsi"/>
      <w:sz w:val="28"/>
    </w:rPr>
  </w:style>
  <w:style w:styleId="Style_57_ch" w:type="character">
    <w:name w:val="Основной текст1"/>
    <w:basedOn w:val="Style_9_ch"/>
    <w:link w:val="Style_57"/>
    <w:rPr>
      <w:rFonts w:asciiTheme="minorAscii" w:hAnsiTheme="minorHAnsi"/>
      <w:sz w:val="28"/>
    </w:rPr>
  </w:style>
  <w:style w:styleId="Style_58" w:type="paragraph">
    <w:name w:val="WW8Num18z0"/>
    <w:link w:val="Style_58_ch"/>
    <w:rPr>
      <w:sz w:val="28"/>
    </w:rPr>
  </w:style>
  <w:style w:styleId="Style_58_ch" w:type="character">
    <w:name w:val="WW8Num18z0"/>
    <w:link w:val="Style_58"/>
    <w:rPr>
      <w:sz w:val="28"/>
    </w:rPr>
  </w:style>
  <w:style w:styleId="Style_59" w:type="paragraph">
    <w:name w:val="Footnote Characters"/>
    <w:link w:val="Style_59_ch"/>
    <w:rPr>
      <w:vertAlign w:val="superscript"/>
    </w:rPr>
  </w:style>
  <w:style w:styleId="Style_59_ch" w:type="character">
    <w:name w:val="Footnote Characters"/>
    <w:link w:val="Style_59"/>
    <w:rPr>
      <w:vertAlign w:val="superscript"/>
    </w:rPr>
  </w:style>
  <w:style w:styleId="Style_60" w:type="paragraph">
    <w:name w:val="WW-Absatz-Standardschriftart11"/>
    <w:link w:val="Style_60_ch"/>
  </w:style>
  <w:style w:styleId="Style_60_ch" w:type="character">
    <w:name w:val="WW-Absatz-Standardschriftart11"/>
    <w:link w:val="Style_60"/>
  </w:style>
  <w:style w:styleId="Style_61" w:type="paragraph">
    <w:name w:val="Гиперссылка1"/>
    <w:basedOn w:val="Style_11"/>
    <w:link w:val="Style_61_ch"/>
    <w:rPr>
      <w:color w:val="0000FF"/>
      <w:u w:val="single"/>
    </w:rPr>
  </w:style>
  <w:style w:styleId="Style_61_ch" w:type="character">
    <w:name w:val="Гиперссылка1"/>
    <w:basedOn w:val="Style_11_ch"/>
    <w:link w:val="Style_61"/>
    <w:rPr>
      <w:color w:val="0000FF"/>
      <w:u w:val="single"/>
    </w:rPr>
  </w:style>
  <w:style w:styleId="Style_4" w:type="paragraph">
    <w:name w:val="blk"/>
    <w:link w:val="Style_4_ch"/>
  </w:style>
  <w:style w:styleId="Style_4_ch" w:type="character">
    <w:name w:val="blk"/>
    <w:link w:val="Style_4"/>
  </w:style>
  <w:style w:styleId="Style_62" w:type="paragraph">
    <w:name w:val="Основной текст Знак"/>
    <w:link w:val="Style_62_ch"/>
    <w:rPr>
      <w:rFonts w:ascii="Times New Roman" w:hAnsi="Times New Roman"/>
      <w:sz w:val="24"/>
    </w:rPr>
  </w:style>
  <w:style w:styleId="Style_62_ch" w:type="character">
    <w:name w:val="Основной текст Знак"/>
    <w:link w:val="Style_62"/>
    <w:rPr>
      <w:rFonts w:ascii="Times New Roman" w:hAnsi="Times New Roman"/>
      <w:sz w:val="24"/>
    </w:rPr>
  </w:style>
  <w:style w:styleId="Style_63" w:type="paragraph">
    <w:name w:val="ConsPlusCell"/>
    <w:link w:val="Style_63_ch"/>
    <w:pPr>
      <w:widowControl w:val="1"/>
      <w:spacing w:after="0" w:line="240" w:lineRule="auto"/>
      <w:ind/>
    </w:pPr>
    <w:rPr>
      <w:rFonts w:ascii="Arial" w:hAnsi="Arial"/>
      <w:sz w:val="20"/>
    </w:rPr>
  </w:style>
  <w:style w:styleId="Style_63_ch" w:type="character">
    <w:name w:val="ConsPlusCell"/>
    <w:link w:val="Style_63"/>
    <w:rPr>
      <w:rFonts w:ascii="Arial" w:hAnsi="Arial"/>
      <w:sz w:val="20"/>
    </w:rPr>
  </w:style>
  <w:style w:styleId="Style_64" w:type="paragraph">
    <w:name w:val="WW8Num13z0"/>
    <w:link w:val="Style_64_ch"/>
    <w:rPr>
      <w:sz w:val="28"/>
    </w:rPr>
  </w:style>
  <w:style w:styleId="Style_64_ch" w:type="character">
    <w:name w:val="WW8Num13z0"/>
    <w:link w:val="Style_64"/>
    <w:rPr>
      <w:sz w:val="28"/>
    </w:rPr>
  </w:style>
  <w:style w:styleId="Style_65" w:type="paragraph">
    <w:name w:val="WW8Num30z0"/>
    <w:link w:val="Style_65_ch"/>
    <w:rPr>
      <w:rFonts w:ascii="Symbol" w:hAnsi="Symbol"/>
    </w:rPr>
  </w:style>
  <w:style w:styleId="Style_65_ch" w:type="character">
    <w:name w:val="WW8Num30z0"/>
    <w:link w:val="Style_65"/>
    <w:rPr>
      <w:rFonts w:ascii="Symbol" w:hAnsi="Symbol"/>
    </w:rPr>
  </w:style>
  <w:style w:styleId="Style_66" w:type="paragraph">
    <w:name w:val="company-info__text"/>
    <w:basedOn w:val="Style_11"/>
    <w:link w:val="Style_66_ch"/>
  </w:style>
  <w:style w:styleId="Style_66_ch" w:type="character">
    <w:name w:val="company-info__text"/>
    <w:basedOn w:val="Style_11_ch"/>
    <w:link w:val="Style_66"/>
  </w:style>
  <w:style w:styleId="Style_67" w:type="paragraph">
    <w:name w:val="Основной шрифт абзаца2"/>
    <w:link w:val="Style_67_ch"/>
  </w:style>
  <w:style w:styleId="Style_67_ch" w:type="character">
    <w:name w:val="Основной шрифт абзаца2"/>
    <w:link w:val="Style_67"/>
  </w:style>
  <w:style w:styleId="Style_13" w:type="paragraph">
    <w:name w:val="Текст примечания1"/>
    <w:basedOn w:val="Style_9"/>
    <w:link w:val="Style_13_ch"/>
    <w:pPr>
      <w:widowControl w:val="1"/>
      <w:spacing w:after="0"/>
      <w:ind/>
      <w:jc w:val="left"/>
    </w:pPr>
    <w:rPr>
      <w:sz w:val="20"/>
    </w:rPr>
  </w:style>
  <w:style w:styleId="Style_13_ch" w:type="character">
    <w:name w:val="Текст примечания1"/>
    <w:basedOn w:val="Style_9_ch"/>
    <w:link w:val="Style_13"/>
    <w:rPr>
      <w:sz w:val="20"/>
    </w:rPr>
  </w:style>
  <w:style w:styleId="Style_68" w:type="paragraph">
    <w:name w:val="Font Style22"/>
    <w:link w:val="Style_68_ch"/>
    <w:rPr>
      <w:rFonts w:ascii="Times New Roman" w:hAnsi="Times New Roman"/>
      <w:sz w:val="26"/>
    </w:rPr>
  </w:style>
  <w:style w:styleId="Style_68_ch" w:type="character">
    <w:name w:val="Font Style22"/>
    <w:link w:val="Style_68"/>
    <w:rPr>
      <w:rFonts w:ascii="Times New Roman" w:hAnsi="Times New Roman"/>
      <w:sz w:val="26"/>
    </w:rPr>
  </w:style>
  <w:style w:styleId="Style_69" w:type="paragraph">
    <w:name w:val="WW8Num30z1"/>
    <w:link w:val="Style_69_ch"/>
    <w:rPr>
      <w:rFonts w:ascii="Courier New" w:hAnsi="Courier New"/>
    </w:rPr>
  </w:style>
  <w:style w:styleId="Style_69_ch" w:type="character">
    <w:name w:val="WW8Num30z1"/>
    <w:link w:val="Style_69"/>
    <w:rPr>
      <w:rFonts w:ascii="Courier New" w:hAnsi="Courier New"/>
    </w:rPr>
  </w:style>
  <w:style w:styleId="Style_70" w:type="paragraph">
    <w:name w:val="Стиль4"/>
    <w:basedOn w:val="Style_9"/>
    <w:link w:val="Style_70_ch"/>
    <w:pPr>
      <w:widowControl w:val="1"/>
      <w:spacing w:after="0"/>
      <w:ind/>
    </w:pPr>
  </w:style>
  <w:style w:styleId="Style_70_ch" w:type="character">
    <w:name w:val="Стиль4"/>
    <w:basedOn w:val="Style_9_ch"/>
    <w:link w:val="Style_70"/>
  </w:style>
  <w:style w:styleId="Style_71" w:type="paragraph">
    <w:name w:val="Подзаголовок Знак2"/>
    <w:basedOn w:val="Style_11"/>
    <w:link w:val="Style_71_ch"/>
    <w:rPr>
      <w:color w:themeColor="text1" w:themeTint="A5" w:val="595959"/>
      <w:spacing w:val="15"/>
    </w:rPr>
  </w:style>
  <w:style w:styleId="Style_71_ch" w:type="character">
    <w:name w:val="Подзаголовок Знак2"/>
    <w:basedOn w:val="Style_11_ch"/>
    <w:link w:val="Style_71"/>
    <w:rPr>
      <w:color w:themeColor="text1" w:themeTint="A5" w:val="595959"/>
      <w:spacing w:val="15"/>
    </w:rPr>
  </w:style>
  <w:style w:styleId="Style_72" w:type="paragraph">
    <w:name w:val="Основной текст с отступом 31"/>
    <w:basedOn w:val="Style_9"/>
    <w:link w:val="Style_72_ch"/>
    <w:pPr>
      <w:widowControl w:val="1"/>
      <w:spacing w:after="120"/>
      <w:ind w:left="283"/>
      <w:jc w:val="left"/>
    </w:pPr>
    <w:rPr>
      <w:sz w:val="16"/>
    </w:rPr>
  </w:style>
  <w:style w:styleId="Style_72_ch" w:type="character">
    <w:name w:val="Основной текст с отступом 31"/>
    <w:basedOn w:val="Style_9_ch"/>
    <w:link w:val="Style_72"/>
    <w:rPr>
      <w:sz w:val="16"/>
    </w:rPr>
  </w:style>
  <w:style w:styleId="Style_73" w:type="paragraph">
    <w:name w:val="Стиль7"/>
    <w:basedOn w:val="Style_9"/>
    <w:link w:val="Style_73_ch"/>
    <w:pPr>
      <w:widowControl w:val="1"/>
      <w:spacing w:after="0"/>
      <w:ind w:firstLine="426"/>
    </w:pPr>
    <w:rPr>
      <w:sz w:val="20"/>
    </w:rPr>
  </w:style>
  <w:style w:styleId="Style_73_ch" w:type="character">
    <w:name w:val="Стиль7"/>
    <w:basedOn w:val="Style_9_ch"/>
    <w:link w:val="Style_73"/>
    <w:rPr>
      <w:sz w:val="20"/>
    </w:rPr>
  </w:style>
  <w:style w:styleId="Style_74" w:type="paragraph">
    <w:name w:val="WW8Num24z1"/>
    <w:link w:val="Style_74_ch"/>
    <w:rPr>
      <w:rFonts w:ascii="Courier New" w:hAnsi="Courier New"/>
    </w:rPr>
  </w:style>
  <w:style w:styleId="Style_74_ch" w:type="character">
    <w:name w:val="WW8Num24z1"/>
    <w:link w:val="Style_74"/>
    <w:rPr>
      <w:rFonts w:ascii="Courier New" w:hAnsi="Courier New"/>
    </w:rPr>
  </w:style>
  <w:style w:styleId="Style_75" w:type="paragraph">
    <w:name w:val="ConsPlusNormal11"/>
    <w:link w:val="Style_75_ch"/>
    <w:pPr>
      <w:widowControl w:val="1"/>
      <w:spacing w:after="0" w:line="240" w:lineRule="auto"/>
      <w:ind/>
    </w:pPr>
    <w:rPr>
      <w:rFonts w:ascii="Arial" w:hAnsi="Arial"/>
      <w:sz w:val="20"/>
    </w:rPr>
  </w:style>
  <w:style w:styleId="Style_75_ch" w:type="character">
    <w:name w:val="ConsPlusNormal11"/>
    <w:link w:val="Style_75"/>
    <w:rPr>
      <w:rFonts w:ascii="Arial" w:hAnsi="Arial"/>
      <w:sz w:val="20"/>
    </w:rPr>
  </w:style>
  <w:style w:styleId="Style_76" w:type="paragraph">
    <w:name w:val="Основной текст с отступом Знак2"/>
    <w:basedOn w:val="Style_11"/>
    <w:link w:val="Style_76_ch"/>
    <w:rPr>
      <w:rFonts w:ascii="Times New Roman" w:hAnsi="Times New Roman"/>
      <w:sz w:val="24"/>
    </w:rPr>
  </w:style>
  <w:style w:styleId="Style_76_ch" w:type="character">
    <w:name w:val="Основной текст с отступом Знак2"/>
    <w:basedOn w:val="Style_11_ch"/>
    <w:link w:val="Style_76"/>
    <w:rPr>
      <w:rFonts w:ascii="Times New Roman" w:hAnsi="Times New Roman"/>
      <w:sz w:val="24"/>
    </w:rPr>
  </w:style>
  <w:style w:styleId="Style_77" w:type="paragraph">
    <w:name w:val="Текст концевой сноски Знак2"/>
    <w:basedOn w:val="Style_11"/>
    <w:link w:val="Style_77_ch"/>
    <w:rPr>
      <w:rFonts w:ascii="Times New Roman" w:hAnsi="Times New Roman"/>
      <w:sz w:val="20"/>
    </w:rPr>
  </w:style>
  <w:style w:styleId="Style_77_ch" w:type="character">
    <w:name w:val="Текст концевой сноски Знак2"/>
    <w:basedOn w:val="Style_11_ch"/>
    <w:link w:val="Style_77"/>
    <w:rPr>
      <w:rFonts w:ascii="Times New Roman" w:hAnsi="Times New Roman"/>
      <w:sz w:val="20"/>
    </w:rPr>
  </w:style>
  <w:style w:styleId="Style_78" w:type="paragraph">
    <w:name w:val="Body Text"/>
    <w:basedOn w:val="Style_9"/>
    <w:link w:val="Style_78_ch"/>
    <w:pPr>
      <w:keepNext w:val="1"/>
      <w:widowControl w:val="1"/>
      <w:spacing w:after="0"/>
      <w:ind/>
      <w:jc w:val="left"/>
    </w:pPr>
    <w:rPr>
      <w:rFonts w:asciiTheme="minorAscii" w:hAnsiTheme="minorHAnsi"/>
    </w:rPr>
  </w:style>
  <w:style w:styleId="Style_78_ch" w:type="character">
    <w:name w:val="Body Text"/>
    <w:basedOn w:val="Style_9_ch"/>
    <w:link w:val="Style_78"/>
    <w:rPr>
      <w:rFonts w:asciiTheme="minorAscii" w:hAnsiTheme="minorHAnsi"/>
    </w:rPr>
  </w:style>
  <w:style w:styleId="Style_79" w:type="paragraph">
    <w:basedOn w:val="Style_9"/>
    <w:next w:val="Style_80"/>
    <w:link w:val="Style_79_ch"/>
    <w:semiHidden w:val="1"/>
    <w:unhideWhenUsed w:val="1"/>
    <w:pPr>
      <w:widowControl w:val="1"/>
      <w:spacing w:after="280" w:before="280"/>
      <w:ind/>
      <w:jc w:val="left"/>
    </w:pPr>
  </w:style>
  <w:style w:styleId="Style_79_ch" w:type="character">
    <w:basedOn w:val="Style_9_ch"/>
    <w:link w:val="Style_79"/>
    <w:semiHidden w:val="1"/>
    <w:unhideWhenUsed w:val="1"/>
  </w:style>
  <w:style w:styleId="Style_81" w:type="paragraph">
    <w:name w:val="Основной текст 31"/>
    <w:basedOn w:val="Style_9"/>
    <w:link w:val="Style_81_ch"/>
    <w:pPr>
      <w:widowControl w:val="1"/>
      <w:spacing w:after="120"/>
      <w:ind/>
      <w:jc w:val="left"/>
    </w:pPr>
    <w:rPr>
      <w:sz w:val="16"/>
    </w:rPr>
  </w:style>
  <w:style w:styleId="Style_81_ch" w:type="character">
    <w:name w:val="Основной текст 31"/>
    <w:basedOn w:val="Style_9_ch"/>
    <w:link w:val="Style_81"/>
    <w:rPr>
      <w:sz w:val="16"/>
    </w:rPr>
  </w:style>
  <w:style w:styleId="Style_82" w:type="paragraph">
    <w:name w:val="Font Style13"/>
    <w:link w:val="Style_82_ch"/>
    <w:rPr>
      <w:rFonts w:ascii="Times New Roman" w:hAnsi="Times New Roman"/>
      <w:sz w:val="26"/>
    </w:rPr>
  </w:style>
  <w:style w:styleId="Style_82_ch" w:type="character">
    <w:name w:val="Font Style13"/>
    <w:link w:val="Style_82"/>
    <w:rPr>
      <w:rFonts w:ascii="Times New Roman" w:hAnsi="Times New Roman"/>
      <w:sz w:val="26"/>
    </w:rPr>
  </w:style>
  <w:style w:styleId="Style_83" w:type="paragraph">
    <w:name w:val="Обычный таблица"/>
    <w:basedOn w:val="Style_9"/>
    <w:link w:val="Style_83_ch"/>
    <w:pPr>
      <w:widowControl w:val="1"/>
      <w:spacing w:after="0"/>
      <w:ind/>
      <w:jc w:val="left"/>
    </w:pPr>
    <w:rPr>
      <w:sz w:val="18"/>
    </w:rPr>
  </w:style>
  <w:style w:styleId="Style_83_ch" w:type="character">
    <w:name w:val="Обычный таблица"/>
    <w:basedOn w:val="Style_9_ch"/>
    <w:link w:val="Style_83"/>
    <w:rPr>
      <w:sz w:val="18"/>
    </w:rPr>
  </w:style>
  <w:style w:styleId="Style_84" w:type="paragraph">
    <w:name w:val="WW8Num10z1"/>
    <w:link w:val="Style_84_ch"/>
    <w:rPr>
      <w:rFonts w:ascii="Courier New" w:hAnsi="Courier New"/>
    </w:rPr>
  </w:style>
  <w:style w:styleId="Style_84_ch" w:type="character">
    <w:name w:val="WW8Num10z1"/>
    <w:link w:val="Style_84"/>
    <w:rPr>
      <w:rFonts w:ascii="Courier New" w:hAnsi="Courier New"/>
    </w:rPr>
  </w:style>
  <w:style w:styleId="Style_80" w:type="paragraph">
    <w:name w:val="Normal (Web)"/>
    <w:basedOn w:val="Style_9"/>
    <w:link w:val="Style_80_ch"/>
    <w:pPr>
      <w:widowControl w:val="1"/>
      <w:spacing w:afterAutospacing="on" w:beforeAutospacing="on"/>
      <w:ind/>
      <w:jc w:val="left"/>
    </w:pPr>
  </w:style>
  <w:style w:styleId="Style_80_ch" w:type="character">
    <w:name w:val="Normal (Web)"/>
    <w:basedOn w:val="Style_9_ch"/>
    <w:link w:val="Style_80"/>
  </w:style>
  <w:style w:styleId="Style_85" w:type="paragraph">
    <w:name w:val="Стиль Знак сноски + 13 пт"/>
    <w:link w:val="Style_85_ch"/>
    <w:rPr>
      <w:sz w:val="24"/>
      <w:vertAlign w:val="superscript"/>
    </w:rPr>
  </w:style>
  <w:style w:styleId="Style_85_ch" w:type="character">
    <w:name w:val="Стиль Знак сноски + 13 пт"/>
    <w:link w:val="Style_85"/>
    <w:rPr>
      <w:sz w:val="24"/>
      <w:vertAlign w:val="superscript"/>
    </w:rPr>
  </w:style>
  <w:style w:styleId="Style_86" w:type="paragraph">
    <w:name w:val="docsearchterm"/>
    <w:basedOn w:val="Style_32"/>
    <w:link w:val="Style_86_ch"/>
  </w:style>
  <w:style w:styleId="Style_86_ch" w:type="character">
    <w:name w:val="docsearchterm"/>
    <w:basedOn w:val="Style_32_ch"/>
    <w:link w:val="Style_86"/>
  </w:style>
  <w:style w:styleId="Style_87" w:type="paragraph">
    <w:name w:val="List Paragraph1"/>
    <w:basedOn w:val="Style_9"/>
    <w:link w:val="Style_87_ch"/>
    <w:pPr>
      <w:widowControl w:val="1"/>
      <w:spacing w:after="0"/>
      <w:ind w:left="720"/>
      <w:jc w:val="left"/>
    </w:pPr>
  </w:style>
  <w:style w:styleId="Style_87_ch" w:type="character">
    <w:name w:val="List Paragraph1"/>
    <w:basedOn w:val="Style_9_ch"/>
    <w:link w:val="Style_87"/>
  </w:style>
  <w:style w:styleId="Style_88" w:type="paragraph">
    <w:name w:val="caption"/>
    <w:basedOn w:val="Style_9"/>
    <w:link w:val="Style_88_ch"/>
    <w:pPr>
      <w:widowControl w:val="1"/>
      <w:spacing w:after="120" w:before="120"/>
      <w:ind/>
      <w:jc w:val="left"/>
    </w:pPr>
    <w:rPr>
      <w:i w:val="1"/>
    </w:rPr>
  </w:style>
  <w:style w:styleId="Style_88_ch" w:type="character">
    <w:name w:val="caption"/>
    <w:basedOn w:val="Style_9_ch"/>
    <w:link w:val="Style_88"/>
    <w:rPr>
      <w:i w:val="1"/>
    </w:rPr>
  </w:style>
  <w:style w:styleId="Style_89" w:type="paragraph">
    <w:name w:val="Table Heading"/>
    <w:basedOn w:val="Style_90"/>
    <w:link w:val="Style_89_ch"/>
    <w:pPr>
      <w:widowControl w:val="1"/>
      <w:ind/>
      <w:jc w:val="center"/>
    </w:pPr>
    <w:rPr>
      <w:b w:val="1"/>
    </w:rPr>
  </w:style>
  <w:style w:styleId="Style_89_ch" w:type="character">
    <w:name w:val="Table Heading"/>
    <w:basedOn w:val="Style_90_ch"/>
    <w:link w:val="Style_89"/>
    <w:rPr>
      <w:b w:val="1"/>
    </w:rPr>
  </w:style>
  <w:style w:styleId="Style_91" w:type="paragraph">
    <w:name w:val="Подзаголовок Знак"/>
    <w:link w:val="Style_91_ch"/>
    <w:rPr>
      <w:rFonts w:ascii="Cambria" w:hAnsi="Cambria"/>
      <w:sz w:val="24"/>
    </w:rPr>
  </w:style>
  <w:style w:styleId="Style_91_ch" w:type="character">
    <w:name w:val="Подзаголовок Знак"/>
    <w:link w:val="Style_91"/>
    <w:rPr>
      <w:rFonts w:ascii="Cambria" w:hAnsi="Cambria"/>
      <w:sz w:val="24"/>
    </w:rPr>
  </w:style>
  <w:style w:styleId="Style_92" w:type="paragraph">
    <w:name w:val="WW8Num21z0"/>
    <w:link w:val="Style_92_ch"/>
    <w:rPr>
      <w:b w:val="1"/>
      <w:sz w:val="24"/>
    </w:rPr>
  </w:style>
  <w:style w:styleId="Style_92_ch" w:type="character">
    <w:name w:val="WW8Num21z0"/>
    <w:link w:val="Style_92"/>
    <w:rPr>
      <w:b w:val="1"/>
      <w:sz w:val="24"/>
    </w:rPr>
  </w:style>
  <w:style w:styleId="Style_93" w:type="paragraph">
    <w:name w:val="Спис_заголовок"/>
    <w:basedOn w:val="Style_9"/>
    <w:next w:val="Style_94"/>
    <w:link w:val="Style_93_ch"/>
    <w:pPr>
      <w:keepNext w:val="1"/>
      <w:keepLines w:val="1"/>
      <w:widowControl w:val="1"/>
      <w:spacing w:before="60"/>
      <w:ind/>
    </w:pPr>
    <w:rPr>
      <w:sz w:val="22"/>
    </w:rPr>
  </w:style>
  <w:style w:styleId="Style_93_ch" w:type="character">
    <w:name w:val="Спис_заголовок"/>
    <w:basedOn w:val="Style_9_ch"/>
    <w:link w:val="Style_93"/>
    <w:rPr>
      <w:sz w:val="22"/>
    </w:rPr>
  </w:style>
  <w:style w:styleId="Style_95" w:type="paragraph">
    <w:name w:val="Дата Знак1"/>
    <w:basedOn w:val="Style_11"/>
    <w:link w:val="Style_95_ch"/>
    <w:rPr>
      <w:rFonts w:ascii="Times New Roman" w:hAnsi="Times New Roman"/>
      <w:sz w:val="24"/>
    </w:rPr>
  </w:style>
  <w:style w:styleId="Style_95_ch" w:type="character">
    <w:name w:val="Дата Знак1"/>
    <w:basedOn w:val="Style_11_ch"/>
    <w:link w:val="Style_95"/>
    <w:rPr>
      <w:rFonts w:ascii="Times New Roman" w:hAnsi="Times New Roman"/>
      <w:sz w:val="24"/>
    </w:rPr>
  </w:style>
  <w:style w:styleId="Style_96" w:type="paragraph">
    <w:name w:val="toc 3"/>
    <w:basedOn w:val="Style_9"/>
    <w:next w:val="Style_9"/>
    <w:link w:val="Style_96_ch"/>
    <w:uiPriority w:val="39"/>
    <w:pPr>
      <w:widowControl w:val="1"/>
      <w:spacing w:after="0"/>
      <w:ind w:left="480"/>
      <w:jc w:val="left"/>
    </w:pPr>
  </w:style>
  <w:style w:styleId="Style_96_ch" w:type="character">
    <w:name w:val="toc 3"/>
    <w:basedOn w:val="Style_9_ch"/>
    <w:link w:val="Style_96"/>
  </w:style>
  <w:style w:styleId="Style_97" w:type="paragraph">
    <w:name w:val="WW8Num27z0"/>
    <w:link w:val="Style_97_ch"/>
    <w:rPr>
      <w:sz w:val="28"/>
    </w:rPr>
  </w:style>
  <w:style w:styleId="Style_97_ch" w:type="character">
    <w:name w:val="WW8Num27z0"/>
    <w:link w:val="Style_97"/>
    <w:rPr>
      <w:sz w:val="28"/>
    </w:rPr>
  </w:style>
  <w:style w:styleId="Style_98" w:type="paragraph">
    <w:name w:val="SB_Обычный Знак"/>
    <w:link w:val="Style_98_ch"/>
    <w:rPr>
      <w:rFonts w:ascii="Times New Roman" w:hAnsi="Times New Roman"/>
      <w:sz w:val="24"/>
    </w:rPr>
  </w:style>
  <w:style w:styleId="Style_98_ch" w:type="character">
    <w:name w:val="SB_Обычный Знак"/>
    <w:link w:val="Style_98"/>
    <w:rPr>
      <w:rFonts w:ascii="Times New Roman" w:hAnsi="Times New Roman"/>
      <w:sz w:val="24"/>
    </w:rPr>
  </w:style>
  <w:style w:styleId="Style_99" w:type="paragraph">
    <w:name w:val="Absatz-Standardschriftart"/>
    <w:link w:val="Style_99_ch"/>
  </w:style>
  <w:style w:styleId="Style_99_ch" w:type="character">
    <w:name w:val="Absatz-Standardschriftart"/>
    <w:link w:val="Style_99"/>
  </w:style>
  <w:style w:styleId="Style_100" w:type="paragraph">
    <w:name w:val="Body Text 2"/>
    <w:basedOn w:val="Style_9"/>
    <w:link w:val="Style_100_ch"/>
    <w:pPr>
      <w:widowControl w:val="1"/>
      <w:spacing w:after="120" w:line="480" w:lineRule="auto"/>
      <w:ind/>
      <w:jc w:val="left"/>
    </w:pPr>
    <w:rPr>
      <w:rFonts w:asciiTheme="minorAscii" w:hAnsiTheme="minorHAnsi"/>
    </w:rPr>
  </w:style>
  <w:style w:styleId="Style_100_ch" w:type="character">
    <w:name w:val="Body Text 2"/>
    <w:basedOn w:val="Style_9_ch"/>
    <w:link w:val="Style_100"/>
    <w:rPr>
      <w:rFonts w:asciiTheme="minorAscii" w:hAnsiTheme="minorHAnsi"/>
    </w:rPr>
  </w:style>
  <w:style w:styleId="Style_101" w:type="paragraph">
    <w:name w:val="Обычный1"/>
    <w:link w:val="Style_101_ch"/>
    <w:pPr>
      <w:widowControl w:val="1"/>
      <w:spacing w:after="0" w:line="240" w:lineRule="auto"/>
      <w:ind/>
    </w:pPr>
    <w:rPr>
      <w:rFonts w:ascii="Arial" w:hAnsi="Arial"/>
    </w:rPr>
  </w:style>
  <w:style w:styleId="Style_101_ch" w:type="character">
    <w:name w:val="Обычный1"/>
    <w:link w:val="Style_101"/>
    <w:rPr>
      <w:rFonts w:ascii="Arial" w:hAnsi="Arial"/>
    </w:rPr>
  </w:style>
  <w:style w:styleId="Style_94" w:type="paragraph">
    <w:name w:val="List"/>
    <w:basedOn w:val="Style_9"/>
    <w:link w:val="Style_94_ch"/>
    <w:pPr>
      <w:widowControl w:val="1"/>
      <w:numPr>
        <w:ilvl w:val="1"/>
        <w:numId w:val="4"/>
      </w:numPr>
      <w:tabs>
        <w:tab w:leader="none" w:pos="720" w:val="left"/>
      </w:tabs>
      <w:ind w:hanging="283" w:left="283"/>
      <w:outlineLvl w:val="1"/>
    </w:pPr>
  </w:style>
  <w:style w:styleId="Style_94_ch" w:type="character">
    <w:name w:val="List"/>
    <w:basedOn w:val="Style_9_ch"/>
    <w:link w:val="Style_94"/>
  </w:style>
  <w:style w:styleId="Style_102" w:type="paragraph">
    <w:name w:val=".FORMATTEXT"/>
    <w:link w:val="Style_102_ch"/>
    <w:pPr>
      <w:widowControl w:val="1"/>
      <w:spacing w:after="0" w:line="240" w:lineRule="auto"/>
      <w:ind/>
    </w:pPr>
    <w:rPr>
      <w:rFonts w:ascii="Times New Roman" w:hAnsi="Times New Roman"/>
      <w:sz w:val="24"/>
    </w:rPr>
  </w:style>
  <w:style w:styleId="Style_102_ch" w:type="character">
    <w:name w:val=".FORMATTEXT"/>
    <w:link w:val="Style_102"/>
    <w:rPr>
      <w:rFonts w:ascii="Times New Roman" w:hAnsi="Times New Roman"/>
      <w:sz w:val="24"/>
    </w:rPr>
  </w:style>
  <w:style w:styleId="Style_17" w:type="paragraph">
    <w:name w:val="Index"/>
    <w:basedOn w:val="Style_9"/>
    <w:link w:val="Style_17_ch"/>
    <w:pPr>
      <w:widowControl w:val="1"/>
      <w:spacing w:after="0"/>
      <w:ind/>
      <w:jc w:val="left"/>
    </w:pPr>
  </w:style>
  <w:style w:styleId="Style_17_ch" w:type="character">
    <w:name w:val="Index"/>
    <w:basedOn w:val="Style_9_ch"/>
    <w:link w:val="Style_17"/>
  </w:style>
  <w:style w:styleId="Style_103" w:type="paragraph">
    <w:name w:val="Default Paragraph Font"/>
    <w:link w:val="Style_103_ch"/>
  </w:style>
  <w:style w:styleId="Style_103_ch" w:type="character">
    <w:name w:val="Default Paragraph Font"/>
    <w:link w:val="Style_103"/>
  </w:style>
  <w:style w:styleId="Style_104" w:type="paragraph">
    <w:name w:val="ConsPlusTitle"/>
    <w:basedOn w:val="Style_9"/>
    <w:next w:val="Style_75"/>
    <w:link w:val="Style_104_ch"/>
    <w:pPr>
      <w:widowControl w:val="1"/>
      <w:spacing w:after="0"/>
      <w:ind/>
      <w:jc w:val="left"/>
    </w:pPr>
    <w:rPr>
      <w:rFonts w:ascii="Arial" w:hAnsi="Arial"/>
      <w:b w:val="1"/>
      <w:sz w:val="20"/>
    </w:rPr>
  </w:style>
  <w:style w:styleId="Style_104_ch" w:type="character">
    <w:name w:val="ConsPlusTitle"/>
    <w:basedOn w:val="Style_9_ch"/>
    <w:link w:val="Style_104"/>
    <w:rPr>
      <w:rFonts w:ascii="Arial" w:hAnsi="Arial"/>
      <w:b w:val="1"/>
      <w:sz w:val="20"/>
    </w:rPr>
  </w:style>
  <w:style w:styleId="Style_105" w:type="paragraph">
    <w:name w:val="WW8Num23z0"/>
    <w:link w:val="Style_105_ch"/>
    <w:rPr>
      <w:rFonts w:ascii="Times New Roman" w:hAnsi="Times New Roman"/>
    </w:rPr>
  </w:style>
  <w:style w:styleId="Style_105_ch" w:type="character">
    <w:name w:val="WW8Num23z0"/>
    <w:link w:val="Style_105"/>
    <w:rPr>
      <w:rFonts w:ascii="Times New Roman" w:hAnsi="Times New Roman"/>
    </w:rPr>
  </w:style>
  <w:style w:styleId="Style_106" w:type="paragraph">
    <w:name w:val="Стиль По ширине Первая строка:  125 см"/>
    <w:basedOn w:val="Style_9"/>
    <w:link w:val="Style_106_ch"/>
    <w:pPr>
      <w:widowControl w:val="1"/>
      <w:spacing w:after="0"/>
      <w:ind w:firstLine="709"/>
    </w:pPr>
  </w:style>
  <w:style w:styleId="Style_106_ch" w:type="character">
    <w:name w:val="Стиль По ширине Первая строка:  125 см"/>
    <w:basedOn w:val="Style_9_ch"/>
    <w:link w:val="Style_106"/>
  </w:style>
  <w:style w:styleId="Style_107" w:type="paragraph">
    <w:name w:val="Знак сноски1"/>
    <w:link w:val="Style_107_ch"/>
    <w:rPr>
      <w:vertAlign w:val="superscript"/>
    </w:rPr>
  </w:style>
  <w:style w:styleId="Style_107_ch" w:type="character">
    <w:name w:val="Знак сноски1"/>
    <w:link w:val="Style_107"/>
    <w:rPr>
      <w:vertAlign w:val="superscript"/>
    </w:rPr>
  </w:style>
  <w:style w:styleId="Style_108" w:type="paragraph">
    <w:name w:val="Номер страницы1"/>
    <w:link w:val="Style_108_ch"/>
  </w:style>
  <w:style w:styleId="Style_108_ch" w:type="character">
    <w:name w:val="Номер страницы1"/>
    <w:link w:val="Style_108"/>
  </w:style>
  <w:style w:styleId="Style_109" w:type="paragraph">
    <w:name w:val="Стиль3"/>
    <w:basedOn w:val="Style_110"/>
    <w:link w:val="Style_109_ch"/>
    <w:pPr>
      <w:widowControl w:val="1"/>
      <w:spacing w:after="0" w:line="100" w:lineRule="atLeast"/>
      <w:ind w:left="1080"/>
      <w:jc w:val="both"/>
    </w:pPr>
  </w:style>
  <w:style w:styleId="Style_109_ch" w:type="character">
    <w:name w:val="Стиль3"/>
    <w:basedOn w:val="Style_110_ch"/>
    <w:link w:val="Style_109"/>
  </w:style>
  <w:style w:styleId="Style_111" w:type="paragraph">
    <w:name w:val="defaultStyle"/>
    <w:link w:val="Style_111_ch"/>
    <w:pPr>
      <w:widowControl w:val="1"/>
      <w:spacing w:after="200" w:line="360" w:lineRule="auto"/>
      <w:ind/>
      <w:jc w:val="both"/>
    </w:pPr>
    <w:rPr>
      <w:sz w:val="24"/>
    </w:rPr>
  </w:style>
  <w:style w:styleId="Style_111_ch" w:type="character">
    <w:name w:val="defaultStyle"/>
    <w:link w:val="Style_111"/>
    <w:rPr>
      <w:sz w:val="24"/>
    </w:rPr>
  </w:style>
  <w:style w:styleId="Style_112" w:type="paragraph">
    <w:name w:val="WW8Num20z2"/>
    <w:link w:val="Style_112_ch"/>
    <w:rPr>
      <w:rFonts w:ascii="Wingdings" w:hAnsi="Wingdings"/>
    </w:rPr>
  </w:style>
  <w:style w:styleId="Style_112_ch" w:type="character">
    <w:name w:val="WW8Num20z2"/>
    <w:link w:val="Style_112"/>
    <w:rPr>
      <w:rFonts w:ascii="Wingdings" w:hAnsi="Wingdings"/>
    </w:rPr>
  </w:style>
  <w:style w:styleId="Style_113" w:type="paragraph">
    <w:name w:val="Стиль ТЗ1"/>
    <w:basedOn w:val="Style_9"/>
    <w:link w:val="Style_113_ch"/>
    <w:pPr>
      <w:widowControl w:val="1"/>
      <w:spacing w:after="0" w:before="60"/>
      <w:ind w:firstLine="303"/>
    </w:pPr>
    <w:rPr>
      <w:sz w:val="18"/>
    </w:rPr>
  </w:style>
  <w:style w:styleId="Style_113_ch" w:type="character">
    <w:name w:val="Стиль ТЗ1"/>
    <w:basedOn w:val="Style_9_ch"/>
    <w:link w:val="Style_113"/>
    <w:rPr>
      <w:sz w:val="18"/>
    </w:rPr>
  </w:style>
  <w:style w:styleId="Style_114" w:type="paragraph">
    <w:name w:val="heading 5"/>
    <w:basedOn w:val="Style_9"/>
    <w:next w:val="Style_9"/>
    <w:link w:val="Style_114_ch"/>
    <w:uiPriority w:val="9"/>
    <w:qFormat/>
    <w:pPr>
      <w:widowControl w:val="1"/>
      <w:spacing w:before="240"/>
      <w:ind/>
      <w:jc w:val="left"/>
      <w:outlineLvl w:val="4"/>
    </w:pPr>
    <w:rPr>
      <w:b w:val="1"/>
      <w:i w:val="1"/>
      <w:sz w:val="26"/>
    </w:rPr>
  </w:style>
  <w:style w:styleId="Style_114_ch" w:type="character">
    <w:name w:val="heading 5"/>
    <w:basedOn w:val="Style_9_ch"/>
    <w:link w:val="Style_114"/>
    <w:rPr>
      <w:b w:val="1"/>
      <w:i w:val="1"/>
      <w:sz w:val="26"/>
    </w:rPr>
  </w:style>
  <w:style w:styleId="Style_115" w:type="paragraph">
    <w:name w:val="Верхний колонтитул Знак1"/>
    <w:link w:val="Style_115_ch"/>
  </w:style>
  <w:style w:styleId="Style_115_ch" w:type="character">
    <w:name w:val="Верхний колонтитул Знак1"/>
    <w:link w:val="Style_115"/>
  </w:style>
  <w:style w:styleId="Style_116" w:type="paragraph">
    <w:name w:val="2. Подпункт"/>
    <w:basedOn w:val="Style_117"/>
    <w:link w:val="Style_116_ch"/>
    <w:pPr>
      <w:widowControl w:val="1"/>
      <w:numPr>
        <w:ilvl w:val="1"/>
      </w:numPr>
      <w:ind/>
      <w:jc w:val="both"/>
    </w:pPr>
    <w:rPr>
      <w:b w:val="0"/>
    </w:rPr>
  </w:style>
  <w:style w:styleId="Style_116_ch" w:type="character">
    <w:name w:val="2. Подпункт"/>
    <w:basedOn w:val="Style_117_ch"/>
    <w:link w:val="Style_116"/>
    <w:rPr>
      <w:b w:val="0"/>
    </w:rPr>
  </w:style>
  <w:style w:styleId="Style_118" w:type="paragraph">
    <w:name w:val="Обычный2"/>
    <w:link w:val="Style_118_ch"/>
    <w:pPr>
      <w:widowControl w:val="1"/>
      <w:spacing w:after="0" w:line="240" w:lineRule="auto"/>
      <w:ind w:firstLine="560" w:left="120"/>
    </w:pPr>
    <w:rPr>
      <w:rFonts w:ascii="Arial" w:hAnsi="Arial"/>
    </w:rPr>
  </w:style>
  <w:style w:styleId="Style_118_ch" w:type="character">
    <w:name w:val="Обычный2"/>
    <w:link w:val="Style_118"/>
    <w:rPr>
      <w:rFonts w:ascii="Arial" w:hAnsi="Arial"/>
    </w:rPr>
  </w:style>
  <w:style w:styleId="Style_119" w:type="paragraph">
    <w:name w:val="WW8Num4z2"/>
    <w:link w:val="Style_119_ch"/>
    <w:rPr>
      <w:rFonts w:ascii="Wingdings" w:hAnsi="Wingdings"/>
    </w:rPr>
  </w:style>
  <w:style w:styleId="Style_119_ch" w:type="character">
    <w:name w:val="WW8Num4z2"/>
    <w:link w:val="Style_119"/>
    <w:rPr>
      <w:rFonts w:ascii="Wingdings" w:hAnsi="Wingdings"/>
    </w:rPr>
  </w:style>
  <w:style w:styleId="Style_120" w:type="paragraph">
    <w:name w:val="heading 1"/>
    <w:basedOn w:val="Style_9"/>
    <w:next w:val="Style_9"/>
    <w:link w:val="Style_120_ch"/>
    <w:uiPriority w:val="9"/>
    <w:qFormat/>
    <w:pPr>
      <w:keepNext w:val="1"/>
      <w:widowControl w:val="1"/>
      <w:spacing w:after="120" w:before="120" w:line="360" w:lineRule="auto"/>
      <w:ind/>
      <w:jc w:val="left"/>
      <w:outlineLvl w:val="0"/>
    </w:pPr>
    <w:rPr>
      <w:b w:val="1"/>
      <w:sz w:val="32"/>
    </w:rPr>
  </w:style>
  <w:style w:styleId="Style_120_ch" w:type="character">
    <w:name w:val="heading 1"/>
    <w:basedOn w:val="Style_9_ch"/>
    <w:link w:val="Style_120"/>
    <w:rPr>
      <w:b w:val="1"/>
      <w:sz w:val="32"/>
    </w:rPr>
  </w:style>
  <w:style w:styleId="Style_121" w:type="paragraph">
    <w:name w:val="Стиль5"/>
    <w:basedOn w:val="Style_9"/>
    <w:link w:val="Style_121_ch"/>
    <w:pPr>
      <w:widowControl w:val="1"/>
      <w:spacing w:after="0"/>
      <w:ind w:firstLine="426"/>
      <w:jc w:val="center"/>
    </w:pPr>
  </w:style>
  <w:style w:styleId="Style_121_ch" w:type="character">
    <w:name w:val="Стиль5"/>
    <w:basedOn w:val="Style_9_ch"/>
    <w:link w:val="Style_121"/>
  </w:style>
  <w:style w:styleId="Style_122" w:type="paragraph">
    <w:name w:val="3. Текст"/>
    <w:basedOn w:val="Style_9"/>
    <w:link w:val="Style_122_ch"/>
    <w:pPr>
      <w:widowControl w:val="1"/>
      <w:spacing w:after="0"/>
      <w:ind w:firstLine="567"/>
    </w:pPr>
    <w:rPr>
      <w:rFonts w:asciiTheme="minorAscii" w:hAnsiTheme="minorHAnsi"/>
    </w:rPr>
  </w:style>
  <w:style w:styleId="Style_122_ch" w:type="character">
    <w:name w:val="3. Текст"/>
    <w:basedOn w:val="Style_9_ch"/>
    <w:link w:val="Style_122"/>
    <w:rPr>
      <w:rFonts w:asciiTheme="minorAscii" w:hAnsiTheme="minorHAnsi"/>
    </w:rPr>
  </w:style>
  <w:style w:styleId="Style_110" w:type="paragraph">
    <w:name w:val="Основной текст с отступом 21"/>
    <w:basedOn w:val="Style_9"/>
    <w:link w:val="Style_110_ch"/>
    <w:pPr>
      <w:widowControl w:val="1"/>
      <w:spacing w:after="120" w:line="480" w:lineRule="auto"/>
      <w:ind w:left="283"/>
      <w:jc w:val="left"/>
    </w:pPr>
  </w:style>
  <w:style w:styleId="Style_110_ch" w:type="character">
    <w:name w:val="Основной текст с отступом 21"/>
    <w:basedOn w:val="Style_9_ch"/>
    <w:link w:val="Style_110"/>
  </w:style>
  <w:style w:styleId="Style_123" w:type="paragraph">
    <w:name w:val="Основной текст с отступом 2 Знак"/>
    <w:link w:val="Style_123_ch"/>
    <w:rPr>
      <w:rFonts w:ascii="Times New Roman" w:hAnsi="Times New Roman"/>
      <w:sz w:val="24"/>
    </w:rPr>
  </w:style>
  <w:style w:styleId="Style_123_ch" w:type="character">
    <w:name w:val="Основной текст с отступом 2 Знак"/>
    <w:link w:val="Style_123"/>
    <w:rPr>
      <w:rFonts w:ascii="Times New Roman" w:hAnsi="Times New Roman"/>
      <w:sz w:val="24"/>
    </w:rPr>
  </w:style>
  <w:style w:styleId="Style_124" w:type="paragraph">
    <w:name w:val="ConsNormal Знак"/>
    <w:link w:val="Style_124_ch"/>
    <w:rPr>
      <w:rFonts w:ascii="Arial" w:hAnsi="Arial"/>
    </w:rPr>
  </w:style>
  <w:style w:styleId="Style_124_ch" w:type="character">
    <w:name w:val="ConsNormal Знак"/>
    <w:link w:val="Style_124"/>
    <w:rPr>
      <w:rFonts w:ascii="Arial" w:hAnsi="Arial"/>
    </w:rPr>
  </w:style>
  <w:style w:styleId="Style_125" w:type="paragraph">
    <w:name w:val="Схема документа1"/>
    <w:basedOn w:val="Style_9"/>
    <w:link w:val="Style_125_ch"/>
    <w:pPr>
      <w:widowControl w:val="1"/>
      <w:spacing w:after="0"/>
      <w:ind/>
      <w:jc w:val="left"/>
    </w:pPr>
    <w:rPr>
      <w:rFonts w:ascii="Tahoma" w:hAnsi="Tahoma"/>
      <w:sz w:val="20"/>
    </w:rPr>
  </w:style>
  <w:style w:styleId="Style_125_ch" w:type="character">
    <w:name w:val="Схема документа1"/>
    <w:basedOn w:val="Style_9_ch"/>
    <w:link w:val="Style_125"/>
    <w:rPr>
      <w:rFonts w:ascii="Tahoma" w:hAnsi="Tahoma"/>
      <w:sz w:val="20"/>
    </w:rPr>
  </w:style>
  <w:style w:styleId="Style_126" w:type="paragraph">
    <w:name w:val="copy-value"/>
    <w:basedOn w:val="Style_11"/>
    <w:link w:val="Style_126_ch"/>
  </w:style>
  <w:style w:styleId="Style_126_ch" w:type="character">
    <w:name w:val="copy-value"/>
    <w:basedOn w:val="Style_11_ch"/>
    <w:link w:val="Style_126"/>
  </w:style>
  <w:style w:styleId="Style_127" w:type="paragraph">
    <w:name w:val="Hyperlink"/>
    <w:link w:val="Style_127_ch"/>
    <w:rPr>
      <w:color w:val="0000FF"/>
      <w:u w:val="single"/>
    </w:rPr>
  </w:style>
  <w:style w:styleId="Style_127_ch" w:type="character">
    <w:name w:val="Hyperlink"/>
    <w:link w:val="Style_127"/>
    <w:rPr>
      <w:color w:val="0000FF"/>
      <w:u w:val="single"/>
    </w:rPr>
  </w:style>
  <w:style w:styleId="Style_128" w:type="paragraph">
    <w:name w:val="Footnote"/>
    <w:basedOn w:val="Style_9"/>
    <w:link w:val="Style_128_ch"/>
    <w:rPr>
      <w:sz w:val="20"/>
    </w:rPr>
  </w:style>
  <w:style w:styleId="Style_128_ch" w:type="character">
    <w:name w:val="Footnote"/>
    <w:basedOn w:val="Style_9_ch"/>
    <w:link w:val="Style_128"/>
    <w:rPr>
      <w:sz w:val="20"/>
    </w:rPr>
  </w:style>
  <w:style w:styleId="Style_129" w:type="paragraph">
    <w:name w:val="Номер1"/>
    <w:basedOn w:val="Style_94"/>
    <w:link w:val="Style_129_ch"/>
    <w:pPr>
      <w:widowControl w:val="1"/>
      <w:numPr>
        <w:ilvl w:val="0"/>
        <w:numId w:val="0"/>
      </w:numPr>
      <w:spacing w:after="40" w:before="40"/>
      <w:ind w:hanging="504" w:left="1224"/>
    </w:pPr>
    <w:rPr>
      <w:sz w:val="22"/>
    </w:rPr>
  </w:style>
  <w:style w:styleId="Style_129_ch" w:type="character">
    <w:name w:val="Номер1"/>
    <w:basedOn w:val="Style_94_ch"/>
    <w:link w:val="Style_129"/>
    <w:rPr>
      <w:sz w:val="22"/>
    </w:rPr>
  </w:style>
  <w:style w:styleId="Style_130" w:type="paragraph">
    <w:name w:val="WW-Absatz-Standardschriftart"/>
    <w:link w:val="Style_130_ch"/>
  </w:style>
  <w:style w:styleId="Style_130_ch" w:type="character">
    <w:name w:val="WW-Absatz-Standardschriftart"/>
    <w:link w:val="Style_130"/>
  </w:style>
  <w:style w:styleId="Style_131" w:type="paragraph">
    <w:name w:val="Обычный + 12 пт"/>
    <w:basedOn w:val="Style_9"/>
    <w:link w:val="Style_131_ch"/>
    <w:pPr>
      <w:widowControl w:val="1"/>
      <w:spacing w:after="0"/>
      <w:ind/>
    </w:pPr>
  </w:style>
  <w:style w:styleId="Style_131_ch" w:type="character">
    <w:name w:val="Обычный + 12 пт"/>
    <w:basedOn w:val="Style_9_ch"/>
    <w:link w:val="Style_131"/>
  </w:style>
  <w:style w:styleId="Style_132" w:type="paragraph">
    <w:name w:val="toc 1"/>
    <w:basedOn w:val="Style_9"/>
    <w:next w:val="Style_9"/>
    <w:link w:val="Style_132_ch"/>
    <w:uiPriority w:val="39"/>
    <w:pPr>
      <w:widowControl w:val="1"/>
      <w:spacing w:after="0"/>
      <w:ind/>
      <w:jc w:val="left"/>
    </w:pPr>
  </w:style>
  <w:style w:styleId="Style_132_ch" w:type="character">
    <w:name w:val="toc 1"/>
    <w:basedOn w:val="Style_9_ch"/>
    <w:link w:val="Style_132"/>
  </w:style>
  <w:style w:styleId="Style_133" w:type="paragraph">
    <w:name w:val="Body Text Indent"/>
    <w:basedOn w:val="Style_9"/>
    <w:link w:val="Style_133_ch"/>
    <w:pPr>
      <w:widowControl w:val="1"/>
      <w:spacing w:after="120"/>
      <w:ind w:left="283"/>
      <w:jc w:val="left"/>
    </w:pPr>
    <w:rPr>
      <w:rFonts w:asciiTheme="minorAscii" w:hAnsiTheme="minorHAnsi"/>
    </w:rPr>
  </w:style>
  <w:style w:styleId="Style_133_ch" w:type="character">
    <w:name w:val="Body Text Indent"/>
    <w:basedOn w:val="Style_9_ch"/>
    <w:link w:val="Style_133"/>
    <w:rPr>
      <w:rFonts w:asciiTheme="minorAscii" w:hAnsiTheme="minorHAnsi"/>
    </w:rPr>
  </w:style>
  <w:style w:styleId="Style_134" w:type="paragraph">
    <w:name w:val="Текст примечания Знак"/>
    <w:link w:val="Style_134_ch"/>
    <w:rPr>
      <w:rFonts w:ascii="Times New Roman" w:hAnsi="Times New Roman"/>
      <w:sz w:val="20"/>
    </w:rPr>
  </w:style>
  <w:style w:styleId="Style_134_ch" w:type="character">
    <w:name w:val="Текст примечания Знак"/>
    <w:link w:val="Style_134"/>
    <w:rPr>
      <w:rFonts w:ascii="Times New Roman" w:hAnsi="Times New Roman"/>
      <w:sz w:val="20"/>
    </w:rPr>
  </w:style>
  <w:style w:styleId="Style_135" w:type="paragraph">
    <w:name w:val="WW8Num23z1"/>
    <w:link w:val="Style_135_ch"/>
    <w:rPr>
      <w:rFonts w:ascii="Courier New" w:hAnsi="Courier New"/>
    </w:rPr>
  </w:style>
  <w:style w:styleId="Style_135_ch" w:type="character">
    <w:name w:val="WW8Num23z1"/>
    <w:link w:val="Style_135"/>
    <w:rPr>
      <w:rFonts w:ascii="Courier New" w:hAnsi="Courier New"/>
    </w:rPr>
  </w:style>
  <w:style w:styleId="Style_136" w:type="paragraph">
    <w:name w:val="WW8Num25z0"/>
    <w:link w:val="Style_136_ch"/>
    <w:rPr>
      <w:b w:val="1"/>
      <w:sz w:val="24"/>
    </w:rPr>
  </w:style>
  <w:style w:styleId="Style_136_ch" w:type="character">
    <w:name w:val="WW8Num25z0"/>
    <w:link w:val="Style_136"/>
    <w:rPr>
      <w:b w:val="1"/>
      <w:sz w:val="24"/>
    </w:rPr>
  </w:style>
  <w:style w:styleId="Style_137" w:type="paragraph">
    <w:name w:val="Endnote Characters"/>
    <w:link w:val="Style_137_ch"/>
    <w:rPr>
      <w:vertAlign w:val="superscript"/>
    </w:rPr>
  </w:style>
  <w:style w:styleId="Style_137_ch" w:type="character">
    <w:name w:val="Endnote Characters"/>
    <w:link w:val="Style_137"/>
    <w:rPr>
      <w:vertAlign w:val="superscript"/>
    </w:rPr>
  </w:style>
  <w:style w:styleId="Style_138" w:type="paragraph">
    <w:name w:val="Header and Footer"/>
    <w:link w:val="Style_138_ch"/>
    <w:pPr>
      <w:widowControl w:val="1"/>
      <w:spacing w:line="240" w:lineRule="auto"/>
      <w:ind/>
      <w:jc w:val="both"/>
    </w:pPr>
    <w:rPr>
      <w:rFonts w:ascii="XO Thames" w:hAnsi="XO Thames"/>
      <w:sz w:val="28"/>
    </w:rPr>
  </w:style>
  <w:style w:styleId="Style_138_ch" w:type="character">
    <w:name w:val="Header and Footer"/>
    <w:link w:val="Style_138"/>
    <w:rPr>
      <w:rFonts w:ascii="XO Thames" w:hAnsi="XO Thames"/>
      <w:sz w:val="28"/>
    </w:rPr>
  </w:style>
  <w:style w:styleId="Style_139" w:type="paragraph">
    <w:name w:val="WW8Num22z0"/>
    <w:link w:val="Style_139_ch"/>
    <w:rPr>
      <w:sz w:val="28"/>
    </w:rPr>
  </w:style>
  <w:style w:styleId="Style_139_ch" w:type="character">
    <w:name w:val="WW8Num22z0"/>
    <w:link w:val="Style_139"/>
    <w:rPr>
      <w:sz w:val="28"/>
    </w:rPr>
  </w:style>
  <w:style w:styleId="Style_140" w:type="paragraph">
    <w:name w:val="Body Text 3"/>
    <w:basedOn w:val="Style_9"/>
    <w:link w:val="Style_140_ch"/>
    <w:pPr>
      <w:widowControl w:val="1"/>
      <w:spacing w:after="120"/>
      <w:ind/>
      <w:jc w:val="left"/>
    </w:pPr>
    <w:rPr>
      <w:sz w:val="16"/>
    </w:rPr>
  </w:style>
  <w:style w:styleId="Style_140_ch" w:type="character">
    <w:name w:val="Body Text 3"/>
    <w:basedOn w:val="Style_9_ch"/>
    <w:link w:val="Style_140"/>
    <w:rPr>
      <w:sz w:val="16"/>
    </w:rPr>
  </w:style>
  <w:style w:styleId="Style_141" w:type="paragraph">
    <w:name w:val="Основной текст Знак2"/>
    <w:basedOn w:val="Style_11"/>
    <w:link w:val="Style_141_ch"/>
    <w:rPr>
      <w:rFonts w:ascii="Times New Roman" w:hAnsi="Times New Roman"/>
      <w:sz w:val="24"/>
    </w:rPr>
  </w:style>
  <w:style w:styleId="Style_141_ch" w:type="character">
    <w:name w:val="Основной текст Знак2"/>
    <w:basedOn w:val="Style_11_ch"/>
    <w:link w:val="Style_141"/>
    <w:rPr>
      <w:rFonts w:ascii="Times New Roman" w:hAnsi="Times New Roman"/>
      <w:sz w:val="24"/>
    </w:rPr>
  </w:style>
  <w:style w:styleId="Style_142" w:type="paragraph">
    <w:name w:val="заголовок 1"/>
    <w:basedOn w:val="Style_9"/>
    <w:next w:val="Style_9"/>
    <w:link w:val="Style_142_ch"/>
    <w:pPr>
      <w:keepNext w:val="1"/>
      <w:widowControl w:val="1"/>
      <w:spacing w:after="0"/>
      <w:ind/>
      <w:jc w:val="center"/>
    </w:pPr>
    <w:rPr>
      <w:rFonts w:ascii="Arial" w:hAnsi="Arial"/>
      <w:b w:val="1"/>
      <w:sz w:val="22"/>
    </w:rPr>
  </w:style>
  <w:style w:styleId="Style_142_ch" w:type="character">
    <w:name w:val="заголовок 1"/>
    <w:basedOn w:val="Style_9_ch"/>
    <w:link w:val="Style_142"/>
    <w:rPr>
      <w:rFonts w:ascii="Arial" w:hAnsi="Arial"/>
      <w:b w:val="1"/>
      <w:sz w:val="22"/>
    </w:rPr>
  </w:style>
  <w:style w:styleId="Style_143" w:type="paragraph">
    <w:name w:val="WW8Num15z0"/>
    <w:link w:val="Style_143_ch"/>
    <w:rPr>
      <w:sz w:val="28"/>
    </w:rPr>
  </w:style>
  <w:style w:styleId="Style_143_ch" w:type="character">
    <w:name w:val="WW8Num15z0"/>
    <w:link w:val="Style_143"/>
    <w:rPr>
      <w:sz w:val="28"/>
    </w:rPr>
  </w:style>
  <w:style w:styleId="Style_144" w:type="paragraph">
    <w:name w:val="WW8Num4z0"/>
    <w:link w:val="Style_144_ch"/>
    <w:rPr>
      <w:rFonts w:ascii="Times New Roman" w:hAnsi="Times New Roman"/>
    </w:rPr>
  </w:style>
  <w:style w:styleId="Style_144_ch" w:type="character">
    <w:name w:val="WW8Num4z0"/>
    <w:link w:val="Style_144"/>
    <w:rPr>
      <w:rFonts w:ascii="Times New Roman" w:hAnsi="Times New Roman"/>
    </w:rPr>
  </w:style>
  <w:style w:styleId="Style_145" w:type="paragraph">
    <w:name w:val="WW8Num33z0"/>
    <w:link w:val="Style_145_ch"/>
    <w:rPr>
      <w:sz w:val="28"/>
    </w:rPr>
  </w:style>
  <w:style w:styleId="Style_145_ch" w:type="character">
    <w:name w:val="WW8Num33z0"/>
    <w:link w:val="Style_145"/>
    <w:rPr>
      <w:sz w:val="28"/>
    </w:rPr>
  </w:style>
  <w:style w:styleId="Style_146" w:type="paragraph">
    <w:name w:val="Знак концевой сноски1"/>
    <w:link w:val="Style_146_ch"/>
    <w:rPr>
      <w:vertAlign w:val="superscript"/>
    </w:rPr>
  </w:style>
  <w:style w:styleId="Style_146_ch" w:type="character">
    <w:name w:val="Знак концевой сноски1"/>
    <w:link w:val="Style_146"/>
    <w:rPr>
      <w:vertAlign w:val="superscript"/>
    </w:rPr>
  </w:style>
  <w:style w:styleId="Style_147" w:type="paragraph">
    <w:name w:val="ConsPlusNormal1"/>
    <w:link w:val="Style_147_ch"/>
    <w:pPr>
      <w:widowControl w:val="1"/>
      <w:spacing w:after="0" w:line="240" w:lineRule="auto"/>
      <w:ind/>
    </w:pPr>
    <w:rPr>
      <w:rFonts w:ascii="Arial" w:hAnsi="Arial"/>
      <w:sz w:val="20"/>
    </w:rPr>
  </w:style>
  <w:style w:styleId="Style_147_ch" w:type="character">
    <w:name w:val="ConsPlusNormal1"/>
    <w:link w:val="Style_147"/>
    <w:rPr>
      <w:rFonts w:ascii="Arial" w:hAnsi="Arial"/>
      <w:sz w:val="20"/>
    </w:rPr>
  </w:style>
  <w:style w:styleId="Style_148" w:type="paragraph">
    <w:name w:val="SB_Heading3"/>
    <w:basedOn w:val="Style_39"/>
    <w:link w:val="Style_148_ch"/>
    <w:pPr>
      <w:widowControl w:val="1"/>
      <w:spacing w:after="0"/>
      <w:ind w:hanging="180" w:left="1800"/>
    </w:pPr>
    <w:rPr>
      <w:i w:val="1"/>
    </w:rPr>
  </w:style>
  <w:style w:styleId="Style_148_ch" w:type="character">
    <w:name w:val="SB_Heading3"/>
    <w:basedOn w:val="Style_39_ch"/>
    <w:link w:val="Style_148"/>
    <w:rPr>
      <w:i w:val="1"/>
    </w:rPr>
  </w:style>
  <w:style w:styleId="Style_149" w:type="paragraph">
    <w:name w:val="Просмотренная гиперссылка1"/>
    <w:link w:val="Style_149_ch"/>
    <w:rPr>
      <w:color w:val="800080"/>
      <w:u w:val="single"/>
    </w:rPr>
  </w:style>
  <w:style w:styleId="Style_149_ch" w:type="character">
    <w:name w:val="Просмотренная гиперссылка1"/>
    <w:link w:val="Style_149"/>
    <w:rPr>
      <w:color w:val="800080"/>
      <w:u w:val="single"/>
    </w:rPr>
  </w:style>
  <w:style w:styleId="Style_150" w:type="paragraph">
    <w:name w:val="Основной текст (2) + 10"/>
    <w:link w:val="Style_150_ch"/>
    <w:rPr>
      <w:rFonts w:ascii="Times New Roman" w:hAnsi="Times New Roman"/>
      <w:i w:val="1"/>
      <w:sz w:val="21"/>
      <w:highlight w:val="white"/>
    </w:rPr>
  </w:style>
  <w:style w:styleId="Style_150_ch" w:type="character">
    <w:name w:val="Основной текст (2) + 10"/>
    <w:link w:val="Style_150"/>
    <w:rPr>
      <w:rFonts w:ascii="Times New Roman" w:hAnsi="Times New Roman"/>
      <w:i w:val="1"/>
      <w:sz w:val="21"/>
      <w:highlight w:val="white"/>
    </w:rPr>
  </w:style>
  <w:style w:styleId="Style_151" w:type="paragraph">
    <w:name w:val="WW8Num10z0"/>
    <w:link w:val="Style_151_ch"/>
    <w:rPr>
      <w:rFonts w:ascii="Times New Roman" w:hAnsi="Times New Roman"/>
    </w:rPr>
  </w:style>
  <w:style w:styleId="Style_151_ch" w:type="character">
    <w:name w:val="WW8Num10z0"/>
    <w:link w:val="Style_151"/>
    <w:rPr>
      <w:rFonts w:ascii="Times New Roman" w:hAnsi="Times New Roman"/>
    </w:rPr>
  </w:style>
  <w:style w:styleId="Style_152" w:type="paragraph">
    <w:name w:val="Неразрешенное упоминание1"/>
    <w:link w:val="Style_152_ch"/>
    <w:rPr>
      <w:color w:val="605E5C"/>
      <w:shd w:fill="E1DFDD" w:val="clear"/>
    </w:rPr>
  </w:style>
  <w:style w:styleId="Style_152_ch" w:type="character">
    <w:name w:val="Неразрешенное упоминание1"/>
    <w:link w:val="Style_152"/>
    <w:rPr>
      <w:color w:val="605E5C"/>
      <w:shd w:fill="E1DFDD" w:val="clear"/>
    </w:rPr>
  </w:style>
  <w:style w:styleId="Style_35" w:type="paragraph">
    <w:name w:val="annotation text"/>
    <w:basedOn w:val="Style_9"/>
    <w:link w:val="Style_35_ch"/>
    <w:rPr>
      <w:sz w:val="20"/>
    </w:rPr>
  </w:style>
  <w:style w:styleId="Style_35_ch" w:type="character">
    <w:name w:val="annotation text"/>
    <w:basedOn w:val="Style_9_ch"/>
    <w:link w:val="Style_35"/>
    <w:rPr>
      <w:sz w:val="20"/>
    </w:rPr>
  </w:style>
  <w:style w:styleId="Style_153" w:type="paragraph">
    <w:name w:val="Текст концевой сноски Знак"/>
    <w:link w:val="Style_153_ch"/>
    <w:rPr>
      <w:rFonts w:ascii="Times New Roman" w:hAnsi="Times New Roman"/>
      <w:sz w:val="20"/>
    </w:rPr>
  </w:style>
  <w:style w:styleId="Style_153_ch" w:type="character">
    <w:name w:val="Текст концевой сноски Знак"/>
    <w:link w:val="Style_153"/>
    <w:rPr>
      <w:rFonts w:ascii="Times New Roman" w:hAnsi="Times New Roman"/>
      <w:sz w:val="20"/>
    </w:rPr>
  </w:style>
  <w:style w:styleId="Style_154" w:type="paragraph">
    <w:name w:val="Body Text Indent 2"/>
    <w:basedOn w:val="Style_9"/>
    <w:link w:val="Style_154_ch"/>
    <w:pPr>
      <w:widowControl w:val="1"/>
      <w:spacing w:after="120" w:line="480" w:lineRule="auto"/>
      <w:ind w:left="283"/>
      <w:jc w:val="left"/>
    </w:pPr>
    <w:rPr>
      <w:rFonts w:asciiTheme="minorAscii" w:hAnsiTheme="minorHAnsi"/>
    </w:rPr>
  </w:style>
  <w:style w:styleId="Style_154_ch" w:type="character">
    <w:name w:val="Body Text Indent 2"/>
    <w:basedOn w:val="Style_9_ch"/>
    <w:link w:val="Style_154"/>
    <w:rPr>
      <w:rFonts w:asciiTheme="minorAscii" w:hAnsiTheme="minorHAnsi"/>
    </w:rPr>
  </w:style>
  <w:style w:styleId="Style_155" w:type="paragraph">
    <w:name w:val="Текст выноски Знак1"/>
    <w:link w:val="Style_155_ch"/>
    <w:rPr>
      <w:rFonts w:ascii="Tahoma" w:hAnsi="Tahoma"/>
      <w:sz w:val="16"/>
    </w:rPr>
  </w:style>
  <w:style w:styleId="Style_155_ch" w:type="character">
    <w:name w:val="Текст выноски Знак1"/>
    <w:link w:val="Style_155"/>
    <w:rPr>
      <w:rFonts w:ascii="Tahoma" w:hAnsi="Tahoma"/>
      <w:sz w:val="16"/>
    </w:rPr>
  </w:style>
  <w:style w:styleId="Style_156" w:type="paragraph">
    <w:name w:val="WW8Num30z2"/>
    <w:link w:val="Style_156_ch"/>
    <w:rPr>
      <w:rFonts w:ascii="Wingdings" w:hAnsi="Wingdings"/>
    </w:rPr>
  </w:style>
  <w:style w:styleId="Style_156_ch" w:type="character">
    <w:name w:val="WW8Num30z2"/>
    <w:link w:val="Style_156"/>
    <w:rPr>
      <w:rFonts w:ascii="Wingdings" w:hAnsi="Wingdings"/>
    </w:rPr>
  </w:style>
  <w:style w:styleId="Style_157" w:type="paragraph">
    <w:name w:val="WW8Num16z0"/>
    <w:link w:val="Style_157_ch"/>
    <w:rPr>
      <w:b w:val="1"/>
      <w:sz w:val="24"/>
    </w:rPr>
  </w:style>
  <w:style w:styleId="Style_157_ch" w:type="character">
    <w:name w:val="WW8Num16z0"/>
    <w:link w:val="Style_157"/>
    <w:rPr>
      <w:b w:val="1"/>
      <w:sz w:val="24"/>
    </w:rPr>
  </w:style>
  <w:style w:styleId="Style_158" w:type="paragraph">
    <w:name w:val="Стиль ТЗ1 Знак1"/>
    <w:link w:val="Style_158_ch"/>
    <w:rPr>
      <w:rFonts w:ascii="Times New Roman" w:hAnsi="Times New Roman"/>
      <w:sz w:val="18"/>
    </w:rPr>
  </w:style>
  <w:style w:styleId="Style_158_ch" w:type="character">
    <w:name w:val="Стиль ТЗ1 Знак1"/>
    <w:link w:val="Style_158"/>
    <w:rPr>
      <w:rFonts w:ascii="Times New Roman" w:hAnsi="Times New Roman"/>
      <w:sz w:val="18"/>
    </w:rPr>
  </w:style>
  <w:style w:styleId="Style_159" w:type="paragraph">
    <w:name w:val="toc 9"/>
    <w:basedOn w:val="Style_17"/>
    <w:link w:val="Style_159_ch"/>
    <w:uiPriority w:val="39"/>
    <w:pPr>
      <w:widowControl w:val="1"/>
      <w:tabs>
        <w:tab w:leader="dot" w:pos="7374" w:val="right"/>
      </w:tabs>
      <w:ind w:left="2264"/>
    </w:pPr>
  </w:style>
  <w:style w:styleId="Style_159_ch" w:type="character">
    <w:name w:val="toc 9"/>
    <w:basedOn w:val="Style_17_ch"/>
    <w:link w:val="Style_159"/>
  </w:style>
  <w:style w:styleId="Style_160" w:type="paragraph">
    <w:name w:val="FR3"/>
    <w:link w:val="Style_160_ch"/>
    <w:pPr>
      <w:widowControl w:val="1"/>
      <w:spacing w:after="0" w:line="300" w:lineRule="auto"/>
      <w:ind w:left="800" w:right="600"/>
      <w:jc w:val="center"/>
    </w:pPr>
    <w:rPr>
      <w:rFonts w:ascii="Times New Roman" w:hAnsi="Times New Roman"/>
      <w:sz w:val="40"/>
    </w:rPr>
  </w:style>
  <w:style w:styleId="Style_160_ch" w:type="character">
    <w:name w:val="FR3"/>
    <w:link w:val="Style_160"/>
    <w:rPr>
      <w:rFonts w:ascii="Times New Roman" w:hAnsi="Times New Roman"/>
      <w:sz w:val="40"/>
    </w:rPr>
  </w:style>
  <w:style w:styleId="Style_161" w:type="paragraph">
    <w:name w:val="Стиль Обычный таблица + курсив Оранжевый"/>
    <w:basedOn w:val="Style_83"/>
    <w:link w:val="Style_161_ch"/>
    <w:rPr>
      <w:i w:val="1"/>
      <w:color w:val="FF0000"/>
    </w:rPr>
  </w:style>
  <w:style w:styleId="Style_161_ch" w:type="character">
    <w:name w:val="Стиль Обычный таблица + курсив Оранжевый"/>
    <w:basedOn w:val="Style_83_ch"/>
    <w:link w:val="Style_161"/>
    <w:rPr>
      <w:i w:val="1"/>
      <w:color w:val="FF0000"/>
    </w:rPr>
  </w:style>
  <w:style w:styleId="Style_162" w:type="paragraph">
    <w:name w:val="WW8Num23z2"/>
    <w:link w:val="Style_162_ch"/>
    <w:rPr>
      <w:rFonts w:ascii="Wingdings" w:hAnsi="Wingdings"/>
    </w:rPr>
  </w:style>
  <w:style w:styleId="Style_162_ch" w:type="character">
    <w:name w:val="WW8Num23z2"/>
    <w:link w:val="Style_162"/>
    <w:rPr>
      <w:rFonts w:ascii="Wingdings" w:hAnsi="Wingdings"/>
    </w:rPr>
  </w:style>
  <w:style w:styleId="Style_163" w:type="paragraph">
    <w:name w:val="Numbering Symbols"/>
    <w:link w:val="Style_163_ch"/>
  </w:style>
  <w:style w:styleId="Style_163_ch" w:type="character">
    <w:name w:val="Numbering Symbols"/>
    <w:link w:val="Style_163"/>
  </w:style>
  <w:style w:styleId="Style_164" w:type="paragraph">
    <w:name w:val="Body Text Indent 21"/>
    <w:basedOn w:val="Style_9"/>
    <w:link w:val="Style_164_ch"/>
    <w:pPr>
      <w:widowControl w:val="1"/>
      <w:spacing w:after="0"/>
      <w:ind w:firstLine="708"/>
    </w:pPr>
    <w:rPr>
      <w:rFonts w:ascii="Peterburg" w:hAnsi="Peterburg"/>
    </w:rPr>
  </w:style>
  <w:style w:styleId="Style_164_ch" w:type="character">
    <w:name w:val="Body Text Indent 21"/>
    <w:basedOn w:val="Style_9_ch"/>
    <w:link w:val="Style_164"/>
    <w:rPr>
      <w:rFonts w:ascii="Peterburg" w:hAnsi="Peterburg"/>
    </w:rPr>
  </w:style>
  <w:style w:styleId="Style_165" w:type="paragraph">
    <w:name w:val="ConsNonformat"/>
    <w:link w:val="Style_165_ch"/>
    <w:pPr>
      <w:widowControl w:val="1"/>
      <w:spacing w:after="0" w:line="240" w:lineRule="auto"/>
      <w:ind w:right="19772"/>
    </w:pPr>
    <w:rPr>
      <w:rFonts w:ascii="Courier New" w:hAnsi="Courier New"/>
      <w:sz w:val="20"/>
    </w:rPr>
  </w:style>
  <w:style w:styleId="Style_165_ch" w:type="character">
    <w:name w:val="ConsNonformat"/>
    <w:link w:val="Style_165"/>
    <w:rPr>
      <w:rFonts w:ascii="Courier New" w:hAnsi="Courier New"/>
      <w:sz w:val="20"/>
    </w:rPr>
  </w:style>
  <w:style w:styleId="Style_166" w:type="paragraph">
    <w:name w:val="Название объекта1"/>
    <w:basedOn w:val="Style_9"/>
    <w:link w:val="Style_166_ch"/>
    <w:pPr>
      <w:widowControl w:val="1"/>
      <w:spacing w:after="120" w:before="120"/>
      <w:ind/>
      <w:jc w:val="left"/>
    </w:pPr>
    <w:rPr>
      <w:i w:val="1"/>
    </w:rPr>
  </w:style>
  <w:style w:styleId="Style_166_ch" w:type="character">
    <w:name w:val="Название объекта1"/>
    <w:basedOn w:val="Style_9_ch"/>
    <w:link w:val="Style_166"/>
    <w:rPr>
      <w:i w:val="1"/>
    </w:rPr>
  </w:style>
  <w:style w:styleId="Style_39" w:type="paragraph">
    <w:name w:val="SB_Heading2"/>
    <w:basedOn w:val="Style_9"/>
    <w:link w:val="Style_39_ch"/>
    <w:pPr>
      <w:widowControl w:val="1"/>
      <w:tabs>
        <w:tab w:leader="none" w:pos="0" w:val="left"/>
      </w:tabs>
      <w:spacing w:after="120"/>
      <w:ind w:hanging="578" w:left="578"/>
    </w:pPr>
    <w:rPr>
      <w:b w:val="1"/>
      <w:sz w:val="28"/>
    </w:rPr>
  </w:style>
  <w:style w:styleId="Style_39_ch" w:type="character">
    <w:name w:val="SB_Heading2"/>
    <w:basedOn w:val="Style_9_ch"/>
    <w:link w:val="Style_39"/>
    <w:rPr>
      <w:b w:val="1"/>
      <w:sz w:val="28"/>
    </w:rPr>
  </w:style>
  <w:style w:styleId="Style_167" w:type="paragraph">
    <w:name w:val="Основной текст 2 Знак1"/>
    <w:basedOn w:val="Style_11"/>
    <w:link w:val="Style_167_ch"/>
    <w:rPr>
      <w:rFonts w:ascii="Times New Roman" w:hAnsi="Times New Roman"/>
      <w:sz w:val="24"/>
    </w:rPr>
  </w:style>
  <w:style w:styleId="Style_167_ch" w:type="character">
    <w:name w:val="Основной текст 2 Знак1"/>
    <w:basedOn w:val="Style_11_ch"/>
    <w:link w:val="Style_167"/>
    <w:rPr>
      <w:rFonts w:ascii="Times New Roman" w:hAnsi="Times New Roman"/>
      <w:sz w:val="24"/>
    </w:rPr>
  </w:style>
  <w:style w:styleId="Style_168" w:type="paragraph">
    <w:name w:val="toc 8"/>
    <w:basedOn w:val="Style_17"/>
    <w:link w:val="Style_168_ch"/>
    <w:uiPriority w:val="39"/>
    <w:pPr>
      <w:widowControl w:val="1"/>
      <w:tabs>
        <w:tab w:leader="dot" w:pos="7657" w:val="right"/>
      </w:tabs>
      <w:ind w:left="1981"/>
    </w:pPr>
  </w:style>
  <w:style w:styleId="Style_168_ch" w:type="character">
    <w:name w:val="toc 8"/>
    <w:basedOn w:val="Style_17_ch"/>
    <w:link w:val="Style_168"/>
  </w:style>
  <w:style w:styleId="Style_169" w:type="paragraph">
    <w:name w:val="Основной текст с отступом 3 Знак2"/>
    <w:basedOn w:val="Style_11"/>
    <w:link w:val="Style_169_ch"/>
    <w:rPr>
      <w:rFonts w:ascii="Times New Roman" w:hAnsi="Times New Roman"/>
      <w:sz w:val="16"/>
    </w:rPr>
  </w:style>
  <w:style w:styleId="Style_169_ch" w:type="character">
    <w:name w:val="Основной текст с отступом 3 Знак2"/>
    <w:basedOn w:val="Style_11_ch"/>
    <w:link w:val="Style_169"/>
    <w:rPr>
      <w:rFonts w:ascii="Times New Roman" w:hAnsi="Times New Roman"/>
      <w:sz w:val="16"/>
    </w:rPr>
  </w:style>
  <w:style w:styleId="Style_117" w:type="paragraph">
    <w:name w:val="1. Пункт"/>
    <w:basedOn w:val="Style_9"/>
    <w:link w:val="Style_117_ch"/>
    <w:pPr>
      <w:widowControl w:val="1"/>
      <w:numPr>
        <w:numId w:val="5"/>
      </w:numPr>
      <w:spacing w:after="0"/>
      <w:ind/>
      <w:jc w:val="center"/>
      <w:outlineLvl w:val="2"/>
    </w:pPr>
    <w:rPr>
      <w:rFonts w:ascii="Calibri" w:hAnsi="Calibri"/>
      <w:b w:val="1"/>
    </w:rPr>
  </w:style>
  <w:style w:styleId="Style_117_ch" w:type="character">
    <w:name w:val="1. Пункт"/>
    <w:basedOn w:val="Style_9_ch"/>
    <w:link w:val="Style_117"/>
    <w:rPr>
      <w:rFonts w:ascii="Calibri" w:hAnsi="Calibri"/>
      <w:b w:val="1"/>
    </w:rPr>
  </w:style>
  <w:style w:styleId="Style_170" w:type="paragraph">
    <w:name w:val="WW8Num17z0"/>
    <w:link w:val="Style_170_ch"/>
    <w:rPr>
      <w:b w:val="1"/>
      <w:sz w:val="24"/>
    </w:rPr>
  </w:style>
  <w:style w:styleId="Style_170_ch" w:type="character">
    <w:name w:val="WW8Num17z0"/>
    <w:link w:val="Style_170"/>
    <w:rPr>
      <w:b w:val="1"/>
      <w:sz w:val="24"/>
    </w:rPr>
  </w:style>
  <w:style w:styleId="Style_8" w:type="paragraph">
    <w:name w:val="Strong"/>
    <w:link w:val="Style_8_ch"/>
    <w:rPr>
      <w:b w:val="1"/>
    </w:rPr>
  </w:style>
  <w:style w:styleId="Style_8_ch" w:type="character">
    <w:name w:val="Strong"/>
    <w:link w:val="Style_8"/>
    <w:rPr>
      <w:b w:val="1"/>
    </w:rPr>
  </w:style>
  <w:style w:styleId="Style_171" w:type="paragraph">
    <w:name w:val="WW8Num24z3"/>
    <w:link w:val="Style_171_ch"/>
    <w:rPr>
      <w:rFonts w:ascii="Symbol" w:hAnsi="Symbol"/>
    </w:rPr>
  </w:style>
  <w:style w:styleId="Style_171_ch" w:type="character">
    <w:name w:val="WW8Num24z3"/>
    <w:link w:val="Style_171"/>
    <w:rPr>
      <w:rFonts w:ascii="Symbol" w:hAnsi="Symbol"/>
    </w:rPr>
  </w:style>
  <w:style w:styleId="Style_172" w:type="paragraph">
    <w:name w:val="List Number 2"/>
    <w:basedOn w:val="Style_9"/>
    <w:link w:val="Style_172_ch"/>
    <w:pPr>
      <w:widowControl w:val="1"/>
      <w:numPr>
        <w:numId w:val="6"/>
      </w:numPr>
      <w:spacing w:after="0"/>
      <w:ind/>
      <w:jc w:val="left"/>
    </w:pPr>
    <w:rPr>
      <w:sz w:val="20"/>
    </w:rPr>
  </w:style>
  <w:style w:styleId="Style_172_ch" w:type="character">
    <w:name w:val="List Number 2"/>
    <w:basedOn w:val="Style_9_ch"/>
    <w:link w:val="Style_172"/>
    <w:rPr>
      <w:sz w:val="20"/>
    </w:rPr>
  </w:style>
  <w:style w:styleId="Style_173" w:type="paragraph">
    <w:name w:val="Нижний колонтитул Знак1"/>
    <w:link w:val="Style_173_ch"/>
    <w:rPr>
      <w:sz w:val="24"/>
    </w:rPr>
  </w:style>
  <w:style w:styleId="Style_173_ch" w:type="character">
    <w:name w:val="Нижний колонтитул Знак1"/>
    <w:link w:val="Style_173"/>
    <w:rPr>
      <w:sz w:val="24"/>
    </w:rPr>
  </w:style>
  <w:style w:styleId="Style_174" w:type="paragraph">
    <w:name w:val="label"/>
    <w:link w:val="Style_174_ch"/>
  </w:style>
  <w:style w:styleId="Style_174_ch" w:type="character">
    <w:name w:val="label"/>
    <w:link w:val="Style_174"/>
  </w:style>
  <w:style w:styleId="Style_175" w:type="paragraph">
    <w:name w:val="Название Знак"/>
    <w:link w:val="Style_175_ch"/>
    <w:rPr>
      <w:rFonts w:ascii="Cambria" w:hAnsi="Cambria"/>
      <w:b w:val="1"/>
      <w:sz w:val="32"/>
    </w:rPr>
  </w:style>
  <w:style w:styleId="Style_175_ch" w:type="character">
    <w:name w:val="Название Знак"/>
    <w:link w:val="Style_175"/>
    <w:rPr>
      <w:rFonts w:ascii="Cambria" w:hAnsi="Cambria"/>
      <w:b w:val="1"/>
      <w:sz w:val="32"/>
    </w:rPr>
  </w:style>
  <w:style w:styleId="Style_176" w:type="paragraph">
    <w:name w:val="footer"/>
    <w:basedOn w:val="Style_9"/>
    <w:link w:val="Style_176_ch"/>
    <w:pPr>
      <w:widowControl w:val="1"/>
      <w:tabs>
        <w:tab w:leader="none" w:pos="4677" w:val="center"/>
        <w:tab w:leader="none" w:pos="9355" w:val="right"/>
      </w:tabs>
      <w:spacing w:after="0"/>
      <w:ind/>
    </w:pPr>
  </w:style>
  <w:style w:styleId="Style_176_ch" w:type="character">
    <w:name w:val="footer"/>
    <w:basedOn w:val="Style_9_ch"/>
    <w:link w:val="Style_176"/>
  </w:style>
  <w:style w:styleId="Style_177" w:type="paragraph">
    <w:name w:val="Normal1"/>
    <w:link w:val="Style_177_ch"/>
    <w:pPr>
      <w:widowControl w:val="1"/>
      <w:spacing w:after="0" w:line="240" w:lineRule="auto"/>
      <w:ind w:firstLine="560" w:left="120"/>
    </w:pPr>
    <w:rPr>
      <w:rFonts w:ascii="Arial" w:hAnsi="Arial"/>
    </w:rPr>
  </w:style>
  <w:style w:styleId="Style_177_ch" w:type="character">
    <w:name w:val="Normal1"/>
    <w:link w:val="Style_177"/>
    <w:rPr>
      <w:rFonts w:ascii="Arial" w:hAnsi="Arial"/>
    </w:rPr>
  </w:style>
  <w:style w:styleId="Style_178" w:type="paragraph">
    <w:name w:val="WW8Num4z1"/>
    <w:link w:val="Style_178_ch"/>
    <w:rPr>
      <w:rFonts w:ascii="Courier New" w:hAnsi="Courier New"/>
    </w:rPr>
  </w:style>
  <w:style w:styleId="Style_178_ch" w:type="character">
    <w:name w:val="WW8Num4z1"/>
    <w:link w:val="Style_178"/>
    <w:rPr>
      <w:rFonts w:ascii="Courier New" w:hAnsi="Courier New"/>
    </w:rPr>
  </w:style>
  <w:style w:styleId="Style_179" w:type="paragraph">
    <w:name w:val="ConsNormal"/>
    <w:link w:val="Style_179_ch"/>
    <w:pPr>
      <w:widowControl w:val="1"/>
      <w:spacing w:after="0" w:line="240" w:lineRule="auto"/>
      <w:ind w:firstLine="720" w:right="19772"/>
    </w:pPr>
    <w:rPr>
      <w:rFonts w:ascii="Arial" w:hAnsi="Arial"/>
      <w:sz w:val="20"/>
    </w:rPr>
  </w:style>
  <w:style w:styleId="Style_179_ch" w:type="character">
    <w:name w:val="ConsNormal"/>
    <w:link w:val="Style_179"/>
    <w:rPr>
      <w:rFonts w:ascii="Arial" w:hAnsi="Arial"/>
      <w:sz w:val="20"/>
    </w:rPr>
  </w:style>
  <w:style w:styleId="Style_180" w:type="paragraph">
    <w:name w:val="Знак примечания1"/>
    <w:link w:val="Style_180_ch"/>
    <w:rPr>
      <w:sz w:val="16"/>
    </w:rPr>
  </w:style>
  <w:style w:styleId="Style_180_ch" w:type="character">
    <w:name w:val="Знак примечания1"/>
    <w:link w:val="Style_180"/>
    <w:rPr>
      <w:sz w:val="16"/>
    </w:rPr>
  </w:style>
  <w:style w:styleId="Style_181" w:type="paragraph">
    <w:name w:val="WW8Num13z1"/>
    <w:link w:val="Style_181_ch"/>
    <w:rPr>
      <w:sz w:val="24"/>
    </w:rPr>
  </w:style>
  <w:style w:styleId="Style_181_ch" w:type="character">
    <w:name w:val="WW8Num13z1"/>
    <w:link w:val="Style_181"/>
    <w:rPr>
      <w:sz w:val="24"/>
    </w:rPr>
  </w:style>
  <w:style w:styleId="Style_182" w:type="paragraph">
    <w:name w:val="toc 5"/>
    <w:basedOn w:val="Style_17"/>
    <w:link w:val="Style_182_ch"/>
    <w:uiPriority w:val="39"/>
    <w:pPr>
      <w:widowControl w:val="1"/>
      <w:tabs>
        <w:tab w:leader="dot" w:pos="8506" w:val="right"/>
      </w:tabs>
      <w:ind w:left="1132"/>
    </w:pPr>
  </w:style>
  <w:style w:styleId="Style_182_ch" w:type="character">
    <w:name w:val="toc 5"/>
    <w:basedOn w:val="Style_17_ch"/>
    <w:link w:val="Style_182"/>
  </w:style>
  <w:style w:styleId="Style_183" w:type="paragraph">
    <w:name w:val="Contents 10"/>
    <w:basedOn w:val="Style_17"/>
    <w:link w:val="Style_183_ch"/>
    <w:pPr>
      <w:widowControl w:val="1"/>
      <w:tabs>
        <w:tab w:leader="dot" w:pos="7091" w:val="right"/>
      </w:tabs>
      <w:ind w:left="2547"/>
    </w:pPr>
  </w:style>
  <w:style w:styleId="Style_183_ch" w:type="character">
    <w:name w:val="Contents 10"/>
    <w:basedOn w:val="Style_17_ch"/>
    <w:link w:val="Style_183"/>
  </w:style>
  <w:style w:styleId="Style_184" w:type="paragraph">
    <w:name w:val="Знак Знак2"/>
    <w:basedOn w:val="Style_32"/>
    <w:link w:val="Style_184_ch"/>
  </w:style>
  <w:style w:styleId="Style_184_ch" w:type="character">
    <w:name w:val="Знак Знак2"/>
    <w:basedOn w:val="Style_32_ch"/>
    <w:link w:val="Style_184"/>
  </w:style>
  <w:style w:styleId="Style_185" w:type="paragraph">
    <w:name w:val="List Paragraph"/>
    <w:basedOn w:val="Style_9"/>
    <w:link w:val="Style_185_ch"/>
    <w:pPr>
      <w:widowControl w:val="1"/>
      <w:spacing w:after="0"/>
      <w:ind w:left="720"/>
      <w:contextualSpacing w:val="1"/>
      <w:jc w:val="left"/>
    </w:pPr>
    <w:rPr>
      <w:sz w:val="28"/>
    </w:rPr>
  </w:style>
  <w:style w:styleId="Style_185_ch" w:type="character">
    <w:name w:val="List Paragraph"/>
    <w:basedOn w:val="Style_9_ch"/>
    <w:link w:val="Style_185"/>
    <w:rPr>
      <w:sz w:val="28"/>
    </w:rPr>
  </w:style>
  <w:style w:styleId="Style_186" w:type="paragraph">
    <w:name w:val="Основной"/>
    <w:basedOn w:val="Style_9"/>
    <w:link w:val="Style_186_ch"/>
    <w:pPr>
      <w:widowControl w:val="1"/>
      <w:spacing w:after="0"/>
      <w:ind w:firstLine="709"/>
    </w:pPr>
  </w:style>
  <w:style w:styleId="Style_186_ch" w:type="character">
    <w:name w:val="Основной"/>
    <w:basedOn w:val="Style_9_ch"/>
    <w:link w:val="Style_186"/>
  </w:style>
  <w:style w:styleId="Style_187" w:type="paragraph">
    <w:name w:val="WW8Num29z0"/>
    <w:link w:val="Style_187_ch"/>
    <w:rPr>
      <w:sz w:val="40"/>
    </w:rPr>
  </w:style>
  <w:style w:styleId="Style_187_ch" w:type="character">
    <w:name w:val="WW8Num29z0"/>
    <w:link w:val="Style_187"/>
    <w:rPr>
      <w:sz w:val="40"/>
    </w:rPr>
  </w:style>
  <w:style w:styleId="Style_188" w:type="paragraph">
    <w:name w:val="WW8Num4z3"/>
    <w:link w:val="Style_188_ch"/>
    <w:rPr>
      <w:rFonts w:ascii="Symbol" w:hAnsi="Symbol"/>
    </w:rPr>
  </w:style>
  <w:style w:styleId="Style_188_ch" w:type="character">
    <w:name w:val="WW8Num4z3"/>
    <w:link w:val="Style_188"/>
    <w:rPr>
      <w:rFonts w:ascii="Symbol" w:hAnsi="Symbol"/>
    </w:rPr>
  </w:style>
  <w:style w:styleId="Style_189" w:type="paragraph">
    <w:name w:val="Основной текст с отступом Знак"/>
    <w:link w:val="Style_189_ch"/>
    <w:rPr>
      <w:rFonts w:ascii="Times New Roman" w:hAnsi="Times New Roman"/>
      <w:sz w:val="24"/>
    </w:rPr>
  </w:style>
  <w:style w:styleId="Style_189_ch" w:type="character">
    <w:name w:val="Основной текст с отступом Знак"/>
    <w:link w:val="Style_189"/>
    <w:rPr>
      <w:rFonts w:ascii="Times New Roman" w:hAnsi="Times New Roman"/>
      <w:sz w:val="24"/>
    </w:rPr>
  </w:style>
  <w:style w:styleId="Style_2" w:type="paragraph">
    <w:name w:val="ConsPlusNormal"/>
    <w:link w:val="Style_2_ch"/>
    <w:pPr>
      <w:widowControl w:val="1"/>
      <w:spacing w:after="0" w:line="240" w:lineRule="auto"/>
      <w:ind w:firstLine="720"/>
    </w:pPr>
    <w:rPr>
      <w:rFonts w:ascii="Arial" w:hAnsi="Arial"/>
      <w:sz w:val="20"/>
    </w:rPr>
  </w:style>
  <w:style w:styleId="Style_2_ch" w:type="character">
    <w:name w:val="ConsPlusNormal"/>
    <w:link w:val="Style_2"/>
    <w:rPr>
      <w:rFonts w:ascii="Arial" w:hAnsi="Arial"/>
      <w:sz w:val="20"/>
    </w:rPr>
  </w:style>
  <w:style w:styleId="Style_190" w:type="paragraph">
    <w:name w:val="Основной текст с отступом 3 Знак1"/>
    <w:link w:val="Style_190_ch"/>
    <w:rPr>
      <w:sz w:val="16"/>
    </w:rPr>
  </w:style>
  <w:style w:styleId="Style_190_ch" w:type="character">
    <w:name w:val="Основной текст с отступом 3 Знак1"/>
    <w:link w:val="Style_190"/>
    <w:rPr>
      <w:sz w:val="16"/>
    </w:rPr>
  </w:style>
  <w:style w:styleId="Style_191" w:type="paragraph">
    <w:name w:val="WW8Num20z0"/>
    <w:link w:val="Style_191_ch"/>
    <w:rPr>
      <w:rFonts w:ascii="Times New Roman" w:hAnsi="Times New Roman"/>
    </w:rPr>
  </w:style>
  <w:style w:styleId="Style_191_ch" w:type="character">
    <w:name w:val="WW8Num20z0"/>
    <w:link w:val="Style_191"/>
    <w:rPr>
      <w:rFonts w:ascii="Times New Roman" w:hAnsi="Times New Roman"/>
    </w:rPr>
  </w:style>
  <w:style w:styleId="Style_192" w:type="paragraph">
    <w:name w:val="Текст_начало_2"/>
    <w:basedOn w:val="Style_9"/>
    <w:link w:val="Style_192_ch"/>
    <w:pPr>
      <w:widowControl w:val="1"/>
      <w:spacing w:after="0" w:line="360" w:lineRule="exact"/>
      <w:ind/>
    </w:pPr>
    <w:rPr>
      <w:rFonts w:ascii="Arial" w:hAnsi="Arial"/>
    </w:rPr>
  </w:style>
  <w:style w:styleId="Style_192_ch" w:type="character">
    <w:name w:val="Текст_начало_2"/>
    <w:basedOn w:val="Style_9_ch"/>
    <w:link w:val="Style_192"/>
    <w:rPr>
      <w:rFonts w:ascii="Arial" w:hAnsi="Arial"/>
    </w:rPr>
  </w:style>
  <w:style w:styleId="Style_32" w:type="paragraph">
    <w:name w:val="Основной шрифт абзаца1"/>
    <w:link w:val="Style_32_ch"/>
  </w:style>
  <w:style w:styleId="Style_32_ch" w:type="character">
    <w:name w:val="Основной шрифт абзаца1"/>
    <w:link w:val="Style_32"/>
  </w:style>
  <w:style w:styleId="Style_193" w:type="paragraph">
    <w:name w:val="Стиль 9 пт курсив По центру Перед:  2 пт Междустр.интервал:  мн..."/>
    <w:basedOn w:val="Style_9"/>
    <w:link w:val="Style_193_ch"/>
    <w:pPr>
      <w:widowControl w:val="1"/>
      <w:spacing w:after="0"/>
      <w:ind/>
      <w:jc w:val="center"/>
    </w:pPr>
    <w:rPr>
      <w:i w:val="1"/>
      <w:sz w:val="18"/>
    </w:rPr>
  </w:style>
  <w:style w:styleId="Style_193_ch" w:type="character">
    <w:name w:val="Стиль 9 пт курсив По центру Перед:  2 пт Междустр.интервал:  мн..."/>
    <w:basedOn w:val="Style_9_ch"/>
    <w:link w:val="Style_193"/>
    <w:rPr>
      <w:i w:val="1"/>
      <w:sz w:val="18"/>
    </w:rPr>
  </w:style>
  <w:style w:styleId="Style_194" w:type="paragraph">
    <w:name w:val="section__info"/>
    <w:basedOn w:val="Style_11"/>
    <w:link w:val="Style_194_ch"/>
  </w:style>
  <w:style w:styleId="Style_194_ch" w:type="character">
    <w:name w:val="section__info"/>
    <w:basedOn w:val="Style_11_ch"/>
    <w:link w:val="Style_194"/>
  </w:style>
  <w:style w:styleId="Style_195" w:type="paragraph">
    <w:name w:val="Table Paragraph"/>
    <w:basedOn w:val="Style_9"/>
    <w:link w:val="Style_195_ch"/>
    <w:pPr>
      <w:widowControl w:val="1"/>
      <w:spacing w:after="0"/>
      <w:ind/>
      <w:jc w:val="left"/>
    </w:pPr>
  </w:style>
  <w:style w:styleId="Style_195_ch" w:type="character">
    <w:name w:val="Table Paragraph"/>
    <w:basedOn w:val="Style_9_ch"/>
    <w:link w:val="Style_195"/>
  </w:style>
  <w:style w:styleId="Style_196" w:type="paragraph">
    <w:name w:val="WW8Num8z0"/>
    <w:link w:val="Style_196_ch"/>
    <w:rPr>
      <w:sz w:val="24"/>
    </w:rPr>
  </w:style>
  <w:style w:styleId="Style_196_ch" w:type="character">
    <w:name w:val="WW8Num8z0"/>
    <w:link w:val="Style_196"/>
    <w:rPr>
      <w:sz w:val="24"/>
    </w:rPr>
  </w:style>
  <w:style w:styleId="Style_197" w:type="paragraph">
    <w:name w:val="Абзац списка2"/>
    <w:basedOn w:val="Style_9"/>
    <w:link w:val="Style_197_ch"/>
    <w:pPr>
      <w:widowControl w:val="1"/>
      <w:spacing w:after="200" w:line="276" w:lineRule="auto"/>
      <w:ind w:left="720"/>
      <w:jc w:val="left"/>
    </w:pPr>
    <w:rPr>
      <w:rFonts w:ascii="Calibri" w:hAnsi="Calibri"/>
      <w:sz w:val="22"/>
    </w:rPr>
  </w:style>
  <w:style w:styleId="Style_197_ch" w:type="character">
    <w:name w:val="Абзац списка2"/>
    <w:basedOn w:val="Style_9_ch"/>
    <w:link w:val="Style_197"/>
    <w:rPr>
      <w:rFonts w:ascii="Calibri" w:hAnsi="Calibri"/>
      <w:sz w:val="22"/>
    </w:rPr>
  </w:style>
  <w:style w:styleId="Style_198" w:type="paragraph">
    <w:name w:val="Цитата1"/>
    <w:basedOn w:val="Style_9"/>
    <w:link w:val="Style_198_ch"/>
    <w:pPr>
      <w:widowControl w:val="1"/>
      <w:spacing w:after="0" w:line="278" w:lineRule="exact"/>
      <w:ind w:firstLine="451" w:left="10" w:right="102"/>
      <w:jc w:val="left"/>
    </w:pPr>
    <w:rPr>
      <w:spacing w:val="-9"/>
      <w:sz w:val="25"/>
    </w:rPr>
  </w:style>
  <w:style w:styleId="Style_198_ch" w:type="character">
    <w:name w:val="Цитата1"/>
    <w:basedOn w:val="Style_9_ch"/>
    <w:link w:val="Style_198"/>
    <w:rPr>
      <w:spacing w:val="-9"/>
      <w:sz w:val="25"/>
    </w:rPr>
  </w:style>
  <w:style w:styleId="Style_199" w:type="paragraph">
    <w:name w:val="WW8Num24z2"/>
    <w:link w:val="Style_199_ch"/>
    <w:rPr>
      <w:rFonts w:ascii="Wingdings" w:hAnsi="Wingdings"/>
    </w:rPr>
  </w:style>
  <w:style w:styleId="Style_199_ch" w:type="character">
    <w:name w:val="WW8Num24z2"/>
    <w:link w:val="Style_199"/>
    <w:rPr>
      <w:rFonts w:ascii="Wingdings" w:hAnsi="Wingdings"/>
    </w:rPr>
  </w:style>
  <w:style w:styleId="Style_200" w:type="paragraph">
    <w:name w:val="SB_Heading2 Знак"/>
    <w:link w:val="Style_200_ch"/>
    <w:rPr>
      <w:rFonts w:ascii="Times New Roman" w:hAnsi="Times New Roman"/>
      <w:b w:val="1"/>
      <w:sz w:val="28"/>
    </w:rPr>
  </w:style>
  <w:style w:styleId="Style_200_ch" w:type="character">
    <w:name w:val="SB_Heading2 Знак"/>
    <w:link w:val="Style_200"/>
    <w:rPr>
      <w:rFonts w:ascii="Times New Roman" w:hAnsi="Times New Roman"/>
      <w:b w:val="1"/>
      <w:sz w:val="28"/>
    </w:rPr>
  </w:style>
  <w:style w:styleId="Style_201" w:type="paragraph">
    <w:name w:val="Body Text 21"/>
    <w:basedOn w:val="Style_9"/>
    <w:link w:val="Style_201_ch"/>
    <w:pPr>
      <w:widowControl w:val="1"/>
      <w:spacing w:after="0" w:line="360" w:lineRule="auto"/>
      <w:ind w:firstLine="851"/>
    </w:pPr>
    <w:rPr>
      <w:rFonts w:ascii="Arial" w:hAnsi="Arial"/>
    </w:rPr>
  </w:style>
  <w:style w:styleId="Style_201_ch" w:type="character">
    <w:name w:val="Body Text 21"/>
    <w:basedOn w:val="Style_9_ch"/>
    <w:link w:val="Style_201"/>
    <w:rPr>
      <w:rFonts w:ascii="Arial" w:hAnsi="Arial"/>
    </w:rPr>
  </w:style>
  <w:style w:styleId="Style_202" w:type="paragraph">
    <w:link w:val="Style_202_ch"/>
    <w:semiHidden w:val="1"/>
    <w:unhideWhenUsed w:val="1"/>
    <w:pPr>
      <w:widowControl w:val="1"/>
      <w:spacing w:after="0" w:line="240" w:lineRule="auto"/>
      <w:ind/>
    </w:pPr>
    <w:rPr>
      <w:rFonts w:ascii="Times New Roman" w:hAnsi="Times New Roman"/>
      <w:sz w:val="24"/>
    </w:rPr>
  </w:style>
  <w:style w:styleId="Style_202_ch" w:type="character">
    <w:link w:val="Style_202"/>
    <w:semiHidden w:val="1"/>
    <w:unhideWhenUsed w:val="1"/>
    <w:rPr>
      <w:rFonts w:ascii="Times New Roman" w:hAnsi="Times New Roman"/>
      <w:sz w:val="24"/>
    </w:rPr>
  </w:style>
  <w:style w:styleId="Style_203" w:type="paragraph">
    <w:name w:val="Основной текст 21"/>
    <w:basedOn w:val="Style_9"/>
    <w:link w:val="Style_203_ch"/>
    <w:pPr>
      <w:widowControl w:val="1"/>
      <w:spacing w:after="0"/>
      <w:ind/>
      <w:jc w:val="center"/>
    </w:pPr>
    <w:rPr>
      <w:rFonts w:asciiTheme="minorAscii" w:hAnsiTheme="minorHAnsi"/>
      <w:b w:val="1"/>
      <w:sz w:val="28"/>
    </w:rPr>
  </w:style>
  <w:style w:styleId="Style_203_ch" w:type="character">
    <w:name w:val="Основной текст 21"/>
    <w:basedOn w:val="Style_9_ch"/>
    <w:link w:val="Style_203"/>
    <w:rPr>
      <w:rFonts w:asciiTheme="minorAscii" w:hAnsiTheme="minorHAnsi"/>
      <w:b w:val="1"/>
      <w:sz w:val="28"/>
    </w:rPr>
  </w:style>
  <w:style w:styleId="Style_204" w:type="paragraph">
    <w:name w:val="WW8Num20z3"/>
    <w:link w:val="Style_204_ch"/>
    <w:rPr>
      <w:rFonts w:ascii="Symbol" w:hAnsi="Symbol"/>
    </w:rPr>
  </w:style>
  <w:style w:styleId="Style_204_ch" w:type="character">
    <w:name w:val="WW8Num20z3"/>
    <w:link w:val="Style_204"/>
    <w:rPr>
      <w:rFonts w:ascii="Symbol" w:hAnsi="Symbol"/>
    </w:rPr>
  </w:style>
  <w:style w:styleId="Style_205" w:type="paragraph">
    <w:name w:val="Рецензия1"/>
    <w:link w:val="Style_205_ch"/>
    <w:pPr>
      <w:widowControl w:val="1"/>
      <w:spacing w:after="0" w:line="240" w:lineRule="auto"/>
      <w:ind/>
    </w:pPr>
    <w:rPr>
      <w:rFonts w:ascii="Times New Roman" w:hAnsi="Times New Roman"/>
      <w:sz w:val="24"/>
    </w:rPr>
  </w:style>
  <w:style w:styleId="Style_205_ch" w:type="character">
    <w:name w:val="Рецензия1"/>
    <w:link w:val="Style_205"/>
    <w:rPr>
      <w:rFonts w:ascii="Times New Roman" w:hAnsi="Times New Roman"/>
      <w:sz w:val="24"/>
    </w:rPr>
  </w:style>
  <w:style w:styleId="Style_206" w:type="paragraph">
    <w:name w:val="Date"/>
    <w:basedOn w:val="Style_9"/>
    <w:next w:val="Style_9"/>
    <w:link w:val="Style_206_ch"/>
    <w:rPr>
      <w:rFonts w:asciiTheme="minorAscii" w:hAnsiTheme="minorHAnsi"/>
    </w:rPr>
  </w:style>
  <w:style w:styleId="Style_206_ch" w:type="character">
    <w:name w:val="Date"/>
    <w:basedOn w:val="Style_9_ch"/>
    <w:link w:val="Style_206"/>
    <w:rPr>
      <w:rFonts w:asciiTheme="minorAscii" w:hAnsiTheme="minorHAnsi"/>
    </w:rPr>
  </w:style>
  <w:style w:styleId="Style_207" w:type="paragraph">
    <w:name w:val="WW8Num24z0"/>
    <w:link w:val="Style_207_ch"/>
    <w:rPr>
      <w:rFonts w:ascii="Times New Roman" w:hAnsi="Times New Roman"/>
    </w:rPr>
  </w:style>
  <w:style w:styleId="Style_207_ch" w:type="character">
    <w:name w:val="WW8Num24z0"/>
    <w:link w:val="Style_207"/>
    <w:rPr>
      <w:rFonts w:ascii="Times New Roman" w:hAnsi="Times New Roman"/>
    </w:rPr>
  </w:style>
  <w:style w:styleId="Style_208" w:type="paragraph">
    <w:name w:val="Обычный (веб)1"/>
    <w:basedOn w:val="Style_9"/>
    <w:link w:val="Style_208_ch"/>
    <w:pPr>
      <w:widowControl w:val="1"/>
      <w:spacing w:after="280" w:before="280"/>
      <w:ind/>
      <w:jc w:val="left"/>
    </w:pPr>
  </w:style>
  <w:style w:styleId="Style_208_ch" w:type="character">
    <w:name w:val="Обычный (веб)1"/>
    <w:basedOn w:val="Style_9_ch"/>
    <w:link w:val="Style_208"/>
  </w:style>
  <w:style w:styleId="Style_209" w:type="paragraph">
    <w:name w:val="WW8Num10z2"/>
    <w:link w:val="Style_209_ch"/>
    <w:rPr>
      <w:rFonts w:ascii="Wingdings" w:hAnsi="Wingdings"/>
    </w:rPr>
  </w:style>
  <w:style w:styleId="Style_209_ch" w:type="character">
    <w:name w:val="WW8Num10z2"/>
    <w:link w:val="Style_209"/>
    <w:rPr>
      <w:rFonts w:ascii="Wingdings" w:hAnsi="Wingdings"/>
    </w:rPr>
  </w:style>
  <w:style w:styleId="Style_210" w:type="paragraph">
    <w:name w:val="WW8Num14z0"/>
    <w:link w:val="Style_210_ch"/>
    <w:rPr>
      <w:sz w:val="28"/>
    </w:rPr>
  </w:style>
  <w:style w:styleId="Style_210_ch" w:type="character">
    <w:name w:val="WW8Num14z0"/>
    <w:link w:val="Style_210"/>
    <w:rPr>
      <w:sz w:val="28"/>
    </w:rPr>
  </w:style>
  <w:style w:styleId="Style_211" w:type="paragraph">
    <w:name w:val="Footnote Text Char"/>
    <w:link w:val="Style_211_ch"/>
  </w:style>
  <w:style w:styleId="Style_211_ch" w:type="character">
    <w:name w:val="Footnote Text Char"/>
    <w:link w:val="Style_211"/>
  </w:style>
  <w:style w:styleId="Style_212" w:type="paragraph">
    <w:name w:val="Heading"/>
    <w:next w:val="Style_78"/>
    <w:link w:val="Style_212_ch"/>
    <w:pPr>
      <w:widowControl w:val="1"/>
      <w:spacing w:after="0" w:line="240" w:lineRule="auto"/>
      <w:ind/>
    </w:pPr>
    <w:rPr>
      <w:rFonts w:ascii="Arial" w:hAnsi="Arial"/>
      <w:b w:val="1"/>
    </w:rPr>
  </w:style>
  <w:style w:styleId="Style_212_ch" w:type="character">
    <w:name w:val="Heading"/>
    <w:link w:val="Style_212"/>
    <w:rPr>
      <w:rFonts w:ascii="Arial" w:hAnsi="Arial"/>
      <w:b w:val="1"/>
    </w:rPr>
  </w:style>
  <w:style w:styleId="Style_213" w:type="paragraph">
    <w:name w:val="Subtitle"/>
    <w:basedOn w:val="Style_9"/>
    <w:next w:val="Style_9"/>
    <w:link w:val="Style_213_ch"/>
    <w:uiPriority w:val="11"/>
    <w:qFormat/>
    <w:pPr>
      <w:widowControl w:val="1"/>
      <w:ind/>
      <w:jc w:val="center"/>
    </w:pPr>
    <w:rPr>
      <w:rFonts w:ascii="Cambria" w:hAnsi="Cambria"/>
    </w:rPr>
  </w:style>
  <w:style w:styleId="Style_213_ch" w:type="character">
    <w:name w:val="Subtitle"/>
    <w:basedOn w:val="Style_9_ch"/>
    <w:link w:val="Style_213"/>
    <w:rPr>
      <w:rFonts w:ascii="Cambria" w:hAnsi="Cambria"/>
    </w:rPr>
  </w:style>
  <w:style w:styleId="Style_214" w:type="paragraph">
    <w:name w:val="ConsPlusNonformat"/>
    <w:link w:val="Style_214_ch"/>
    <w:pPr>
      <w:widowControl w:val="1"/>
      <w:spacing w:after="0" w:line="240" w:lineRule="auto"/>
      <w:ind/>
    </w:pPr>
    <w:rPr>
      <w:rFonts w:ascii="Courier New" w:hAnsi="Courier New"/>
      <w:sz w:val="20"/>
    </w:rPr>
  </w:style>
  <w:style w:styleId="Style_214_ch" w:type="character">
    <w:name w:val="ConsPlusNonformat"/>
    <w:link w:val="Style_214"/>
    <w:rPr>
      <w:rFonts w:ascii="Courier New" w:hAnsi="Courier New"/>
      <w:sz w:val="20"/>
    </w:rPr>
  </w:style>
  <w:style w:styleId="Style_215" w:type="paragraph">
    <w:name w:val="SB_Обычный"/>
    <w:basedOn w:val="Style_9"/>
    <w:link w:val="Style_215_ch"/>
    <w:pPr>
      <w:widowControl w:val="1"/>
      <w:ind w:firstLine="709"/>
    </w:pPr>
  </w:style>
  <w:style w:styleId="Style_215_ch" w:type="character">
    <w:name w:val="SB_Обычный"/>
    <w:basedOn w:val="Style_9_ch"/>
    <w:link w:val="Style_215"/>
  </w:style>
  <w:style w:styleId="Style_90" w:type="paragraph">
    <w:name w:val="Table Contents"/>
    <w:basedOn w:val="Style_9"/>
    <w:link w:val="Style_90_ch"/>
    <w:pPr>
      <w:widowControl w:val="1"/>
      <w:spacing w:after="0"/>
      <w:ind/>
      <w:jc w:val="left"/>
    </w:pPr>
  </w:style>
  <w:style w:styleId="Style_90_ch" w:type="character">
    <w:name w:val="Table Contents"/>
    <w:basedOn w:val="Style_9_ch"/>
    <w:link w:val="Style_90"/>
  </w:style>
  <w:style w:styleId="Style_5" w:type="paragraph">
    <w:name w:val="Знак сноски1"/>
    <w:link w:val="Style_5_ch"/>
    <w:rPr>
      <w:rFonts w:ascii="Times New Roman" w:hAnsi="Times New Roman"/>
      <w:vertAlign w:val="superscript"/>
    </w:rPr>
  </w:style>
  <w:style w:styleId="Style_5_ch" w:type="character">
    <w:name w:val="Знак сноски1"/>
    <w:link w:val="Style_5"/>
    <w:rPr>
      <w:rFonts w:ascii="Times New Roman" w:hAnsi="Times New Roman"/>
      <w:vertAlign w:val="superscript"/>
    </w:rPr>
  </w:style>
  <w:style w:styleId="Style_216" w:type="paragraph">
    <w:name w:val="Текст примечания Знак1"/>
    <w:link w:val="Style_216_ch"/>
  </w:style>
  <w:style w:styleId="Style_216_ch" w:type="character">
    <w:name w:val="Текст примечания Знак1"/>
    <w:link w:val="Style_216"/>
  </w:style>
  <w:style w:styleId="Style_217" w:type="paragraph">
    <w:name w:val="Обычный таблица Знак"/>
    <w:link w:val="Style_217_ch"/>
    <w:rPr>
      <w:rFonts w:ascii="Times New Roman" w:hAnsi="Times New Roman"/>
      <w:sz w:val="18"/>
    </w:rPr>
  </w:style>
  <w:style w:styleId="Style_217_ch" w:type="character">
    <w:name w:val="Обычный таблица Знак"/>
    <w:link w:val="Style_217"/>
    <w:rPr>
      <w:rFonts w:ascii="Times New Roman" w:hAnsi="Times New Roman"/>
      <w:sz w:val="18"/>
    </w:rPr>
  </w:style>
  <w:style w:styleId="Style_218" w:type="paragraph">
    <w:name w:val="Style5"/>
    <w:basedOn w:val="Style_9"/>
    <w:link w:val="Style_218_ch"/>
    <w:pPr>
      <w:widowControl w:val="1"/>
      <w:spacing w:after="0" w:line="480" w:lineRule="exact"/>
      <w:ind/>
      <w:jc w:val="center"/>
    </w:pPr>
  </w:style>
  <w:style w:styleId="Style_218_ch" w:type="character">
    <w:name w:val="Style5"/>
    <w:basedOn w:val="Style_9_ch"/>
    <w:link w:val="Style_218"/>
  </w:style>
  <w:style w:styleId="Style_219" w:type="paragraph">
    <w:name w:val="WW8Num26z0"/>
    <w:link w:val="Style_219_ch"/>
    <w:rPr>
      <w:b w:val="1"/>
      <w:sz w:val="24"/>
    </w:rPr>
  </w:style>
  <w:style w:styleId="Style_219_ch" w:type="character">
    <w:name w:val="WW8Num26z0"/>
    <w:link w:val="Style_219"/>
    <w:rPr>
      <w:b w:val="1"/>
      <w:sz w:val="24"/>
    </w:rPr>
  </w:style>
  <w:style w:styleId="Style_220" w:type="paragraph">
    <w:name w:val="WW8Num3z0"/>
    <w:link w:val="Style_220_ch"/>
  </w:style>
  <w:style w:styleId="Style_220_ch" w:type="character">
    <w:name w:val="WW8Num3z0"/>
    <w:link w:val="Style_220"/>
  </w:style>
  <w:style w:styleId="Style_221" w:type="paragraph">
    <w:name w:val="Title"/>
    <w:next w:val="Style_9"/>
    <w:link w:val="Style_221_ch"/>
    <w:uiPriority w:val="10"/>
    <w:qFormat/>
    <w:pPr>
      <w:widowControl w:val="1"/>
      <w:spacing w:after="567" w:before="567"/>
      <w:ind/>
      <w:jc w:val="center"/>
    </w:pPr>
    <w:rPr>
      <w:rFonts w:ascii="XO Thames" w:hAnsi="XO Thames"/>
      <w:b w:val="1"/>
      <w:caps w:val="1"/>
      <w:sz w:val="40"/>
    </w:rPr>
  </w:style>
  <w:style w:styleId="Style_221_ch" w:type="character">
    <w:name w:val="Title"/>
    <w:link w:val="Style_221"/>
    <w:rPr>
      <w:rFonts w:ascii="XO Thames" w:hAnsi="XO Thames"/>
      <w:b w:val="1"/>
      <w:caps w:val="1"/>
      <w:sz w:val="40"/>
    </w:rPr>
  </w:style>
  <w:style w:styleId="Style_222" w:type="paragraph">
    <w:name w:val="heading 4"/>
    <w:basedOn w:val="Style_9"/>
    <w:next w:val="Style_9"/>
    <w:link w:val="Style_222_ch"/>
    <w:uiPriority w:val="9"/>
    <w:qFormat/>
    <w:pPr>
      <w:keepNext w:val="1"/>
      <w:widowControl w:val="1"/>
      <w:spacing w:before="240"/>
      <w:ind/>
      <w:jc w:val="left"/>
      <w:outlineLvl w:val="3"/>
    </w:pPr>
    <w:rPr>
      <w:b w:val="1"/>
      <w:sz w:val="28"/>
    </w:rPr>
  </w:style>
  <w:style w:styleId="Style_222_ch" w:type="character">
    <w:name w:val="heading 4"/>
    <w:basedOn w:val="Style_9_ch"/>
    <w:link w:val="Style_222"/>
    <w:rPr>
      <w:b w:val="1"/>
      <w:sz w:val="28"/>
    </w:rPr>
  </w:style>
  <w:style w:styleId="Style_223" w:type="paragraph">
    <w:name w:val="SB_Heading4"/>
    <w:basedOn w:val="Style_148"/>
    <w:link w:val="Style_223_ch"/>
    <w:pPr>
      <w:widowControl w:val="1"/>
      <w:ind w:hanging="648" w:left="1728"/>
    </w:pPr>
  </w:style>
  <w:style w:styleId="Style_223_ch" w:type="character">
    <w:name w:val="SB_Heading4"/>
    <w:basedOn w:val="Style_148_ch"/>
    <w:link w:val="Style_223"/>
  </w:style>
  <w:style w:styleId="Style_224" w:type="paragraph">
    <w:name w:val="WW8Num23z3"/>
    <w:link w:val="Style_224_ch"/>
    <w:rPr>
      <w:rFonts w:ascii="Symbol" w:hAnsi="Symbol"/>
    </w:rPr>
  </w:style>
  <w:style w:styleId="Style_224_ch" w:type="character">
    <w:name w:val="WW8Num23z3"/>
    <w:link w:val="Style_224"/>
    <w:rPr>
      <w:rFonts w:ascii="Symbol" w:hAnsi="Symbol"/>
    </w:rPr>
  </w:style>
  <w:style w:styleId="Style_225" w:type="paragraph">
    <w:name w:val="Схема документа Знак"/>
    <w:link w:val="Style_225_ch"/>
    <w:rPr>
      <w:rFonts w:ascii="Tahoma" w:hAnsi="Tahoma"/>
      <w:sz w:val="20"/>
      <w:shd w:fill="000080" w:val="clear"/>
    </w:rPr>
  </w:style>
  <w:style w:styleId="Style_225_ch" w:type="character">
    <w:name w:val="Схема документа Знак"/>
    <w:link w:val="Style_225"/>
    <w:rPr>
      <w:rFonts w:ascii="Tahoma" w:hAnsi="Tahoma"/>
      <w:sz w:val="20"/>
      <w:shd w:fill="000080" w:val="clear"/>
    </w:rPr>
  </w:style>
  <w:style w:styleId="Style_226" w:type="paragraph">
    <w:name w:val="heading 2"/>
    <w:basedOn w:val="Style_9"/>
    <w:next w:val="Style_9"/>
    <w:link w:val="Style_226_ch"/>
    <w:uiPriority w:val="9"/>
    <w:qFormat/>
    <w:pPr>
      <w:keepNext w:val="1"/>
      <w:widowControl w:val="1"/>
      <w:spacing w:before="240"/>
      <w:ind/>
      <w:jc w:val="left"/>
      <w:outlineLvl w:val="1"/>
    </w:pPr>
    <w:rPr>
      <w:b w:val="1"/>
      <w:i w:val="1"/>
      <w:sz w:val="28"/>
    </w:rPr>
  </w:style>
  <w:style w:styleId="Style_226_ch" w:type="character">
    <w:name w:val="heading 2"/>
    <w:basedOn w:val="Style_9_ch"/>
    <w:link w:val="Style_226"/>
    <w:rPr>
      <w:b w:val="1"/>
      <w:i w:val="1"/>
      <w:sz w:val="28"/>
    </w:rPr>
  </w:style>
  <w:style w:styleId="Style_227" w:type="paragraph">
    <w:name w:val="section__title"/>
    <w:basedOn w:val="Style_11"/>
    <w:link w:val="Style_227_ch"/>
  </w:style>
  <w:style w:styleId="Style_227_ch" w:type="character">
    <w:name w:val="section__title"/>
    <w:basedOn w:val="Style_11_ch"/>
    <w:link w:val="Style_227"/>
  </w:style>
  <w:style w:styleId="Style_228" w:type="paragraph">
    <w:name w:val="Стиль3 Знак Знак"/>
    <w:basedOn w:val="Style_154"/>
    <w:link w:val="Style_228_ch"/>
    <w:pPr>
      <w:widowControl w:val="1"/>
      <w:tabs>
        <w:tab w:leader="none" w:pos="227" w:val="left"/>
      </w:tabs>
      <w:spacing w:after="0" w:line="240" w:lineRule="auto"/>
      <w:ind w:left="0"/>
      <w:jc w:val="both"/>
    </w:pPr>
  </w:style>
  <w:style w:styleId="Style_228_ch" w:type="character">
    <w:name w:val="Стиль3 Знак Знак"/>
    <w:basedOn w:val="Style_154_ch"/>
    <w:link w:val="Style_228"/>
  </w:style>
  <w:style w:styleId="Style_229" w:type="paragraph">
    <w:name w:val="Header Char"/>
    <w:link w:val="Style_229_ch"/>
    <w:rPr>
      <w:sz w:val="24"/>
    </w:rPr>
  </w:style>
  <w:style w:styleId="Style_229_ch" w:type="character">
    <w:name w:val="Header Char"/>
    <w:link w:val="Style_229"/>
    <w:rPr>
      <w:sz w:val="24"/>
    </w:rPr>
  </w:style>
  <w:style w:styleId="Style_11" w:type="paragraph">
    <w:name w:val="Основной шрифт абзаца1"/>
    <w:link w:val="Style_11_ch"/>
  </w:style>
  <w:style w:styleId="Style_11_ch" w:type="character">
    <w:name w:val="Основной шрифт абзаца1"/>
    <w:link w:val="Style_11"/>
  </w:style>
  <w:style w:styleId="Style_230" w:type="paragraph">
    <w:name w:val="Обычный1"/>
    <w:link w:val="Style_230_ch"/>
    <w:rPr>
      <w:rFonts w:ascii="Times New Roman" w:hAnsi="Times New Roman"/>
      <w:sz w:val="24"/>
    </w:rPr>
  </w:style>
  <w:style w:styleId="Style_230_ch" w:type="character">
    <w:name w:val="Обычный1"/>
    <w:link w:val="Style_230"/>
    <w:rPr>
      <w:rFonts w:ascii="Times New Roman" w:hAnsi="Times New Roman"/>
      <w:sz w:val="24"/>
    </w:rPr>
  </w:style>
  <w:style w:styleId="Style_231" w:type="paragraph">
    <w:name w:val="Balloon Text"/>
    <w:basedOn w:val="Style_9"/>
    <w:link w:val="Style_231_ch"/>
    <w:pPr>
      <w:widowControl w:val="1"/>
      <w:spacing w:after="0"/>
      <w:ind/>
    </w:pPr>
    <w:rPr>
      <w:rFonts w:ascii="Segoe UI" w:hAnsi="Segoe UI"/>
      <w:sz w:val="18"/>
    </w:rPr>
  </w:style>
  <w:style w:styleId="Style_231_ch" w:type="character">
    <w:name w:val="Balloon Text"/>
    <w:basedOn w:val="Style_9_ch"/>
    <w:link w:val="Style_231"/>
    <w:rPr>
      <w:rFonts w:ascii="Segoe UI" w:hAnsi="Segoe UI"/>
      <w:sz w:val="18"/>
    </w:rPr>
  </w:style>
  <w:style w:styleId="Style_232" w:type="paragraph">
    <w:name w:val="heading 6"/>
    <w:basedOn w:val="Style_9"/>
    <w:next w:val="Style_9"/>
    <w:link w:val="Style_232_ch"/>
    <w:uiPriority w:val="9"/>
    <w:qFormat/>
    <w:pPr>
      <w:widowControl w:val="1"/>
      <w:spacing w:before="240"/>
      <w:ind/>
      <w:jc w:val="left"/>
      <w:outlineLvl w:val="5"/>
    </w:pPr>
    <w:rPr>
      <w:rFonts w:ascii="Calibri" w:hAnsi="Calibri"/>
      <w:b w:val="1"/>
      <w:sz w:val="22"/>
    </w:rPr>
  </w:style>
  <w:style w:styleId="Style_232_ch" w:type="character">
    <w:name w:val="heading 6"/>
    <w:basedOn w:val="Style_9_ch"/>
    <w:link w:val="Style_232"/>
    <w:rPr>
      <w:rFonts w:ascii="Calibri" w:hAnsi="Calibri"/>
      <w:b w:val="1"/>
      <w:sz w:val="22"/>
    </w:rPr>
  </w:style>
  <w:style w:styleId="Style_233" w:type="paragraph">
    <w:name w:val="WW8Num20z1"/>
    <w:link w:val="Style_233_ch"/>
    <w:rPr>
      <w:rFonts w:ascii="Courier New" w:hAnsi="Courier New"/>
    </w:rPr>
  </w:style>
  <w:style w:styleId="Style_233_ch" w:type="character">
    <w:name w:val="WW8Num20z1"/>
    <w:link w:val="Style_233"/>
    <w:rPr>
      <w:rFonts w:ascii="Courier New" w:hAnsi="Courier New"/>
    </w:rPr>
  </w:style>
  <w:style w:styleId="Style_234" w:type="paragraph">
    <w:name w:val="Body Text 3 Char"/>
    <w:link w:val="Style_234_ch"/>
    <w:rPr>
      <w:sz w:val="16"/>
    </w:rPr>
  </w:style>
  <w:style w:styleId="Style_234_ch" w:type="character">
    <w:name w:val="Body Text 3 Char"/>
    <w:link w:val="Style_234"/>
    <w:rPr>
      <w:sz w:val="16"/>
    </w:rPr>
  </w:style>
  <w:style w:styleId="Style_235" w:type="table">
    <w:name w:val="Сетка таблицы1"/>
    <w:basedOn w:val="Style_6"/>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36" w:type="table">
    <w:name w:val="Сетка таблицы2"/>
    <w:basedOn w:val="Style_6"/>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Ind w:type="dxa" w:w="0"/>
      <w:tblCellMar>
        <w:top w:type="dxa" w:w="0"/>
        <w:left w:type="dxa" w:w="108"/>
        <w:bottom w:type="dxa" w:w="0"/>
        <w:right w:type="dxa" w:w="108"/>
      </w:tblCellMar>
    </w:tblPr>
  </w:style>
  <w:style w:styleId="Style_237" w:type="table">
    <w:name w:val="Table Grid"/>
    <w:basedOn w:val="Style_6"/>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footnotes.xml" Type="http://schemas.openxmlformats.org/officeDocument/2006/relationships/footnotes"/>
  <Relationship Id="rId10"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9" Target="endnotes.xml" Type="http://schemas.openxmlformats.org/officeDocument/2006/relationships/endnotes"/>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2025-10-02T01:41:00Z</dcterms:created>
  <dcterms:modified xsi:type="dcterms:W3CDTF">2026-09-03T01:46:38Z</dcterms:modified>
</cp:coreProperties>
</file>